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2.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4.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charts/chart14.xml" ContentType="application/vnd.openxmlformats-officedocument.drawingml.chart+xml"/>
  <Override PartName="/word/theme/themeOverride5.xml" ContentType="application/vnd.openxmlformats-officedocument.themeOverrid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theme/themeOverride6.xml" ContentType="application/vnd.openxmlformats-officedocument.themeOverride+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7.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7.xml" ContentType="application/vnd.openxmlformats-officedocument.themeOverride+xml"/>
  <Override PartName="/word/charts/chart18.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8.xml" ContentType="application/vnd.openxmlformats-officedocument.themeOverride+xml"/>
  <Override PartName="/word/charts/chart19.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9.xml" ContentType="application/vnd.openxmlformats-officedocument.themeOverride+xml"/>
  <Override PartName="/word/charts/chart20.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0.xml" ContentType="application/vnd.openxmlformats-officedocument.themeOverride+xml"/>
  <Override PartName="/word/drawings/drawing2.xml" ContentType="application/vnd.openxmlformats-officedocument.drawingml.chartshapes+xml"/>
  <Override PartName="/word/charts/chart21.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1.xml" ContentType="application/vnd.openxmlformats-officedocument.themeOverride+xml"/>
  <Override PartName="/word/charts/chart22.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2.xml" ContentType="application/vnd.openxmlformats-officedocument.themeOverride+xml"/>
  <Override PartName="/word/charts/chart23.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3.xml" ContentType="application/vnd.openxmlformats-officedocument.themeOverride+xml"/>
  <Override PartName="/word/charts/chart24.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4.xml" ContentType="application/vnd.openxmlformats-officedocument.themeOverride+xml"/>
  <Override PartName="/word/charts/chart25.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5.xml" ContentType="application/vnd.openxmlformats-officedocument.themeOverride+xml"/>
  <Override PartName="/word/charts/chart26.xml" ContentType="application/vnd.openxmlformats-officedocument.drawingml.chart+xml"/>
  <Override PartName="/word/theme/themeOverride16.xml" ContentType="application/vnd.openxmlformats-officedocument.themeOverride+xml"/>
  <Override PartName="/word/charts/chart27.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7.xml" ContentType="application/vnd.openxmlformats-officedocument.themeOverride+xml"/>
  <Override PartName="/word/diagrams/data4.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28.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9.xml" ContentType="application/vnd.openxmlformats-officedocument.drawingml.chart+xml"/>
  <Override PartName="/word/theme/themeOverride18.xml" ContentType="application/vnd.openxmlformats-officedocument.themeOverride+xml"/>
  <Override PartName="/word/charts/chart30.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9.xml" ContentType="application/vnd.openxmlformats-officedocument.themeOverride+xml"/>
  <Override PartName="/word/media/image13.jpg" ContentType="image/png"/>
  <Override PartName="/word/media/image14.jpg" ContentType="image/png"/>
  <Override PartName="/word/media/image15.jpg" ContentType="image/png"/>
  <Override PartName="/word/charts/chart31.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0.xml" ContentType="application/vnd.openxmlformats-officedocument.themeOverride+xml"/>
  <Override PartName="/word/drawings/drawing3.xml" ContentType="application/vnd.openxmlformats-officedocument.drawingml.chartshapes+xml"/>
  <Override PartName="/word/charts/chart32.xml" ContentType="application/vnd.openxmlformats-officedocument.drawingml.chart+xml"/>
  <Override PartName="/word/theme/themeOverride21.xml" ContentType="application/vnd.openxmlformats-officedocument.themeOverride+xml"/>
  <Override PartName="/word/charts/chart33.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2.xml" ContentType="application/vnd.openxmlformats-officedocument.themeOverride+xml"/>
  <Override PartName="/word/charts/chart34.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3.xml" ContentType="application/vnd.openxmlformats-officedocument.themeOverride+xml"/>
  <Override PartName="/word/charts/chart35.xml" ContentType="application/vnd.openxmlformats-officedocument.drawingml.chart+xml"/>
  <Override PartName="/word/theme/themeOverride24.xml" ContentType="application/vnd.openxmlformats-officedocument.themeOverride+xml"/>
  <Override PartName="/word/charts/chart36.xml" ContentType="application/vnd.openxmlformats-officedocument.drawingml.chart+xml"/>
  <Override PartName="/word/theme/themeOverride25.xml" ContentType="application/vnd.openxmlformats-officedocument.themeOverride+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58106675" w:displacedByCustomXml="next"/>
    <w:bookmarkEnd w:id="0" w:displacedByCustomXml="next"/>
    <w:sdt>
      <w:sdtPr>
        <w:id w:val="363325364"/>
        <w:docPartObj>
          <w:docPartGallery w:val="Cover Pages"/>
          <w:docPartUnique/>
        </w:docPartObj>
      </w:sdtPr>
      <w:sdtEndPr>
        <w:rPr>
          <w:rFonts w:ascii="Times New Roman" w:eastAsia="Times New Roman" w:hAnsi="Times New Roman" w:cs="Times New Roman"/>
          <w:b/>
          <w:bCs/>
          <w:sz w:val="38"/>
          <w:szCs w:val="38"/>
          <w:lang w:val="es-ES_tradnl" w:eastAsia="es-ES"/>
        </w:rPr>
      </w:sdtEndPr>
      <w:sdtContent>
        <w:p w14:paraId="06FA7A41" w14:textId="1224F7B0" w:rsidR="00B005F6" w:rsidRDefault="00B005F6">
          <w:r>
            <w:rPr>
              <w:noProof/>
            </w:rPr>
            <mc:AlternateContent>
              <mc:Choice Requires="wpg">
                <w:drawing>
                  <wp:anchor distT="0" distB="0" distL="114300" distR="114300" simplePos="0" relativeHeight="251675648" behindDoc="0" locked="0" layoutInCell="1" allowOverlap="1" wp14:anchorId="5230C230" wp14:editId="0183B8AD">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790575"/>
                    <wp:effectExtent l="0" t="0" r="1270" b="9525"/>
                    <wp:wrapNone/>
                    <wp:docPr id="149" name="Grupo 149"/>
                    <wp:cNvGraphicFramePr/>
                    <a:graphic xmlns:a="http://schemas.openxmlformats.org/drawingml/2006/main">
                      <a:graphicData uri="http://schemas.microsoft.com/office/word/2010/wordprocessingGroup">
                        <wpg:wgp>
                          <wpg:cNvGrpSpPr/>
                          <wpg:grpSpPr>
                            <a:xfrm>
                              <a:off x="0" y="0"/>
                              <a:ext cx="7315200" cy="790575"/>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w:pict>
                  <v:group w14:anchorId="07F3CC81" id="Grupo 149" o:spid="_x0000_s1026" style="position:absolute;margin-left:0;margin-top:0;width:8in;height:62.25pt;z-index:251675648;mso-width-percent:941;mso-top-percent:23;mso-position-horizontal:center;mso-position-horizontal-relative:page;mso-position-vertical-relative:page;mso-width-percent:94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p>
        <w:p w14:paraId="2F3EDB3A" w14:textId="77777777" w:rsidR="00EB0485" w:rsidRDefault="00EB0485"/>
        <w:p w14:paraId="01B0EBC7" w14:textId="5C283ADA" w:rsidR="00EB0485" w:rsidRDefault="00EB0485" w:rsidP="00EB0485">
          <w:pPr>
            <w:spacing w:after="160" w:line="259" w:lineRule="auto"/>
            <w:jc w:val="center"/>
            <w:rPr>
              <w:rFonts w:ascii="Times New Roman" w:eastAsia="Times New Roman" w:hAnsi="Times New Roman" w:cs="Times New Roman"/>
              <w:b/>
              <w:bCs/>
              <w:sz w:val="38"/>
              <w:szCs w:val="38"/>
              <w:lang w:val="es-ES_tradnl" w:eastAsia="es-ES"/>
            </w:rPr>
          </w:pPr>
        </w:p>
        <w:p w14:paraId="4B9A39B1" w14:textId="71DACB08" w:rsidR="00EB0485" w:rsidRDefault="00EB0485" w:rsidP="00EB0485">
          <w:pPr>
            <w:spacing w:after="160" w:line="259" w:lineRule="auto"/>
            <w:jc w:val="center"/>
            <w:rPr>
              <w:rFonts w:ascii="Times New Roman" w:eastAsia="Times New Roman" w:hAnsi="Times New Roman" w:cs="Times New Roman"/>
              <w:b/>
              <w:bCs/>
              <w:sz w:val="38"/>
              <w:szCs w:val="38"/>
              <w:lang w:val="es-ES_tradnl" w:eastAsia="es-ES"/>
            </w:rPr>
          </w:pPr>
          <w:r>
            <w:rPr>
              <w:noProof/>
            </w:rPr>
            <w:drawing>
              <wp:inline distT="0" distB="0" distL="0" distR="0" wp14:anchorId="71ABE6CB" wp14:editId="6AC1E15F">
                <wp:extent cx="1895475" cy="1906628"/>
                <wp:effectExtent l="0" t="0" r="0" b="0"/>
                <wp:docPr id="994" name="Imagen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4777" cy="1936103"/>
                        </a:xfrm>
                        <a:prstGeom prst="rect">
                          <a:avLst/>
                        </a:prstGeom>
                        <a:noFill/>
                        <a:ln>
                          <a:noFill/>
                        </a:ln>
                      </pic:spPr>
                    </pic:pic>
                  </a:graphicData>
                </a:graphic>
              </wp:inline>
            </w:drawing>
          </w:r>
        </w:p>
        <w:p w14:paraId="631AE014" w14:textId="19133F07" w:rsidR="00EB0485" w:rsidRDefault="00EB0485" w:rsidP="00EB0485">
          <w:pPr>
            <w:spacing w:after="160" w:line="259" w:lineRule="auto"/>
            <w:jc w:val="center"/>
            <w:rPr>
              <w:rFonts w:ascii="Times New Roman" w:eastAsia="Times New Roman" w:hAnsi="Times New Roman" w:cs="Times New Roman"/>
              <w:b/>
              <w:bCs/>
              <w:sz w:val="38"/>
              <w:szCs w:val="38"/>
              <w:lang w:val="es-ES_tradnl" w:eastAsia="es-ES"/>
            </w:rPr>
          </w:pPr>
        </w:p>
        <w:p w14:paraId="1265A844" w14:textId="60F4FF6F" w:rsidR="00EB0485" w:rsidRDefault="00EB0485" w:rsidP="00EB0485">
          <w:pPr>
            <w:spacing w:after="160" w:line="259" w:lineRule="auto"/>
            <w:jc w:val="center"/>
            <w:rPr>
              <w:rFonts w:ascii="Times New Roman" w:eastAsia="Times New Roman" w:hAnsi="Times New Roman" w:cs="Times New Roman"/>
              <w:b/>
              <w:bCs/>
              <w:sz w:val="38"/>
              <w:szCs w:val="38"/>
              <w:lang w:val="es-ES_tradnl" w:eastAsia="es-ES"/>
            </w:rPr>
          </w:pPr>
        </w:p>
        <w:p w14:paraId="31F83126" w14:textId="77777777" w:rsidR="00EB0485" w:rsidRDefault="00EB0485" w:rsidP="00EB0485">
          <w:pPr>
            <w:spacing w:after="160" w:line="259" w:lineRule="auto"/>
            <w:jc w:val="center"/>
            <w:rPr>
              <w:rFonts w:ascii="Times New Roman" w:eastAsia="Times New Roman" w:hAnsi="Times New Roman" w:cs="Times New Roman"/>
              <w:b/>
              <w:bCs/>
              <w:sz w:val="38"/>
              <w:szCs w:val="38"/>
              <w:lang w:val="es-ES_tradnl" w:eastAsia="es-ES"/>
            </w:rPr>
          </w:pPr>
        </w:p>
        <w:p w14:paraId="0E7E1DA1" w14:textId="77777777" w:rsidR="00EB0485" w:rsidRPr="000627C3" w:rsidRDefault="00EB0485" w:rsidP="00EB0485">
          <w:pPr>
            <w:ind w:left="709"/>
            <w:contextualSpacing/>
            <w:jc w:val="center"/>
            <w:rPr>
              <w:rFonts w:ascii="Times New Roman" w:eastAsia="Times New Roman" w:hAnsi="Times New Roman" w:cs="Times New Roman"/>
              <w:b/>
              <w:bCs/>
              <w:sz w:val="38"/>
              <w:szCs w:val="38"/>
              <w:lang w:val="es-ES_tradnl" w:eastAsia="es-ES"/>
            </w:rPr>
          </w:pPr>
          <w:r w:rsidRPr="000627C3">
            <w:rPr>
              <w:rFonts w:ascii="Times New Roman" w:eastAsia="Times New Roman" w:hAnsi="Times New Roman" w:cs="Times New Roman"/>
              <w:b/>
              <w:bCs/>
              <w:sz w:val="38"/>
              <w:szCs w:val="38"/>
              <w:lang w:val="es-ES_tradnl" w:eastAsia="es-ES"/>
            </w:rPr>
            <w:t>Informe de Desempeño de la Política Fiscal 202</w:t>
          </w:r>
          <w:r>
            <w:rPr>
              <w:rFonts w:ascii="Times New Roman" w:eastAsia="Times New Roman" w:hAnsi="Times New Roman" w:cs="Times New Roman"/>
              <w:b/>
              <w:bCs/>
              <w:sz w:val="38"/>
              <w:szCs w:val="38"/>
              <w:lang w:val="es-ES_tradnl" w:eastAsia="es-ES"/>
            </w:rPr>
            <w:t>3</w:t>
          </w:r>
          <w:r w:rsidRPr="000627C3">
            <w:rPr>
              <w:rFonts w:ascii="Times New Roman" w:eastAsia="Times New Roman" w:hAnsi="Times New Roman" w:cs="Times New Roman"/>
              <w:b/>
              <w:bCs/>
              <w:sz w:val="38"/>
              <w:szCs w:val="38"/>
              <w:lang w:val="es-ES_tradnl" w:eastAsia="es-ES"/>
            </w:rPr>
            <w:t xml:space="preserve"> y Perspectivas 202</w:t>
          </w:r>
          <w:r>
            <w:rPr>
              <w:rFonts w:ascii="Times New Roman" w:eastAsia="Times New Roman" w:hAnsi="Times New Roman" w:cs="Times New Roman"/>
              <w:b/>
              <w:bCs/>
              <w:sz w:val="38"/>
              <w:szCs w:val="38"/>
              <w:lang w:val="es-ES_tradnl" w:eastAsia="es-ES"/>
            </w:rPr>
            <w:t>4</w:t>
          </w:r>
        </w:p>
        <w:p w14:paraId="35004C9C" w14:textId="77777777" w:rsidR="00EB0485" w:rsidRDefault="00EB0485" w:rsidP="00EB0485">
          <w:pPr>
            <w:jc w:val="center"/>
            <w:rPr>
              <w:rFonts w:ascii="Times New Roman" w:eastAsia="Times New Roman" w:hAnsi="Times New Roman" w:cs="Times New Roman"/>
              <w:b/>
              <w:bCs/>
              <w:sz w:val="22"/>
              <w:szCs w:val="26"/>
              <w:lang w:val="es-ES_tradnl" w:eastAsia="es-ES"/>
            </w:rPr>
          </w:pPr>
        </w:p>
        <w:p w14:paraId="61798E8B" w14:textId="77777777" w:rsidR="00EB0485" w:rsidRDefault="00EB0485" w:rsidP="00EB0485">
          <w:pPr>
            <w:jc w:val="center"/>
            <w:rPr>
              <w:rFonts w:ascii="Times New Roman" w:eastAsia="Times New Roman" w:hAnsi="Times New Roman" w:cs="Times New Roman"/>
              <w:b/>
              <w:bCs/>
              <w:sz w:val="22"/>
              <w:szCs w:val="26"/>
              <w:lang w:val="es-ES_tradnl" w:eastAsia="es-ES"/>
            </w:rPr>
          </w:pPr>
        </w:p>
        <w:p w14:paraId="32A6586B" w14:textId="77777777" w:rsidR="00EB0485" w:rsidRDefault="00EB0485" w:rsidP="00EB0485">
          <w:pPr>
            <w:jc w:val="center"/>
            <w:rPr>
              <w:rFonts w:ascii="Times New Roman" w:eastAsia="Times New Roman" w:hAnsi="Times New Roman" w:cs="Times New Roman"/>
              <w:b/>
              <w:bCs/>
              <w:sz w:val="22"/>
              <w:szCs w:val="26"/>
              <w:lang w:val="es-ES_tradnl" w:eastAsia="es-ES"/>
            </w:rPr>
          </w:pPr>
        </w:p>
        <w:p w14:paraId="78133D50" w14:textId="77777777" w:rsidR="00EB0485" w:rsidRDefault="00EB0485" w:rsidP="00EB0485">
          <w:pPr>
            <w:jc w:val="center"/>
            <w:rPr>
              <w:rFonts w:ascii="Times New Roman" w:eastAsia="Times New Roman" w:hAnsi="Times New Roman" w:cs="Times New Roman"/>
              <w:b/>
              <w:bCs/>
              <w:sz w:val="22"/>
              <w:szCs w:val="26"/>
              <w:lang w:val="es-ES_tradnl" w:eastAsia="es-ES"/>
            </w:rPr>
          </w:pPr>
        </w:p>
        <w:p w14:paraId="281062B0" w14:textId="450C81F1" w:rsidR="00EB0485" w:rsidRDefault="00EB0485" w:rsidP="00EB0485">
          <w:pPr>
            <w:jc w:val="center"/>
            <w:rPr>
              <w:rFonts w:ascii="Times New Roman" w:eastAsia="Times New Roman" w:hAnsi="Times New Roman" w:cs="Times New Roman"/>
              <w:b/>
              <w:bCs/>
              <w:sz w:val="22"/>
              <w:szCs w:val="26"/>
              <w:lang w:val="es-ES_tradnl" w:eastAsia="es-ES"/>
            </w:rPr>
          </w:pPr>
        </w:p>
        <w:p w14:paraId="0BE1D751" w14:textId="720DECF4" w:rsidR="00EB0485" w:rsidRDefault="00EB0485" w:rsidP="00EB0485">
          <w:pPr>
            <w:jc w:val="center"/>
            <w:rPr>
              <w:rFonts w:ascii="Times New Roman" w:eastAsia="Times New Roman" w:hAnsi="Times New Roman" w:cs="Times New Roman"/>
              <w:b/>
              <w:bCs/>
              <w:sz w:val="22"/>
              <w:szCs w:val="26"/>
              <w:lang w:val="es-ES_tradnl" w:eastAsia="es-ES"/>
            </w:rPr>
          </w:pPr>
        </w:p>
        <w:p w14:paraId="1B484521" w14:textId="3E90B976" w:rsidR="00EB0485" w:rsidRDefault="00EB0485" w:rsidP="00EB0485">
          <w:pPr>
            <w:jc w:val="center"/>
            <w:rPr>
              <w:rFonts w:ascii="Times New Roman" w:eastAsia="Times New Roman" w:hAnsi="Times New Roman" w:cs="Times New Roman"/>
              <w:b/>
              <w:bCs/>
              <w:sz w:val="22"/>
              <w:szCs w:val="26"/>
              <w:lang w:val="es-ES_tradnl" w:eastAsia="es-ES"/>
            </w:rPr>
          </w:pPr>
        </w:p>
        <w:p w14:paraId="5127BFBB" w14:textId="7CF336EE" w:rsidR="00EB0485" w:rsidRDefault="00EB0485" w:rsidP="00EB0485">
          <w:pPr>
            <w:jc w:val="center"/>
            <w:rPr>
              <w:rFonts w:ascii="Times New Roman" w:eastAsia="Times New Roman" w:hAnsi="Times New Roman" w:cs="Times New Roman"/>
              <w:b/>
              <w:bCs/>
              <w:sz w:val="22"/>
              <w:szCs w:val="26"/>
              <w:lang w:val="es-ES_tradnl" w:eastAsia="es-ES"/>
            </w:rPr>
          </w:pPr>
        </w:p>
        <w:p w14:paraId="198F4C0A" w14:textId="2964CD9D" w:rsidR="00EB0485" w:rsidRDefault="00EB0485" w:rsidP="00EB0485">
          <w:pPr>
            <w:jc w:val="center"/>
            <w:rPr>
              <w:rFonts w:ascii="Times New Roman" w:eastAsia="Times New Roman" w:hAnsi="Times New Roman" w:cs="Times New Roman"/>
              <w:b/>
              <w:bCs/>
              <w:sz w:val="22"/>
              <w:szCs w:val="26"/>
              <w:lang w:val="es-ES_tradnl" w:eastAsia="es-ES"/>
            </w:rPr>
          </w:pPr>
        </w:p>
        <w:p w14:paraId="1B30B96F" w14:textId="3746900C" w:rsidR="00EB0485" w:rsidRDefault="00EB0485" w:rsidP="00EB0485">
          <w:pPr>
            <w:jc w:val="center"/>
            <w:rPr>
              <w:rFonts w:ascii="Times New Roman" w:eastAsia="Times New Roman" w:hAnsi="Times New Roman" w:cs="Times New Roman"/>
              <w:b/>
              <w:bCs/>
              <w:sz w:val="22"/>
              <w:szCs w:val="26"/>
              <w:lang w:val="es-ES_tradnl" w:eastAsia="es-ES"/>
            </w:rPr>
          </w:pPr>
        </w:p>
        <w:p w14:paraId="2910E318" w14:textId="07E4D52E" w:rsidR="00EB0485" w:rsidRDefault="00EB0485" w:rsidP="00EB0485">
          <w:pPr>
            <w:jc w:val="center"/>
            <w:rPr>
              <w:rFonts w:ascii="Times New Roman" w:eastAsia="Times New Roman" w:hAnsi="Times New Roman" w:cs="Times New Roman"/>
              <w:b/>
              <w:bCs/>
              <w:sz w:val="22"/>
              <w:szCs w:val="26"/>
              <w:lang w:val="es-ES_tradnl" w:eastAsia="es-ES"/>
            </w:rPr>
          </w:pPr>
        </w:p>
        <w:p w14:paraId="70D307CC" w14:textId="6ADEFEE3" w:rsidR="00EB0485" w:rsidRDefault="00EB0485" w:rsidP="00EB0485">
          <w:pPr>
            <w:jc w:val="center"/>
            <w:rPr>
              <w:rFonts w:ascii="Times New Roman" w:eastAsia="Times New Roman" w:hAnsi="Times New Roman" w:cs="Times New Roman"/>
              <w:b/>
              <w:bCs/>
              <w:sz w:val="22"/>
              <w:szCs w:val="26"/>
              <w:lang w:val="es-ES_tradnl" w:eastAsia="es-ES"/>
            </w:rPr>
          </w:pPr>
        </w:p>
        <w:p w14:paraId="07E54C52" w14:textId="02AD9107" w:rsidR="00EB0485" w:rsidRDefault="00EB0485" w:rsidP="00EB0485">
          <w:pPr>
            <w:jc w:val="center"/>
            <w:rPr>
              <w:rFonts w:ascii="Times New Roman" w:eastAsia="Times New Roman" w:hAnsi="Times New Roman" w:cs="Times New Roman"/>
              <w:b/>
              <w:bCs/>
              <w:sz w:val="22"/>
              <w:szCs w:val="26"/>
              <w:lang w:val="es-ES_tradnl" w:eastAsia="es-ES"/>
            </w:rPr>
          </w:pPr>
        </w:p>
        <w:p w14:paraId="57A1659A" w14:textId="65C3974B" w:rsidR="00EB0485" w:rsidRDefault="00EB0485" w:rsidP="00EB0485">
          <w:pPr>
            <w:jc w:val="center"/>
            <w:rPr>
              <w:rFonts w:ascii="Times New Roman" w:eastAsia="Times New Roman" w:hAnsi="Times New Roman" w:cs="Times New Roman"/>
              <w:b/>
              <w:bCs/>
              <w:sz w:val="22"/>
              <w:szCs w:val="26"/>
              <w:lang w:val="es-ES_tradnl" w:eastAsia="es-ES"/>
            </w:rPr>
          </w:pPr>
        </w:p>
        <w:p w14:paraId="1B8FFAA1" w14:textId="7D8EB8EB" w:rsidR="00EB0485" w:rsidRDefault="00EB0485" w:rsidP="00EB0485">
          <w:pPr>
            <w:jc w:val="center"/>
            <w:rPr>
              <w:rFonts w:ascii="Times New Roman" w:eastAsia="Times New Roman" w:hAnsi="Times New Roman" w:cs="Times New Roman"/>
              <w:b/>
              <w:bCs/>
              <w:sz w:val="22"/>
              <w:szCs w:val="26"/>
              <w:lang w:val="es-ES_tradnl" w:eastAsia="es-ES"/>
            </w:rPr>
          </w:pPr>
        </w:p>
        <w:p w14:paraId="675905AE" w14:textId="5D3BDD38" w:rsidR="00EB0485" w:rsidRDefault="00EB0485" w:rsidP="00EB0485">
          <w:pPr>
            <w:jc w:val="center"/>
            <w:rPr>
              <w:rFonts w:ascii="Times New Roman" w:eastAsia="Times New Roman" w:hAnsi="Times New Roman" w:cs="Times New Roman"/>
              <w:b/>
              <w:bCs/>
              <w:sz w:val="22"/>
              <w:szCs w:val="26"/>
              <w:lang w:val="es-ES_tradnl" w:eastAsia="es-ES"/>
            </w:rPr>
          </w:pPr>
        </w:p>
        <w:p w14:paraId="5CA29498" w14:textId="642B7098" w:rsidR="00EB0485" w:rsidRDefault="00EB0485" w:rsidP="00EB0485">
          <w:pPr>
            <w:jc w:val="center"/>
            <w:rPr>
              <w:rFonts w:ascii="Times New Roman" w:eastAsia="Times New Roman" w:hAnsi="Times New Roman" w:cs="Times New Roman"/>
              <w:b/>
              <w:bCs/>
              <w:sz w:val="22"/>
              <w:szCs w:val="26"/>
              <w:lang w:val="es-ES_tradnl" w:eastAsia="es-ES"/>
            </w:rPr>
          </w:pPr>
        </w:p>
        <w:p w14:paraId="718B6E34" w14:textId="77777777" w:rsidR="00EB0485" w:rsidRDefault="00EB0485" w:rsidP="00EB0485">
          <w:pPr>
            <w:jc w:val="center"/>
            <w:rPr>
              <w:rFonts w:ascii="Times New Roman" w:eastAsia="Times New Roman" w:hAnsi="Times New Roman" w:cs="Times New Roman"/>
              <w:b/>
              <w:bCs/>
              <w:sz w:val="22"/>
              <w:szCs w:val="26"/>
              <w:lang w:val="es-ES_tradnl" w:eastAsia="es-ES"/>
            </w:rPr>
          </w:pPr>
        </w:p>
        <w:p w14:paraId="7D7A26C3" w14:textId="7209A348" w:rsidR="00EB0485" w:rsidRDefault="00EB0485" w:rsidP="00EB0485">
          <w:pPr>
            <w:jc w:val="center"/>
            <w:rPr>
              <w:rFonts w:ascii="Times New Roman" w:eastAsia="Times New Roman" w:hAnsi="Times New Roman" w:cs="Times New Roman"/>
              <w:b/>
              <w:bCs/>
              <w:sz w:val="22"/>
              <w:szCs w:val="26"/>
              <w:lang w:val="es-ES_tradnl" w:eastAsia="es-ES"/>
            </w:rPr>
          </w:pPr>
          <w:r w:rsidRPr="004A66F0">
            <w:rPr>
              <w:rFonts w:ascii="Times New Roman" w:eastAsia="Times New Roman" w:hAnsi="Times New Roman" w:cs="Times New Roman"/>
              <w:b/>
              <w:bCs/>
              <w:sz w:val="22"/>
              <w:szCs w:val="26"/>
              <w:lang w:val="es-ES_tradnl" w:eastAsia="es-ES"/>
            </w:rPr>
            <w:t xml:space="preserve">Guatemala, </w:t>
          </w:r>
          <w:r w:rsidR="00732259">
            <w:rPr>
              <w:rFonts w:ascii="Times New Roman" w:eastAsia="Times New Roman" w:hAnsi="Times New Roman" w:cs="Times New Roman"/>
              <w:b/>
              <w:bCs/>
              <w:sz w:val="22"/>
              <w:szCs w:val="26"/>
              <w:lang w:val="es-ES_tradnl" w:eastAsia="es-ES"/>
            </w:rPr>
            <w:t>marzo</w:t>
          </w:r>
          <w:r w:rsidRPr="004A66F0">
            <w:rPr>
              <w:rFonts w:ascii="Times New Roman" w:eastAsia="Times New Roman" w:hAnsi="Times New Roman" w:cs="Times New Roman"/>
              <w:b/>
              <w:bCs/>
              <w:sz w:val="22"/>
              <w:szCs w:val="26"/>
              <w:lang w:val="es-ES_tradnl" w:eastAsia="es-ES"/>
            </w:rPr>
            <w:t xml:space="preserve"> 202</w:t>
          </w:r>
          <w:r>
            <w:rPr>
              <w:rFonts w:ascii="Times New Roman" w:eastAsia="Times New Roman" w:hAnsi="Times New Roman" w:cs="Times New Roman"/>
              <w:b/>
              <w:bCs/>
              <w:sz w:val="22"/>
              <w:szCs w:val="26"/>
              <w:lang w:val="es-ES_tradnl" w:eastAsia="es-ES"/>
            </w:rPr>
            <w:t>4</w:t>
          </w:r>
        </w:p>
        <w:p w14:paraId="42C5E5F3" w14:textId="7B51DAF3" w:rsidR="00B005F6" w:rsidRDefault="00B005F6" w:rsidP="00EB0485">
          <w:pPr>
            <w:spacing w:after="160" w:line="259" w:lineRule="auto"/>
            <w:jc w:val="center"/>
            <w:rPr>
              <w:rFonts w:ascii="Times New Roman" w:eastAsia="Times New Roman" w:hAnsi="Times New Roman" w:cs="Times New Roman"/>
              <w:b/>
              <w:bCs/>
              <w:sz w:val="38"/>
              <w:szCs w:val="38"/>
              <w:lang w:val="es-ES_tradnl" w:eastAsia="es-ES"/>
            </w:rPr>
          </w:pPr>
          <w:r>
            <w:rPr>
              <w:rFonts w:ascii="Times New Roman" w:eastAsia="Times New Roman" w:hAnsi="Times New Roman" w:cs="Times New Roman"/>
              <w:b/>
              <w:bCs/>
              <w:sz w:val="38"/>
              <w:szCs w:val="38"/>
              <w:lang w:val="es-ES_tradnl" w:eastAsia="es-ES"/>
            </w:rPr>
            <w:br w:type="page"/>
          </w:r>
        </w:p>
      </w:sdtContent>
    </w:sdt>
    <w:p w14:paraId="12CFEA1D" w14:textId="77777777" w:rsidR="0039645E" w:rsidRPr="004A66F0" w:rsidRDefault="0039645E" w:rsidP="0039645E">
      <w:pPr>
        <w:ind w:left="709"/>
        <w:contextualSpacing/>
        <w:jc w:val="both"/>
        <w:rPr>
          <w:rFonts w:ascii="Times New Roman" w:eastAsia="Times New Roman" w:hAnsi="Times New Roman" w:cs="Times New Roman"/>
          <w:b/>
          <w:bCs/>
          <w:sz w:val="22"/>
          <w:szCs w:val="26"/>
          <w:lang w:val="es-ES_tradnl" w:eastAsia="es-ES"/>
        </w:rPr>
      </w:pPr>
    </w:p>
    <w:bookmarkStart w:id="1" w:name="_Toc125723274" w:displacedByCustomXml="next"/>
    <w:bookmarkStart w:id="2" w:name="_Toc155865446" w:displacedByCustomXml="next"/>
    <w:sdt>
      <w:sdtPr>
        <w:rPr>
          <w:rFonts w:ascii="Times New Roman" w:eastAsiaTheme="minorEastAsia" w:hAnsi="Times New Roman" w:cs="Times New Roman"/>
          <w:color w:val="auto"/>
          <w:sz w:val="22"/>
          <w:szCs w:val="22"/>
          <w:lang w:val="es-ES" w:eastAsia="en-US"/>
        </w:rPr>
        <w:id w:val="1314529738"/>
        <w:docPartObj>
          <w:docPartGallery w:val="Table of Contents"/>
          <w:docPartUnique/>
        </w:docPartObj>
      </w:sdtPr>
      <w:sdtEndPr/>
      <w:sdtContent>
        <w:p w14:paraId="5DA5699B" w14:textId="0810C09F" w:rsidR="00CF4F63" w:rsidRDefault="00CF4F63" w:rsidP="00EC5879">
          <w:pPr>
            <w:pStyle w:val="TtuloTDC"/>
            <w:spacing w:before="0" w:line="240" w:lineRule="auto"/>
            <w:jc w:val="center"/>
            <w:rPr>
              <w:rFonts w:ascii="Times New Roman" w:hAnsi="Times New Roman" w:cs="Times New Roman"/>
              <w:b/>
              <w:bCs/>
              <w:color w:val="auto"/>
              <w:sz w:val="24"/>
              <w:szCs w:val="24"/>
              <w:lang w:val="es-ES"/>
            </w:rPr>
          </w:pPr>
          <w:r w:rsidRPr="00EC5879">
            <w:rPr>
              <w:rFonts w:ascii="Times New Roman" w:hAnsi="Times New Roman" w:cs="Times New Roman"/>
              <w:b/>
              <w:bCs/>
              <w:color w:val="auto"/>
              <w:sz w:val="24"/>
              <w:szCs w:val="24"/>
              <w:lang w:val="es-ES"/>
            </w:rPr>
            <w:t>Contenido</w:t>
          </w:r>
        </w:p>
        <w:p w14:paraId="05BA540E" w14:textId="77777777" w:rsidR="00EB0485" w:rsidRPr="00EB0485" w:rsidRDefault="00EB0485" w:rsidP="00EB0485">
          <w:pPr>
            <w:rPr>
              <w:lang w:val="es-ES" w:eastAsia="es-GT"/>
            </w:rPr>
          </w:pPr>
        </w:p>
        <w:p w14:paraId="141E3E6B" w14:textId="625E0F00" w:rsidR="00512244" w:rsidRPr="00512244" w:rsidRDefault="00CF4F63" w:rsidP="00512244">
          <w:pPr>
            <w:pStyle w:val="TDC1"/>
            <w:spacing w:after="0"/>
            <w:rPr>
              <w:rFonts w:ascii="Times New Roman" w:hAnsi="Times New Roman" w:cs="Times New Roman"/>
              <w:noProof/>
              <w:sz w:val="20"/>
              <w:szCs w:val="20"/>
              <w:lang w:eastAsia="es-GT"/>
            </w:rPr>
          </w:pPr>
          <w:r w:rsidRPr="00EC5879">
            <w:rPr>
              <w:rFonts w:ascii="Times New Roman" w:hAnsi="Times New Roman" w:cs="Times New Roman"/>
            </w:rPr>
            <w:fldChar w:fldCharType="begin"/>
          </w:r>
          <w:r w:rsidRPr="00EC5879">
            <w:rPr>
              <w:rFonts w:ascii="Times New Roman" w:hAnsi="Times New Roman" w:cs="Times New Roman"/>
            </w:rPr>
            <w:instrText xml:space="preserve"> TOC \o "1-3" \h \z \u </w:instrText>
          </w:r>
          <w:r w:rsidRPr="00EC5879">
            <w:rPr>
              <w:rFonts w:ascii="Times New Roman" w:hAnsi="Times New Roman" w:cs="Times New Roman"/>
            </w:rPr>
            <w:fldChar w:fldCharType="separate"/>
          </w:r>
          <w:hyperlink w:anchor="_Toc160196842" w:history="1">
            <w:r w:rsidR="00512244" w:rsidRPr="00512244">
              <w:rPr>
                <w:rStyle w:val="Hipervnculo"/>
                <w:rFonts w:ascii="Times New Roman" w:eastAsia="Times New Roman" w:hAnsi="Times New Roman" w:cs="Times New Roman"/>
                <w:noProof/>
                <w:sz w:val="22"/>
                <w:szCs w:val="22"/>
              </w:rPr>
              <w:t>Introducción</w:t>
            </w:r>
            <w:r w:rsidR="00512244" w:rsidRPr="00512244">
              <w:rPr>
                <w:rFonts w:ascii="Times New Roman" w:hAnsi="Times New Roman" w:cs="Times New Roman"/>
                <w:noProof/>
                <w:webHidden/>
                <w:sz w:val="22"/>
                <w:szCs w:val="22"/>
              </w:rPr>
              <w:tab/>
            </w:r>
            <w:r w:rsidR="00512244" w:rsidRPr="00512244">
              <w:rPr>
                <w:rFonts w:ascii="Times New Roman" w:hAnsi="Times New Roman" w:cs="Times New Roman"/>
                <w:noProof/>
                <w:webHidden/>
                <w:sz w:val="22"/>
                <w:szCs w:val="22"/>
              </w:rPr>
              <w:fldChar w:fldCharType="begin"/>
            </w:r>
            <w:r w:rsidR="00512244" w:rsidRPr="00512244">
              <w:rPr>
                <w:rFonts w:ascii="Times New Roman" w:hAnsi="Times New Roman" w:cs="Times New Roman"/>
                <w:noProof/>
                <w:webHidden/>
                <w:sz w:val="22"/>
                <w:szCs w:val="22"/>
              </w:rPr>
              <w:instrText xml:space="preserve"> PAGEREF _Toc160196842 \h </w:instrText>
            </w:r>
            <w:r w:rsidR="00512244" w:rsidRPr="00512244">
              <w:rPr>
                <w:rFonts w:ascii="Times New Roman" w:hAnsi="Times New Roman" w:cs="Times New Roman"/>
                <w:noProof/>
                <w:webHidden/>
                <w:sz w:val="22"/>
                <w:szCs w:val="22"/>
              </w:rPr>
            </w:r>
            <w:r w:rsidR="00512244"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1</w:t>
            </w:r>
            <w:r w:rsidR="00512244" w:rsidRPr="00512244">
              <w:rPr>
                <w:rFonts w:ascii="Times New Roman" w:hAnsi="Times New Roman" w:cs="Times New Roman"/>
                <w:noProof/>
                <w:webHidden/>
                <w:sz w:val="22"/>
                <w:szCs w:val="22"/>
              </w:rPr>
              <w:fldChar w:fldCharType="end"/>
            </w:r>
          </w:hyperlink>
        </w:p>
        <w:p w14:paraId="674D4DF5" w14:textId="2F837239" w:rsidR="00512244" w:rsidRPr="00512244" w:rsidRDefault="00512244">
          <w:pPr>
            <w:pStyle w:val="TDC1"/>
            <w:rPr>
              <w:rFonts w:ascii="Times New Roman" w:hAnsi="Times New Roman" w:cs="Times New Roman"/>
              <w:noProof/>
              <w:sz w:val="20"/>
              <w:szCs w:val="20"/>
              <w:lang w:eastAsia="es-GT"/>
            </w:rPr>
          </w:pPr>
          <w:hyperlink w:anchor="_Toc160196843" w:history="1">
            <w:r w:rsidRPr="00512244">
              <w:rPr>
                <w:rStyle w:val="Hipervnculo"/>
                <w:rFonts w:ascii="Times New Roman" w:eastAsiaTheme="majorEastAsia" w:hAnsi="Times New Roman" w:cs="Times New Roman"/>
                <w:noProof/>
                <w:sz w:val="22"/>
                <w:szCs w:val="22"/>
                <w:lang w:val="es-ES_tradnl" w:eastAsia="es-ES"/>
              </w:rPr>
              <w:t>I.</w:t>
            </w:r>
            <w:r w:rsidRPr="00512244">
              <w:rPr>
                <w:rFonts w:ascii="Times New Roman" w:hAnsi="Times New Roman" w:cs="Times New Roman"/>
                <w:noProof/>
                <w:sz w:val="20"/>
                <w:szCs w:val="20"/>
                <w:lang w:eastAsia="es-GT"/>
              </w:rPr>
              <w:tab/>
            </w:r>
            <w:r w:rsidRPr="00512244">
              <w:rPr>
                <w:rStyle w:val="Hipervnculo"/>
                <w:rFonts w:ascii="Times New Roman" w:eastAsiaTheme="majorEastAsia" w:hAnsi="Times New Roman" w:cs="Times New Roman"/>
                <w:noProof/>
                <w:sz w:val="22"/>
                <w:szCs w:val="22"/>
                <w:lang w:val="es-ES_tradnl" w:eastAsia="es-ES"/>
              </w:rPr>
              <w:t>Ingresos Fiscales</w:t>
            </w:r>
            <w:r w:rsidRPr="00512244">
              <w:rPr>
                <w:rFonts w:ascii="Times New Roman" w:hAnsi="Times New Roman" w:cs="Times New Roman"/>
                <w:noProof/>
                <w:webHidden/>
                <w:sz w:val="22"/>
                <w:szCs w:val="22"/>
              </w:rPr>
              <w:tab/>
            </w:r>
            <w:r w:rsidRPr="00512244">
              <w:rPr>
                <w:rFonts w:ascii="Times New Roman" w:hAnsi="Times New Roman" w:cs="Times New Roman"/>
                <w:noProof/>
                <w:webHidden/>
                <w:sz w:val="22"/>
                <w:szCs w:val="22"/>
              </w:rPr>
              <w:fldChar w:fldCharType="begin"/>
            </w:r>
            <w:r w:rsidRPr="00512244">
              <w:rPr>
                <w:rFonts w:ascii="Times New Roman" w:hAnsi="Times New Roman" w:cs="Times New Roman"/>
                <w:noProof/>
                <w:webHidden/>
                <w:sz w:val="22"/>
                <w:szCs w:val="22"/>
              </w:rPr>
              <w:instrText xml:space="preserve"> PAGEREF _Toc160196843 \h </w:instrText>
            </w:r>
            <w:r w:rsidRPr="00512244">
              <w:rPr>
                <w:rFonts w:ascii="Times New Roman" w:hAnsi="Times New Roman" w:cs="Times New Roman"/>
                <w:noProof/>
                <w:webHidden/>
                <w:sz w:val="22"/>
                <w:szCs w:val="22"/>
              </w:rPr>
            </w:r>
            <w:r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3</w:t>
            </w:r>
            <w:r w:rsidRPr="00512244">
              <w:rPr>
                <w:rFonts w:ascii="Times New Roman" w:hAnsi="Times New Roman" w:cs="Times New Roman"/>
                <w:noProof/>
                <w:webHidden/>
                <w:sz w:val="22"/>
                <w:szCs w:val="22"/>
              </w:rPr>
              <w:fldChar w:fldCharType="end"/>
            </w:r>
          </w:hyperlink>
        </w:p>
        <w:p w14:paraId="1BB4ADF6" w14:textId="02F02722" w:rsidR="00512244" w:rsidRPr="00512244" w:rsidRDefault="00512244">
          <w:pPr>
            <w:pStyle w:val="TDC2"/>
            <w:rPr>
              <w:rFonts w:ascii="Times New Roman" w:hAnsi="Times New Roman" w:cs="Times New Roman"/>
              <w:noProof/>
              <w:sz w:val="20"/>
              <w:szCs w:val="20"/>
              <w:lang w:eastAsia="es-GT"/>
            </w:rPr>
          </w:pPr>
          <w:hyperlink w:anchor="_Toc160196844" w:history="1">
            <w:r w:rsidRPr="00512244">
              <w:rPr>
                <w:rStyle w:val="Hipervnculo"/>
                <w:rFonts w:ascii="Times New Roman" w:eastAsiaTheme="majorEastAsia" w:hAnsi="Times New Roman" w:cs="Times New Roman"/>
                <w:noProof/>
                <w:sz w:val="22"/>
                <w:szCs w:val="22"/>
              </w:rPr>
              <w:t>1.1</w:t>
            </w:r>
            <w:r w:rsidRPr="00512244">
              <w:rPr>
                <w:rFonts w:ascii="Times New Roman" w:hAnsi="Times New Roman" w:cs="Times New Roman"/>
                <w:noProof/>
                <w:sz w:val="20"/>
                <w:szCs w:val="20"/>
                <w:lang w:eastAsia="es-GT"/>
              </w:rPr>
              <w:tab/>
            </w:r>
            <w:r w:rsidRPr="00512244">
              <w:rPr>
                <w:rStyle w:val="Hipervnculo"/>
                <w:rFonts w:ascii="Times New Roman" w:eastAsiaTheme="majorEastAsia" w:hAnsi="Times New Roman" w:cs="Times New Roman"/>
                <w:noProof/>
                <w:sz w:val="22"/>
                <w:szCs w:val="22"/>
              </w:rPr>
              <w:t>La Recaudación tributaria de 2023 mantuvo el dinamismo observado en 2022</w:t>
            </w:r>
            <w:r w:rsidRPr="00512244">
              <w:rPr>
                <w:rFonts w:ascii="Times New Roman" w:hAnsi="Times New Roman" w:cs="Times New Roman"/>
                <w:noProof/>
                <w:webHidden/>
                <w:sz w:val="22"/>
                <w:szCs w:val="22"/>
              </w:rPr>
              <w:tab/>
            </w:r>
            <w:r w:rsidRPr="00512244">
              <w:rPr>
                <w:rFonts w:ascii="Times New Roman" w:hAnsi="Times New Roman" w:cs="Times New Roman"/>
                <w:noProof/>
                <w:webHidden/>
                <w:sz w:val="22"/>
                <w:szCs w:val="22"/>
              </w:rPr>
              <w:fldChar w:fldCharType="begin"/>
            </w:r>
            <w:r w:rsidRPr="00512244">
              <w:rPr>
                <w:rFonts w:ascii="Times New Roman" w:hAnsi="Times New Roman" w:cs="Times New Roman"/>
                <w:noProof/>
                <w:webHidden/>
                <w:sz w:val="22"/>
                <w:szCs w:val="22"/>
              </w:rPr>
              <w:instrText xml:space="preserve"> PAGEREF _Toc160196844 \h </w:instrText>
            </w:r>
            <w:r w:rsidRPr="00512244">
              <w:rPr>
                <w:rFonts w:ascii="Times New Roman" w:hAnsi="Times New Roman" w:cs="Times New Roman"/>
                <w:noProof/>
                <w:webHidden/>
                <w:sz w:val="22"/>
                <w:szCs w:val="22"/>
              </w:rPr>
            </w:r>
            <w:r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3</w:t>
            </w:r>
            <w:r w:rsidRPr="00512244">
              <w:rPr>
                <w:rFonts w:ascii="Times New Roman" w:hAnsi="Times New Roman" w:cs="Times New Roman"/>
                <w:noProof/>
                <w:webHidden/>
                <w:sz w:val="22"/>
                <w:szCs w:val="22"/>
              </w:rPr>
              <w:fldChar w:fldCharType="end"/>
            </w:r>
          </w:hyperlink>
        </w:p>
        <w:p w14:paraId="7D8276CD" w14:textId="4B5AFAF4" w:rsidR="00512244" w:rsidRPr="00512244" w:rsidRDefault="00512244">
          <w:pPr>
            <w:pStyle w:val="TDC2"/>
            <w:rPr>
              <w:rFonts w:ascii="Times New Roman" w:hAnsi="Times New Roman" w:cs="Times New Roman"/>
              <w:noProof/>
              <w:sz w:val="20"/>
              <w:szCs w:val="20"/>
              <w:lang w:eastAsia="es-GT"/>
            </w:rPr>
          </w:pPr>
          <w:hyperlink w:anchor="_Toc160196845" w:history="1">
            <w:r w:rsidRPr="00512244">
              <w:rPr>
                <w:rStyle w:val="Hipervnculo"/>
                <w:rFonts w:ascii="Times New Roman" w:eastAsiaTheme="majorEastAsia" w:hAnsi="Times New Roman" w:cs="Times New Roman"/>
                <w:noProof/>
                <w:sz w:val="22"/>
                <w:szCs w:val="22"/>
              </w:rPr>
              <w:t>1.2</w:t>
            </w:r>
            <w:r w:rsidRPr="00512244">
              <w:rPr>
                <w:rFonts w:ascii="Times New Roman" w:hAnsi="Times New Roman" w:cs="Times New Roman"/>
                <w:noProof/>
                <w:sz w:val="20"/>
                <w:szCs w:val="20"/>
                <w:lang w:eastAsia="es-GT"/>
              </w:rPr>
              <w:tab/>
            </w:r>
            <w:r w:rsidRPr="00512244">
              <w:rPr>
                <w:rStyle w:val="Hipervnculo"/>
                <w:rFonts w:ascii="Times New Roman" w:eastAsiaTheme="majorEastAsia" w:hAnsi="Times New Roman" w:cs="Times New Roman"/>
                <w:noProof/>
                <w:sz w:val="22"/>
                <w:szCs w:val="22"/>
              </w:rPr>
              <w:t>Impuesto Sobre la Renta -ISR- y el Impuesto de Solidaridad -ISO-</w:t>
            </w:r>
            <w:r w:rsidRPr="00512244">
              <w:rPr>
                <w:rFonts w:ascii="Times New Roman" w:hAnsi="Times New Roman" w:cs="Times New Roman"/>
                <w:noProof/>
                <w:webHidden/>
                <w:sz w:val="22"/>
                <w:szCs w:val="22"/>
              </w:rPr>
              <w:tab/>
            </w:r>
            <w:r w:rsidRPr="00512244">
              <w:rPr>
                <w:rFonts w:ascii="Times New Roman" w:hAnsi="Times New Roman" w:cs="Times New Roman"/>
                <w:noProof/>
                <w:webHidden/>
                <w:sz w:val="22"/>
                <w:szCs w:val="22"/>
              </w:rPr>
              <w:fldChar w:fldCharType="begin"/>
            </w:r>
            <w:r w:rsidRPr="00512244">
              <w:rPr>
                <w:rFonts w:ascii="Times New Roman" w:hAnsi="Times New Roman" w:cs="Times New Roman"/>
                <w:noProof/>
                <w:webHidden/>
                <w:sz w:val="22"/>
                <w:szCs w:val="22"/>
              </w:rPr>
              <w:instrText xml:space="preserve"> PAGEREF _Toc160196845 \h </w:instrText>
            </w:r>
            <w:r w:rsidRPr="00512244">
              <w:rPr>
                <w:rFonts w:ascii="Times New Roman" w:hAnsi="Times New Roman" w:cs="Times New Roman"/>
                <w:noProof/>
                <w:webHidden/>
                <w:sz w:val="22"/>
                <w:szCs w:val="22"/>
              </w:rPr>
            </w:r>
            <w:r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5</w:t>
            </w:r>
            <w:r w:rsidRPr="00512244">
              <w:rPr>
                <w:rFonts w:ascii="Times New Roman" w:hAnsi="Times New Roman" w:cs="Times New Roman"/>
                <w:noProof/>
                <w:webHidden/>
                <w:sz w:val="22"/>
                <w:szCs w:val="22"/>
              </w:rPr>
              <w:fldChar w:fldCharType="end"/>
            </w:r>
          </w:hyperlink>
        </w:p>
        <w:p w14:paraId="11149EC5" w14:textId="2E057E64" w:rsidR="00512244" w:rsidRPr="00512244" w:rsidRDefault="00512244">
          <w:pPr>
            <w:pStyle w:val="TDC2"/>
            <w:rPr>
              <w:rFonts w:ascii="Times New Roman" w:hAnsi="Times New Roman" w:cs="Times New Roman"/>
              <w:noProof/>
              <w:sz w:val="20"/>
              <w:szCs w:val="20"/>
              <w:lang w:eastAsia="es-GT"/>
            </w:rPr>
          </w:pPr>
          <w:hyperlink w:anchor="_Toc160196846" w:history="1">
            <w:r w:rsidRPr="00512244">
              <w:rPr>
                <w:rStyle w:val="Hipervnculo"/>
                <w:rFonts w:ascii="Times New Roman" w:eastAsiaTheme="majorEastAsia" w:hAnsi="Times New Roman" w:cs="Times New Roman"/>
                <w:noProof/>
                <w:sz w:val="22"/>
                <w:szCs w:val="22"/>
              </w:rPr>
              <w:t>1.3</w:t>
            </w:r>
            <w:r w:rsidRPr="00512244">
              <w:rPr>
                <w:rFonts w:ascii="Times New Roman" w:hAnsi="Times New Roman" w:cs="Times New Roman"/>
                <w:noProof/>
                <w:sz w:val="20"/>
                <w:szCs w:val="20"/>
                <w:lang w:eastAsia="es-GT"/>
              </w:rPr>
              <w:tab/>
            </w:r>
            <w:r w:rsidRPr="00512244">
              <w:rPr>
                <w:rStyle w:val="Hipervnculo"/>
                <w:rFonts w:ascii="Times New Roman" w:eastAsiaTheme="majorEastAsia" w:hAnsi="Times New Roman" w:cs="Times New Roman"/>
                <w:noProof/>
                <w:sz w:val="22"/>
                <w:szCs w:val="22"/>
              </w:rPr>
              <w:t>Impuesto al Valor Agregado -IVA-</w:t>
            </w:r>
            <w:r w:rsidRPr="00512244">
              <w:rPr>
                <w:rFonts w:ascii="Times New Roman" w:hAnsi="Times New Roman" w:cs="Times New Roman"/>
                <w:noProof/>
                <w:webHidden/>
                <w:sz w:val="22"/>
                <w:szCs w:val="22"/>
              </w:rPr>
              <w:tab/>
            </w:r>
            <w:r w:rsidRPr="00512244">
              <w:rPr>
                <w:rFonts w:ascii="Times New Roman" w:hAnsi="Times New Roman" w:cs="Times New Roman"/>
                <w:noProof/>
                <w:webHidden/>
                <w:sz w:val="22"/>
                <w:szCs w:val="22"/>
              </w:rPr>
              <w:fldChar w:fldCharType="begin"/>
            </w:r>
            <w:r w:rsidRPr="00512244">
              <w:rPr>
                <w:rFonts w:ascii="Times New Roman" w:hAnsi="Times New Roman" w:cs="Times New Roman"/>
                <w:noProof/>
                <w:webHidden/>
                <w:sz w:val="22"/>
                <w:szCs w:val="22"/>
              </w:rPr>
              <w:instrText xml:space="preserve"> PAGEREF _Toc160196846 \h </w:instrText>
            </w:r>
            <w:r w:rsidRPr="00512244">
              <w:rPr>
                <w:rFonts w:ascii="Times New Roman" w:hAnsi="Times New Roman" w:cs="Times New Roman"/>
                <w:noProof/>
                <w:webHidden/>
                <w:sz w:val="22"/>
                <w:szCs w:val="22"/>
              </w:rPr>
            </w:r>
            <w:r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7</w:t>
            </w:r>
            <w:r w:rsidRPr="00512244">
              <w:rPr>
                <w:rFonts w:ascii="Times New Roman" w:hAnsi="Times New Roman" w:cs="Times New Roman"/>
                <w:noProof/>
                <w:webHidden/>
                <w:sz w:val="22"/>
                <w:szCs w:val="22"/>
              </w:rPr>
              <w:fldChar w:fldCharType="end"/>
            </w:r>
          </w:hyperlink>
        </w:p>
        <w:p w14:paraId="5F1BAEA0" w14:textId="44C917A5" w:rsidR="00512244" w:rsidRPr="00512244" w:rsidRDefault="00512244">
          <w:pPr>
            <w:pStyle w:val="TDC2"/>
            <w:rPr>
              <w:rFonts w:ascii="Times New Roman" w:hAnsi="Times New Roman" w:cs="Times New Roman"/>
              <w:noProof/>
              <w:sz w:val="20"/>
              <w:szCs w:val="20"/>
              <w:lang w:eastAsia="es-GT"/>
            </w:rPr>
          </w:pPr>
          <w:hyperlink w:anchor="_Toc160196847" w:history="1">
            <w:r w:rsidRPr="00512244">
              <w:rPr>
                <w:rStyle w:val="Hipervnculo"/>
                <w:rFonts w:ascii="Times New Roman" w:eastAsiaTheme="majorEastAsia" w:hAnsi="Times New Roman" w:cs="Times New Roman"/>
                <w:noProof/>
                <w:sz w:val="22"/>
                <w:szCs w:val="22"/>
              </w:rPr>
              <w:t>1.4</w:t>
            </w:r>
            <w:r w:rsidRPr="00512244">
              <w:rPr>
                <w:rFonts w:ascii="Times New Roman" w:hAnsi="Times New Roman" w:cs="Times New Roman"/>
                <w:noProof/>
                <w:sz w:val="20"/>
                <w:szCs w:val="20"/>
                <w:lang w:eastAsia="es-GT"/>
              </w:rPr>
              <w:tab/>
            </w:r>
            <w:r w:rsidRPr="00512244">
              <w:rPr>
                <w:rStyle w:val="Hipervnculo"/>
                <w:rFonts w:ascii="Times New Roman" w:eastAsiaTheme="majorEastAsia" w:hAnsi="Times New Roman" w:cs="Times New Roman"/>
                <w:noProof/>
                <w:sz w:val="22"/>
                <w:szCs w:val="22"/>
              </w:rPr>
              <w:t>El Crecimiento económico y esfuerzos administrativos logran cambiar la tendencia de la carga tributaria</w:t>
            </w:r>
            <w:r w:rsidRPr="00512244">
              <w:rPr>
                <w:rFonts w:ascii="Times New Roman" w:hAnsi="Times New Roman" w:cs="Times New Roman"/>
                <w:noProof/>
                <w:webHidden/>
                <w:sz w:val="22"/>
                <w:szCs w:val="22"/>
              </w:rPr>
              <w:tab/>
            </w:r>
            <w:r w:rsidRPr="00512244">
              <w:rPr>
                <w:rFonts w:ascii="Times New Roman" w:hAnsi="Times New Roman" w:cs="Times New Roman"/>
                <w:noProof/>
                <w:webHidden/>
                <w:sz w:val="22"/>
                <w:szCs w:val="22"/>
              </w:rPr>
              <w:fldChar w:fldCharType="begin"/>
            </w:r>
            <w:r w:rsidRPr="00512244">
              <w:rPr>
                <w:rFonts w:ascii="Times New Roman" w:hAnsi="Times New Roman" w:cs="Times New Roman"/>
                <w:noProof/>
                <w:webHidden/>
                <w:sz w:val="22"/>
                <w:szCs w:val="22"/>
              </w:rPr>
              <w:instrText xml:space="preserve"> PAGEREF _Toc160196847 \h </w:instrText>
            </w:r>
            <w:r w:rsidRPr="00512244">
              <w:rPr>
                <w:rFonts w:ascii="Times New Roman" w:hAnsi="Times New Roman" w:cs="Times New Roman"/>
                <w:noProof/>
                <w:webHidden/>
                <w:sz w:val="22"/>
                <w:szCs w:val="22"/>
              </w:rPr>
            </w:r>
            <w:r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11</w:t>
            </w:r>
            <w:r w:rsidRPr="00512244">
              <w:rPr>
                <w:rFonts w:ascii="Times New Roman" w:hAnsi="Times New Roman" w:cs="Times New Roman"/>
                <w:noProof/>
                <w:webHidden/>
                <w:sz w:val="22"/>
                <w:szCs w:val="22"/>
              </w:rPr>
              <w:fldChar w:fldCharType="end"/>
            </w:r>
          </w:hyperlink>
        </w:p>
        <w:p w14:paraId="44071FC5" w14:textId="29A7212E" w:rsidR="00512244" w:rsidRPr="00512244" w:rsidRDefault="00512244">
          <w:pPr>
            <w:pStyle w:val="TDC1"/>
            <w:rPr>
              <w:rFonts w:ascii="Times New Roman" w:hAnsi="Times New Roman" w:cs="Times New Roman"/>
              <w:noProof/>
              <w:sz w:val="20"/>
              <w:szCs w:val="20"/>
              <w:lang w:eastAsia="es-GT"/>
            </w:rPr>
          </w:pPr>
          <w:hyperlink w:anchor="_Toc160196848" w:history="1">
            <w:r w:rsidRPr="00512244">
              <w:rPr>
                <w:rStyle w:val="Hipervnculo"/>
                <w:rFonts w:ascii="Times New Roman" w:eastAsiaTheme="majorEastAsia" w:hAnsi="Times New Roman" w:cs="Times New Roman"/>
                <w:noProof/>
                <w:sz w:val="22"/>
                <w:szCs w:val="22"/>
                <w:lang w:val="es-ES_tradnl" w:eastAsia="es-ES"/>
              </w:rPr>
              <w:t>II. Gasto Público</w:t>
            </w:r>
            <w:r w:rsidRPr="00512244">
              <w:rPr>
                <w:rFonts w:ascii="Times New Roman" w:hAnsi="Times New Roman" w:cs="Times New Roman"/>
                <w:noProof/>
                <w:webHidden/>
                <w:sz w:val="22"/>
                <w:szCs w:val="22"/>
              </w:rPr>
              <w:tab/>
            </w:r>
            <w:r w:rsidRPr="00512244">
              <w:rPr>
                <w:rFonts w:ascii="Times New Roman" w:hAnsi="Times New Roman" w:cs="Times New Roman"/>
                <w:noProof/>
                <w:webHidden/>
                <w:sz w:val="22"/>
                <w:szCs w:val="22"/>
              </w:rPr>
              <w:fldChar w:fldCharType="begin"/>
            </w:r>
            <w:r w:rsidRPr="00512244">
              <w:rPr>
                <w:rFonts w:ascii="Times New Roman" w:hAnsi="Times New Roman" w:cs="Times New Roman"/>
                <w:noProof/>
                <w:webHidden/>
                <w:sz w:val="22"/>
                <w:szCs w:val="22"/>
              </w:rPr>
              <w:instrText xml:space="preserve"> PAGEREF _Toc160196848 \h </w:instrText>
            </w:r>
            <w:r w:rsidRPr="00512244">
              <w:rPr>
                <w:rFonts w:ascii="Times New Roman" w:hAnsi="Times New Roman" w:cs="Times New Roman"/>
                <w:noProof/>
                <w:webHidden/>
                <w:sz w:val="22"/>
                <w:szCs w:val="22"/>
              </w:rPr>
            </w:r>
            <w:r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12</w:t>
            </w:r>
            <w:r w:rsidRPr="00512244">
              <w:rPr>
                <w:rFonts w:ascii="Times New Roman" w:hAnsi="Times New Roman" w:cs="Times New Roman"/>
                <w:noProof/>
                <w:webHidden/>
                <w:sz w:val="22"/>
                <w:szCs w:val="22"/>
              </w:rPr>
              <w:fldChar w:fldCharType="end"/>
            </w:r>
          </w:hyperlink>
        </w:p>
        <w:p w14:paraId="605A94C4" w14:textId="11EA9202" w:rsidR="00512244" w:rsidRPr="00512244" w:rsidRDefault="00512244">
          <w:pPr>
            <w:pStyle w:val="TDC2"/>
            <w:rPr>
              <w:rFonts w:ascii="Times New Roman" w:hAnsi="Times New Roman" w:cs="Times New Roman"/>
              <w:noProof/>
              <w:sz w:val="20"/>
              <w:szCs w:val="20"/>
              <w:lang w:eastAsia="es-GT"/>
            </w:rPr>
          </w:pPr>
          <w:hyperlink w:anchor="_Toc160196849" w:history="1">
            <w:r w:rsidRPr="00512244">
              <w:rPr>
                <w:rStyle w:val="Hipervnculo"/>
                <w:rFonts w:ascii="Times New Roman" w:eastAsiaTheme="majorEastAsia" w:hAnsi="Times New Roman" w:cs="Times New Roman"/>
                <w:noProof/>
                <w:sz w:val="22"/>
                <w:szCs w:val="22"/>
              </w:rPr>
              <w:t>2.1 Modesto dinamismo en la ejecución del gasto 2023</w:t>
            </w:r>
            <w:r w:rsidRPr="00512244">
              <w:rPr>
                <w:rFonts w:ascii="Times New Roman" w:hAnsi="Times New Roman" w:cs="Times New Roman"/>
                <w:noProof/>
                <w:webHidden/>
                <w:sz w:val="22"/>
                <w:szCs w:val="22"/>
              </w:rPr>
              <w:tab/>
            </w:r>
            <w:r w:rsidRPr="00512244">
              <w:rPr>
                <w:rFonts w:ascii="Times New Roman" w:hAnsi="Times New Roman" w:cs="Times New Roman"/>
                <w:noProof/>
                <w:webHidden/>
                <w:sz w:val="22"/>
                <w:szCs w:val="22"/>
              </w:rPr>
              <w:fldChar w:fldCharType="begin"/>
            </w:r>
            <w:r w:rsidRPr="00512244">
              <w:rPr>
                <w:rFonts w:ascii="Times New Roman" w:hAnsi="Times New Roman" w:cs="Times New Roman"/>
                <w:noProof/>
                <w:webHidden/>
                <w:sz w:val="22"/>
                <w:szCs w:val="22"/>
              </w:rPr>
              <w:instrText xml:space="preserve"> PAGEREF _Toc160196849 \h </w:instrText>
            </w:r>
            <w:r w:rsidRPr="00512244">
              <w:rPr>
                <w:rFonts w:ascii="Times New Roman" w:hAnsi="Times New Roman" w:cs="Times New Roman"/>
                <w:noProof/>
                <w:webHidden/>
                <w:sz w:val="22"/>
                <w:szCs w:val="22"/>
              </w:rPr>
            </w:r>
            <w:r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13</w:t>
            </w:r>
            <w:r w:rsidRPr="00512244">
              <w:rPr>
                <w:rFonts w:ascii="Times New Roman" w:hAnsi="Times New Roman" w:cs="Times New Roman"/>
                <w:noProof/>
                <w:webHidden/>
                <w:sz w:val="22"/>
                <w:szCs w:val="22"/>
              </w:rPr>
              <w:fldChar w:fldCharType="end"/>
            </w:r>
          </w:hyperlink>
        </w:p>
        <w:p w14:paraId="0E0A18FE" w14:textId="097981EE" w:rsidR="00512244" w:rsidRPr="00512244" w:rsidRDefault="00512244">
          <w:pPr>
            <w:pStyle w:val="TDC2"/>
            <w:rPr>
              <w:rFonts w:ascii="Times New Roman" w:hAnsi="Times New Roman" w:cs="Times New Roman"/>
              <w:noProof/>
              <w:sz w:val="20"/>
              <w:szCs w:val="20"/>
              <w:lang w:eastAsia="es-GT"/>
            </w:rPr>
          </w:pPr>
          <w:hyperlink w:anchor="_Toc160196850" w:history="1">
            <w:r w:rsidRPr="00512244">
              <w:rPr>
                <w:rStyle w:val="Hipervnculo"/>
                <w:rFonts w:ascii="Times New Roman" w:eastAsiaTheme="majorEastAsia" w:hAnsi="Times New Roman" w:cs="Times New Roman"/>
                <w:noProof/>
                <w:sz w:val="22"/>
                <w:szCs w:val="22"/>
              </w:rPr>
              <w:t>2.2 Los gastos no esenciales mantienen un nivel prudente</w:t>
            </w:r>
            <w:r w:rsidRPr="00512244">
              <w:rPr>
                <w:rFonts w:ascii="Times New Roman" w:hAnsi="Times New Roman" w:cs="Times New Roman"/>
                <w:noProof/>
                <w:webHidden/>
                <w:sz w:val="22"/>
                <w:szCs w:val="22"/>
              </w:rPr>
              <w:tab/>
            </w:r>
            <w:r w:rsidRPr="00512244">
              <w:rPr>
                <w:rFonts w:ascii="Times New Roman" w:hAnsi="Times New Roman" w:cs="Times New Roman"/>
                <w:noProof/>
                <w:webHidden/>
                <w:sz w:val="22"/>
                <w:szCs w:val="22"/>
              </w:rPr>
              <w:fldChar w:fldCharType="begin"/>
            </w:r>
            <w:r w:rsidRPr="00512244">
              <w:rPr>
                <w:rFonts w:ascii="Times New Roman" w:hAnsi="Times New Roman" w:cs="Times New Roman"/>
                <w:noProof/>
                <w:webHidden/>
                <w:sz w:val="22"/>
                <w:szCs w:val="22"/>
              </w:rPr>
              <w:instrText xml:space="preserve"> PAGEREF _Toc160196850 \h </w:instrText>
            </w:r>
            <w:r w:rsidRPr="00512244">
              <w:rPr>
                <w:rFonts w:ascii="Times New Roman" w:hAnsi="Times New Roman" w:cs="Times New Roman"/>
                <w:noProof/>
                <w:webHidden/>
                <w:sz w:val="22"/>
                <w:szCs w:val="22"/>
              </w:rPr>
            </w:r>
            <w:r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18</w:t>
            </w:r>
            <w:r w:rsidRPr="00512244">
              <w:rPr>
                <w:rFonts w:ascii="Times New Roman" w:hAnsi="Times New Roman" w:cs="Times New Roman"/>
                <w:noProof/>
                <w:webHidden/>
                <w:sz w:val="22"/>
                <w:szCs w:val="22"/>
              </w:rPr>
              <w:fldChar w:fldCharType="end"/>
            </w:r>
          </w:hyperlink>
        </w:p>
        <w:p w14:paraId="346D906E" w14:textId="0BF1E959" w:rsidR="00512244" w:rsidRPr="00512244" w:rsidRDefault="00512244">
          <w:pPr>
            <w:pStyle w:val="TDC2"/>
            <w:rPr>
              <w:rFonts w:ascii="Times New Roman" w:hAnsi="Times New Roman" w:cs="Times New Roman"/>
              <w:noProof/>
              <w:sz w:val="20"/>
              <w:szCs w:val="20"/>
              <w:lang w:eastAsia="es-GT"/>
            </w:rPr>
          </w:pPr>
          <w:hyperlink w:anchor="_Toc160196851" w:history="1">
            <w:r w:rsidRPr="00512244">
              <w:rPr>
                <w:rStyle w:val="Hipervnculo"/>
                <w:rFonts w:ascii="Times New Roman" w:eastAsiaTheme="majorEastAsia" w:hAnsi="Times New Roman" w:cs="Times New Roman"/>
                <w:noProof/>
                <w:sz w:val="22"/>
                <w:szCs w:val="22"/>
              </w:rPr>
              <w:t>2.3 Los sectores de justicia tuvieron el mayor repunte en el gasto de los Acuerdos de Paz durante 2023</w:t>
            </w:r>
            <w:r w:rsidRPr="00512244">
              <w:rPr>
                <w:rFonts w:ascii="Times New Roman" w:hAnsi="Times New Roman" w:cs="Times New Roman"/>
                <w:noProof/>
                <w:webHidden/>
                <w:sz w:val="22"/>
                <w:szCs w:val="22"/>
              </w:rPr>
              <w:tab/>
            </w:r>
            <w:r w:rsidRPr="00512244">
              <w:rPr>
                <w:rFonts w:ascii="Times New Roman" w:hAnsi="Times New Roman" w:cs="Times New Roman"/>
                <w:noProof/>
                <w:webHidden/>
                <w:sz w:val="22"/>
                <w:szCs w:val="22"/>
              </w:rPr>
              <w:fldChar w:fldCharType="begin"/>
            </w:r>
            <w:r w:rsidRPr="00512244">
              <w:rPr>
                <w:rFonts w:ascii="Times New Roman" w:hAnsi="Times New Roman" w:cs="Times New Roman"/>
                <w:noProof/>
                <w:webHidden/>
                <w:sz w:val="22"/>
                <w:szCs w:val="22"/>
              </w:rPr>
              <w:instrText xml:space="preserve"> PAGEREF _Toc160196851 \h </w:instrText>
            </w:r>
            <w:r w:rsidRPr="00512244">
              <w:rPr>
                <w:rFonts w:ascii="Times New Roman" w:hAnsi="Times New Roman" w:cs="Times New Roman"/>
                <w:noProof/>
                <w:webHidden/>
                <w:sz w:val="22"/>
                <w:szCs w:val="22"/>
              </w:rPr>
            </w:r>
            <w:r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22</w:t>
            </w:r>
            <w:r w:rsidRPr="00512244">
              <w:rPr>
                <w:rFonts w:ascii="Times New Roman" w:hAnsi="Times New Roman" w:cs="Times New Roman"/>
                <w:noProof/>
                <w:webHidden/>
                <w:sz w:val="22"/>
                <w:szCs w:val="22"/>
              </w:rPr>
              <w:fldChar w:fldCharType="end"/>
            </w:r>
          </w:hyperlink>
        </w:p>
        <w:p w14:paraId="6A4AA2BA" w14:textId="2208CB94" w:rsidR="00512244" w:rsidRPr="00512244" w:rsidRDefault="00512244">
          <w:pPr>
            <w:pStyle w:val="TDC2"/>
            <w:rPr>
              <w:rFonts w:ascii="Times New Roman" w:hAnsi="Times New Roman" w:cs="Times New Roman"/>
              <w:noProof/>
              <w:sz w:val="20"/>
              <w:szCs w:val="20"/>
              <w:lang w:eastAsia="es-GT"/>
            </w:rPr>
          </w:pPr>
          <w:hyperlink w:anchor="_Toc160196852" w:history="1">
            <w:r w:rsidRPr="00512244">
              <w:rPr>
                <w:rStyle w:val="Hipervnculo"/>
                <w:rFonts w:ascii="Times New Roman" w:eastAsiaTheme="majorEastAsia" w:hAnsi="Times New Roman" w:cs="Times New Roman"/>
                <w:noProof/>
                <w:sz w:val="22"/>
                <w:szCs w:val="22"/>
              </w:rPr>
              <w:t>2.4 Ejecución institucional</w:t>
            </w:r>
            <w:r w:rsidRPr="00512244">
              <w:rPr>
                <w:rFonts w:ascii="Times New Roman" w:hAnsi="Times New Roman" w:cs="Times New Roman"/>
                <w:noProof/>
                <w:webHidden/>
                <w:sz w:val="22"/>
                <w:szCs w:val="22"/>
              </w:rPr>
              <w:tab/>
            </w:r>
            <w:r w:rsidRPr="00512244">
              <w:rPr>
                <w:rFonts w:ascii="Times New Roman" w:hAnsi="Times New Roman" w:cs="Times New Roman"/>
                <w:noProof/>
                <w:webHidden/>
                <w:sz w:val="22"/>
                <w:szCs w:val="22"/>
              </w:rPr>
              <w:fldChar w:fldCharType="begin"/>
            </w:r>
            <w:r w:rsidRPr="00512244">
              <w:rPr>
                <w:rFonts w:ascii="Times New Roman" w:hAnsi="Times New Roman" w:cs="Times New Roman"/>
                <w:noProof/>
                <w:webHidden/>
                <w:sz w:val="22"/>
                <w:szCs w:val="22"/>
              </w:rPr>
              <w:instrText xml:space="preserve"> PAGEREF _Toc160196852 \h </w:instrText>
            </w:r>
            <w:r w:rsidRPr="00512244">
              <w:rPr>
                <w:rFonts w:ascii="Times New Roman" w:hAnsi="Times New Roman" w:cs="Times New Roman"/>
                <w:noProof/>
                <w:webHidden/>
                <w:sz w:val="22"/>
                <w:szCs w:val="22"/>
              </w:rPr>
            </w:r>
            <w:r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24</w:t>
            </w:r>
            <w:r w:rsidRPr="00512244">
              <w:rPr>
                <w:rFonts w:ascii="Times New Roman" w:hAnsi="Times New Roman" w:cs="Times New Roman"/>
                <w:noProof/>
                <w:webHidden/>
                <w:sz w:val="22"/>
                <w:szCs w:val="22"/>
              </w:rPr>
              <w:fldChar w:fldCharType="end"/>
            </w:r>
          </w:hyperlink>
        </w:p>
        <w:p w14:paraId="4C51A072" w14:textId="552F7FAB" w:rsidR="00512244" w:rsidRPr="00512244" w:rsidRDefault="00512244">
          <w:pPr>
            <w:pStyle w:val="TDC2"/>
            <w:rPr>
              <w:rFonts w:ascii="Times New Roman" w:hAnsi="Times New Roman" w:cs="Times New Roman"/>
              <w:noProof/>
              <w:sz w:val="20"/>
              <w:szCs w:val="20"/>
              <w:lang w:eastAsia="es-GT"/>
            </w:rPr>
          </w:pPr>
          <w:hyperlink w:anchor="_Toc160196853" w:history="1">
            <w:r w:rsidRPr="00512244">
              <w:rPr>
                <w:rStyle w:val="Hipervnculo"/>
                <w:rFonts w:ascii="Times New Roman" w:eastAsiaTheme="majorEastAsia" w:hAnsi="Times New Roman" w:cs="Times New Roman"/>
                <w:noProof/>
                <w:sz w:val="22"/>
                <w:szCs w:val="22"/>
              </w:rPr>
              <w:t>2.5 Intervenciones realizadas para la atención de los Estados de Calamidad Pública en 2023</w:t>
            </w:r>
            <w:r w:rsidRPr="00512244">
              <w:rPr>
                <w:rFonts w:ascii="Times New Roman" w:hAnsi="Times New Roman" w:cs="Times New Roman"/>
                <w:noProof/>
                <w:webHidden/>
                <w:sz w:val="22"/>
                <w:szCs w:val="22"/>
              </w:rPr>
              <w:tab/>
            </w:r>
            <w:r w:rsidRPr="00512244">
              <w:rPr>
                <w:rFonts w:ascii="Times New Roman" w:hAnsi="Times New Roman" w:cs="Times New Roman"/>
                <w:noProof/>
                <w:webHidden/>
                <w:sz w:val="22"/>
                <w:szCs w:val="22"/>
              </w:rPr>
              <w:fldChar w:fldCharType="begin"/>
            </w:r>
            <w:r w:rsidRPr="00512244">
              <w:rPr>
                <w:rFonts w:ascii="Times New Roman" w:hAnsi="Times New Roman" w:cs="Times New Roman"/>
                <w:noProof/>
                <w:webHidden/>
                <w:sz w:val="22"/>
                <w:szCs w:val="22"/>
              </w:rPr>
              <w:instrText xml:space="preserve"> PAGEREF _Toc160196853 \h </w:instrText>
            </w:r>
            <w:r w:rsidRPr="00512244">
              <w:rPr>
                <w:rFonts w:ascii="Times New Roman" w:hAnsi="Times New Roman" w:cs="Times New Roman"/>
                <w:noProof/>
                <w:webHidden/>
                <w:sz w:val="22"/>
                <w:szCs w:val="22"/>
              </w:rPr>
            </w:r>
            <w:r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30</w:t>
            </w:r>
            <w:r w:rsidRPr="00512244">
              <w:rPr>
                <w:rFonts w:ascii="Times New Roman" w:hAnsi="Times New Roman" w:cs="Times New Roman"/>
                <w:noProof/>
                <w:webHidden/>
                <w:sz w:val="22"/>
                <w:szCs w:val="22"/>
              </w:rPr>
              <w:fldChar w:fldCharType="end"/>
            </w:r>
          </w:hyperlink>
        </w:p>
        <w:p w14:paraId="72851E50" w14:textId="664B6BB4" w:rsidR="00512244" w:rsidRPr="00512244" w:rsidRDefault="00512244">
          <w:pPr>
            <w:pStyle w:val="TDC1"/>
            <w:rPr>
              <w:rFonts w:ascii="Times New Roman" w:hAnsi="Times New Roman" w:cs="Times New Roman"/>
              <w:noProof/>
              <w:sz w:val="20"/>
              <w:szCs w:val="20"/>
              <w:lang w:eastAsia="es-GT"/>
            </w:rPr>
          </w:pPr>
          <w:hyperlink w:anchor="_Toc160196854" w:history="1">
            <w:r w:rsidRPr="00512244">
              <w:rPr>
                <w:rStyle w:val="Hipervnculo"/>
                <w:rFonts w:ascii="Times New Roman" w:eastAsiaTheme="majorEastAsia" w:hAnsi="Times New Roman" w:cs="Times New Roman"/>
                <w:noProof/>
                <w:sz w:val="22"/>
                <w:szCs w:val="22"/>
                <w:lang w:val="es-ES_tradnl" w:eastAsia="es-ES"/>
              </w:rPr>
              <w:t>III. Resultado Fiscal y Financiamiento</w:t>
            </w:r>
            <w:r w:rsidRPr="00512244">
              <w:rPr>
                <w:rFonts w:ascii="Times New Roman" w:hAnsi="Times New Roman" w:cs="Times New Roman"/>
                <w:noProof/>
                <w:webHidden/>
                <w:sz w:val="22"/>
                <w:szCs w:val="22"/>
              </w:rPr>
              <w:tab/>
            </w:r>
            <w:r w:rsidRPr="00512244">
              <w:rPr>
                <w:rFonts w:ascii="Times New Roman" w:hAnsi="Times New Roman" w:cs="Times New Roman"/>
                <w:noProof/>
                <w:webHidden/>
                <w:sz w:val="22"/>
                <w:szCs w:val="22"/>
              </w:rPr>
              <w:fldChar w:fldCharType="begin"/>
            </w:r>
            <w:r w:rsidRPr="00512244">
              <w:rPr>
                <w:rFonts w:ascii="Times New Roman" w:hAnsi="Times New Roman" w:cs="Times New Roman"/>
                <w:noProof/>
                <w:webHidden/>
                <w:sz w:val="22"/>
                <w:szCs w:val="22"/>
              </w:rPr>
              <w:instrText xml:space="preserve"> PAGEREF _Toc160196854 \h </w:instrText>
            </w:r>
            <w:r w:rsidRPr="00512244">
              <w:rPr>
                <w:rFonts w:ascii="Times New Roman" w:hAnsi="Times New Roman" w:cs="Times New Roman"/>
                <w:noProof/>
                <w:webHidden/>
                <w:sz w:val="22"/>
                <w:szCs w:val="22"/>
              </w:rPr>
            </w:r>
            <w:r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31</w:t>
            </w:r>
            <w:r w:rsidRPr="00512244">
              <w:rPr>
                <w:rFonts w:ascii="Times New Roman" w:hAnsi="Times New Roman" w:cs="Times New Roman"/>
                <w:noProof/>
                <w:webHidden/>
                <w:sz w:val="22"/>
                <w:szCs w:val="22"/>
              </w:rPr>
              <w:fldChar w:fldCharType="end"/>
            </w:r>
          </w:hyperlink>
        </w:p>
        <w:p w14:paraId="77E8C84A" w14:textId="39F2269E" w:rsidR="00512244" w:rsidRPr="00512244" w:rsidRDefault="00512244">
          <w:pPr>
            <w:pStyle w:val="TDC2"/>
            <w:rPr>
              <w:rFonts w:ascii="Times New Roman" w:hAnsi="Times New Roman" w:cs="Times New Roman"/>
              <w:noProof/>
              <w:sz w:val="20"/>
              <w:szCs w:val="20"/>
              <w:lang w:eastAsia="es-GT"/>
            </w:rPr>
          </w:pPr>
          <w:hyperlink w:anchor="_Toc160196855" w:history="1">
            <w:r w:rsidRPr="00512244">
              <w:rPr>
                <w:rStyle w:val="Hipervnculo"/>
                <w:rFonts w:ascii="Times New Roman" w:eastAsiaTheme="majorEastAsia" w:hAnsi="Times New Roman" w:cs="Times New Roman"/>
                <w:noProof/>
                <w:sz w:val="22"/>
                <w:szCs w:val="22"/>
              </w:rPr>
              <w:t>IV. Disminución relativa de la deuda pública en 2023</w:t>
            </w:r>
            <w:r w:rsidRPr="00512244">
              <w:rPr>
                <w:rFonts w:ascii="Times New Roman" w:hAnsi="Times New Roman" w:cs="Times New Roman"/>
                <w:noProof/>
                <w:webHidden/>
                <w:sz w:val="22"/>
                <w:szCs w:val="22"/>
              </w:rPr>
              <w:tab/>
            </w:r>
            <w:r w:rsidRPr="00512244">
              <w:rPr>
                <w:rFonts w:ascii="Times New Roman" w:hAnsi="Times New Roman" w:cs="Times New Roman"/>
                <w:noProof/>
                <w:webHidden/>
                <w:sz w:val="22"/>
                <w:szCs w:val="22"/>
              </w:rPr>
              <w:fldChar w:fldCharType="begin"/>
            </w:r>
            <w:r w:rsidRPr="00512244">
              <w:rPr>
                <w:rFonts w:ascii="Times New Roman" w:hAnsi="Times New Roman" w:cs="Times New Roman"/>
                <w:noProof/>
                <w:webHidden/>
                <w:sz w:val="22"/>
                <w:szCs w:val="22"/>
              </w:rPr>
              <w:instrText xml:space="preserve"> PAGEREF _Toc160196855 \h </w:instrText>
            </w:r>
            <w:r w:rsidRPr="00512244">
              <w:rPr>
                <w:rFonts w:ascii="Times New Roman" w:hAnsi="Times New Roman" w:cs="Times New Roman"/>
                <w:noProof/>
                <w:webHidden/>
                <w:sz w:val="22"/>
                <w:szCs w:val="22"/>
              </w:rPr>
            </w:r>
            <w:r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34</w:t>
            </w:r>
            <w:r w:rsidRPr="00512244">
              <w:rPr>
                <w:rFonts w:ascii="Times New Roman" w:hAnsi="Times New Roman" w:cs="Times New Roman"/>
                <w:noProof/>
                <w:webHidden/>
                <w:sz w:val="22"/>
                <w:szCs w:val="22"/>
              </w:rPr>
              <w:fldChar w:fldCharType="end"/>
            </w:r>
          </w:hyperlink>
        </w:p>
        <w:p w14:paraId="3858A802" w14:textId="02CC5440" w:rsidR="00512244" w:rsidRPr="00512244" w:rsidRDefault="00512244">
          <w:pPr>
            <w:pStyle w:val="TDC1"/>
            <w:rPr>
              <w:rFonts w:ascii="Times New Roman" w:hAnsi="Times New Roman" w:cs="Times New Roman"/>
              <w:noProof/>
              <w:sz w:val="20"/>
              <w:szCs w:val="20"/>
              <w:lang w:eastAsia="es-GT"/>
            </w:rPr>
          </w:pPr>
          <w:hyperlink w:anchor="_Toc160196856" w:history="1">
            <w:r w:rsidRPr="00512244">
              <w:rPr>
                <w:rStyle w:val="Hipervnculo"/>
                <w:rFonts w:ascii="Times New Roman" w:hAnsi="Times New Roman" w:cs="Times New Roman"/>
                <w:noProof/>
                <w:sz w:val="22"/>
                <w:szCs w:val="22"/>
              </w:rPr>
              <w:t>V.  Metas establecidas en el Marco Fiscal de Mediano Plazo 2023-2027</w:t>
            </w:r>
            <w:r w:rsidRPr="00512244">
              <w:rPr>
                <w:rFonts w:ascii="Times New Roman" w:hAnsi="Times New Roman" w:cs="Times New Roman"/>
                <w:noProof/>
                <w:webHidden/>
                <w:sz w:val="22"/>
                <w:szCs w:val="22"/>
              </w:rPr>
              <w:tab/>
            </w:r>
            <w:r w:rsidRPr="00512244">
              <w:rPr>
                <w:rFonts w:ascii="Times New Roman" w:hAnsi="Times New Roman" w:cs="Times New Roman"/>
                <w:noProof/>
                <w:webHidden/>
                <w:sz w:val="22"/>
                <w:szCs w:val="22"/>
              </w:rPr>
              <w:fldChar w:fldCharType="begin"/>
            </w:r>
            <w:r w:rsidRPr="00512244">
              <w:rPr>
                <w:rFonts w:ascii="Times New Roman" w:hAnsi="Times New Roman" w:cs="Times New Roman"/>
                <w:noProof/>
                <w:webHidden/>
                <w:sz w:val="22"/>
                <w:szCs w:val="22"/>
              </w:rPr>
              <w:instrText xml:space="preserve"> PAGEREF _Toc160196856 \h </w:instrText>
            </w:r>
            <w:r w:rsidRPr="00512244">
              <w:rPr>
                <w:rFonts w:ascii="Times New Roman" w:hAnsi="Times New Roman" w:cs="Times New Roman"/>
                <w:noProof/>
                <w:webHidden/>
                <w:sz w:val="22"/>
                <w:szCs w:val="22"/>
              </w:rPr>
            </w:r>
            <w:r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35</w:t>
            </w:r>
            <w:r w:rsidRPr="00512244">
              <w:rPr>
                <w:rFonts w:ascii="Times New Roman" w:hAnsi="Times New Roman" w:cs="Times New Roman"/>
                <w:noProof/>
                <w:webHidden/>
                <w:sz w:val="22"/>
                <w:szCs w:val="22"/>
              </w:rPr>
              <w:fldChar w:fldCharType="end"/>
            </w:r>
          </w:hyperlink>
        </w:p>
        <w:p w14:paraId="3C322892" w14:textId="78C3D1D9" w:rsidR="00512244" w:rsidRPr="00512244" w:rsidRDefault="00512244">
          <w:pPr>
            <w:pStyle w:val="TDC1"/>
            <w:rPr>
              <w:rFonts w:ascii="Times New Roman" w:hAnsi="Times New Roman" w:cs="Times New Roman"/>
              <w:noProof/>
              <w:sz w:val="20"/>
              <w:szCs w:val="20"/>
              <w:lang w:eastAsia="es-GT"/>
            </w:rPr>
          </w:pPr>
          <w:hyperlink w:anchor="_Toc160196857" w:history="1">
            <w:r w:rsidRPr="00512244">
              <w:rPr>
                <w:rStyle w:val="Hipervnculo"/>
                <w:rFonts w:ascii="Times New Roman" w:hAnsi="Times New Roman" w:cs="Times New Roman"/>
                <w:noProof/>
                <w:sz w:val="22"/>
                <w:szCs w:val="22"/>
              </w:rPr>
              <w:t>VI. Orientación de la política fiscal en 2023</w:t>
            </w:r>
            <w:r w:rsidRPr="00512244">
              <w:rPr>
                <w:rFonts w:ascii="Times New Roman" w:hAnsi="Times New Roman" w:cs="Times New Roman"/>
                <w:noProof/>
                <w:webHidden/>
                <w:sz w:val="22"/>
                <w:szCs w:val="22"/>
              </w:rPr>
              <w:tab/>
            </w:r>
            <w:r w:rsidRPr="00512244">
              <w:rPr>
                <w:rFonts w:ascii="Times New Roman" w:hAnsi="Times New Roman" w:cs="Times New Roman"/>
                <w:noProof/>
                <w:webHidden/>
                <w:sz w:val="22"/>
                <w:szCs w:val="22"/>
              </w:rPr>
              <w:fldChar w:fldCharType="begin"/>
            </w:r>
            <w:r w:rsidRPr="00512244">
              <w:rPr>
                <w:rFonts w:ascii="Times New Roman" w:hAnsi="Times New Roman" w:cs="Times New Roman"/>
                <w:noProof/>
                <w:webHidden/>
                <w:sz w:val="22"/>
                <w:szCs w:val="22"/>
              </w:rPr>
              <w:instrText xml:space="preserve"> PAGEREF _Toc160196857 \h </w:instrText>
            </w:r>
            <w:r w:rsidRPr="00512244">
              <w:rPr>
                <w:rFonts w:ascii="Times New Roman" w:hAnsi="Times New Roman" w:cs="Times New Roman"/>
                <w:noProof/>
                <w:webHidden/>
                <w:sz w:val="22"/>
                <w:szCs w:val="22"/>
              </w:rPr>
            </w:r>
            <w:r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37</w:t>
            </w:r>
            <w:r w:rsidRPr="00512244">
              <w:rPr>
                <w:rFonts w:ascii="Times New Roman" w:hAnsi="Times New Roman" w:cs="Times New Roman"/>
                <w:noProof/>
                <w:webHidden/>
                <w:sz w:val="22"/>
                <w:szCs w:val="22"/>
              </w:rPr>
              <w:fldChar w:fldCharType="end"/>
            </w:r>
          </w:hyperlink>
        </w:p>
        <w:p w14:paraId="6B4B4CB1" w14:textId="0AEC3CDA" w:rsidR="00512244" w:rsidRPr="00512244" w:rsidRDefault="00512244">
          <w:pPr>
            <w:pStyle w:val="TDC1"/>
            <w:rPr>
              <w:rFonts w:ascii="Times New Roman" w:hAnsi="Times New Roman" w:cs="Times New Roman"/>
              <w:noProof/>
              <w:sz w:val="20"/>
              <w:szCs w:val="20"/>
              <w:lang w:eastAsia="es-GT"/>
            </w:rPr>
          </w:pPr>
          <w:hyperlink w:anchor="_Toc160196858" w:history="1">
            <w:r w:rsidRPr="00512244">
              <w:rPr>
                <w:rStyle w:val="Hipervnculo"/>
                <w:rFonts w:ascii="Times New Roman" w:hAnsi="Times New Roman" w:cs="Times New Roman"/>
                <w:noProof/>
                <w:sz w:val="22"/>
                <w:szCs w:val="22"/>
              </w:rPr>
              <w:t>VII.</w:t>
            </w:r>
            <w:r w:rsidRPr="00512244">
              <w:rPr>
                <w:rStyle w:val="Hipervnculo"/>
                <w:rFonts w:ascii="Times New Roman" w:eastAsia="Times New Roman" w:hAnsi="Times New Roman" w:cs="Times New Roman"/>
                <w:noProof/>
                <w:sz w:val="22"/>
                <w:szCs w:val="22"/>
                <w:lang w:eastAsia="es-ES"/>
              </w:rPr>
              <w:t xml:space="preserve"> </w:t>
            </w:r>
            <w:r w:rsidRPr="00512244">
              <w:rPr>
                <w:rStyle w:val="Hipervnculo"/>
                <w:rFonts w:ascii="Times New Roman" w:hAnsi="Times New Roman" w:cs="Times New Roman"/>
                <w:noProof/>
                <w:sz w:val="22"/>
                <w:szCs w:val="22"/>
              </w:rPr>
              <w:t>Resultado de las finanzas públicas 2023 según el estándar de las MEFP 2014</w:t>
            </w:r>
            <w:r w:rsidRPr="00512244">
              <w:rPr>
                <w:rFonts w:ascii="Times New Roman" w:hAnsi="Times New Roman" w:cs="Times New Roman"/>
                <w:noProof/>
                <w:webHidden/>
                <w:sz w:val="22"/>
                <w:szCs w:val="22"/>
              </w:rPr>
              <w:tab/>
            </w:r>
            <w:r w:rsidRPr="00512244">
              <w:rPr>
                <w:rFonts w:ascii="Times New Roman" w:hAnsi="Times New Roman" w:cs="Times New Roman"/>
                <w:noProof/>
                <w:webHidden/>
                <w:sz w:val="22"/>
                <w:szCs w:val="22"/>
              </w:rPr>
              <w:fldChar w:fldCharType="begin"/>
            </w:r>
            <w:r w:rsidRPr="00512244">
              <w:rPr>
                <w:rFonts w:ascii="Times New Roman" w:hAnsi="Times New Roman" w:cs="Times New Roman"/>
                <w:noProof/>
                <w:webHidden/>
                <w:sz w:val="22"/>
                <w:szCs w:val="22"/>
              </w:rPr>
              <w:instrText xml:space="preserve"> PAGEREF _Toc160196858 \h </w:instrText>
            </w:r>
            <w:r w:rsidRPr="00512244">
              <w:rPr>
                <w:rFonts w:ascii="Times New Roman" w:hAnsi="Times New Roman" w:cs="Times New Roman"/>
                <w:noProof/>
                <w:webHidden/>
                <w:sz w:val="22"/>
                <w:szCs w:val="22"/>
              </w:rPr>
            </w:r>
            <w:r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38</w:t>
            </w:r>
            <w:r w:rsidRPr="00512244">
              <w:rPr>
                <w:rFonts w:ascii="Times New Roman" w:hAnsi="Times New Roman" w:cs="Times New Roman"/>
                <w:noProof/>
                <w:webHidden/>
                <w:sz w:val="22"/>
                <w:szCs w:val="22"/>
              </w:rPr>
              <w:fldChar w:fldCharType="end"/>
            </w:r>
          </w:hyperlink>
        </w:p>
        <w:p w14:paraId="42CA1278" w14:textId="77D56936" w:rsidR="00512244" w:rsidRPr="00512244" w:rsidRDefault="00512244">
          <w:pPr>
            <w:pStyle w:val="TDC2"/>
            <w:rPr>
              <w:rFonts w:ascii="Times New Roman" w:hAnsi="Times New Roman" w:cs="Times New Roman"/>
              <w:noProof/>
              <w:sz w:val="20"/>
              <w:szCs w:val="20"/>
              <w:lang w:eastAsia="es-GT"/>
            </w:rPr>
          </w:pPr>
          <w:hyperlink w:anchor="_Toc160196859" w:history="1">
            <w:r w:rsidRPr="00512244">
              <w:rPr>
                <w:rStyle w:val="Hipervnculo"/>
                <w:rFonts w:ascii="Times New Roman" w:hAnsi="Times New Roman" w:cs="Times New Roman"/>
                <w:noProof/>
                <w:sz w:val="22"/>
                <w:szCs w:val="22"/>
                <w:lang w:val="es-MX"/>
              </w:rPr>
              <w:t>7.1 Estado de operaciones del Gobierno Central Presupuestario</w:t>
            </w:r>
            <w:r w:rsidRPr="00512244">
              <w:rPr>
                <w:rFonts w:ascii="Times New Roman" w:hAnsi="Times New Roman" w:cs="Times New Roman"/>
                <w:noProof/>
                <w:webHidden/>
                <w:sz w:val="22"/>
                <w:szCs w:val="22"/>
              </w:rPr>
              <w:tab/>
            </w:r>
            <w:r w:rsidRPr="00512244">
              <w:rPr>
                <w:rFonts w:ascii="Times New Roman" w:hAnsi="Times New Roman" w:cs="Times New Roman"/>
                <w:noProof/>
                <w:webHidden/>
                <w:sz w:val="22"/>
                <w:szCs w:val="22"/>
              </w:rPr>
              <w:fldChar w:fldCharType="begin"/>
            </w:r>
            <w:r w:rsidRPr="00512244">
              <w:rPr>
                <w:rFonts w:ascii="Times New Roman" w:hAnsi="Times New Roman" w:cs="Times New Roman"/>
                <w:noProof/>
                <w:webHidden/>
                <w:sz w:val="22"/>
                <w:szCs w:val="22"/>
              </w:rPr>
              <w:instrText xml:space="preserve"> PAGEREF _Toc160196859 \h </w:instrText>
            </w:r>
            <w:r w:rsidRPr="00512244">
              <w:rPr>
                <w:rFonts w:ascii="Times New Roman" w:hAnsi="Times New Roman" w:cs="Times New Roman"/>
                <w:noProof/>
                <w:webHidden/>
                <w:sz w:val="22"/>
                <w:szCs w:val="22"/>
              </w:rPr>
            </w:r>
            <w:r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39</w:t>
            </w:r>
            <w:r w:rsidRPr="00512244">
              <w:rPr>
                <w:rFonts w:ascii="Times New Roman" w:hAnsi="Times New Roman" w:cs="Times New Roman"/>
                <w:noProof/>
                <w:webHidden/>
                <w:sz w:val="22"/>
                <w:szCs w:val="22"/>
              </w:rPr>
              <w:fldChar w:fldCharType="end"/>
            </w:r>
          </w:hyperlink>
        </w:p>
        <w:p w14:paraId="5D335C49" w14:textId="0ED87B86" w:rsidR="00512244" w:rsidRPr="00512244" w:rsidRDefault="00512244">
          <w:pPr>
            <w:pStyle w:val="TDC2"/>
            <w:rPr>
              <w:rFonts w:ascii="Times New Roman" w:hAnsi="Times New Roman" w:cs="Times New Roman"/>
              <w:noProof/>
              <w:sz w:val="20"/>
              <w:szCs w:val="20"/>
              <w:lang w:eastAsia="es-GT"/>
            </w:rPr>
          </w:pPr>
          <w:hyperlink w:anchor="_Toc160196860" w:history="1">
            <w:r w:rsidRPr="00512244">
              <w:rPr>
                <w:rStyle w:val="Hipervnculo"/>
                <w:rFonts w:ascii="Times New Roman" w:hAnsi="Times New Roman" w:cs="Times New Roman"/>
                <w:noProof/>
                <w:sz w:val="22"/>
                <w:szCs w:val="22"/>
                <w:lang w:val="es-MX"/>
              </w:rPr>
              <w:t>7.2 Estado de operaciones del Gobierno General Consolidado</w:t>
            </w:r>
            <w:r w:rsidRPr="00512244">
              <w:rPr>
                <w:rFonts w:ascii="Times New Roman" w:hAnsi="Times New Roman" w:cs="Times New Roman"/>
                <w:noProof/>
                <w:webHidden/>
                <w:sz w:val="22"/>
                <w:szCs w:val="22"/>
              </w:rPr>
              <w:tab/>
            </w:r>
            <w:r w:rsidRPr="00512244">
              <w:rPr>
                <w:rFonts w:ascii="Times New Roman" w:hAnsi="Times New Roman" w:cs="Times New Roman"/>
                <w:noProof/>
                <w:webHidden/>
                <w:sz w:val="22"/>
                <w:szCs w:val="22"/>
              </w:rPr>
              <w:fldChar w:fldCharType="begin"/>
            </w:r>
            <w:r w:rsidRPr="00512244">
              <w:rPr>
                <w:rFonts w:ascii="Times New Roman" w:hAnsi="Times New Roman" w:cs="Times New Roman"/>
                <w:noProof/>
                <w:webHidden/>
                <w:sz w:val="22"/>
                <w:szCs w:val="22"/>
              </w:rPr>
              <w:instrText xml:space="preserve"> PAGEREF _Toc160196860 \h </w:instrText>
            </w:r>
            <w:r w:rsidRPr="00512244">
              <w:rPr>
                <w:rFonts w:ascii="Times New Roman" w:hAnsi="Times New Roman" w:cs="Times New Roman"/>
                <w:noProof/>
                <w:webHidden/>
                <w:sz w:val="22"/>
                <w:szCs w:val="22"/>
              </w:rPr>
            </w:r>
            <w:r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40</w:t>
            </w:r>
            <w:r w:rsidRPr="00512244">
              <w:rPr>
                <w:rFonts w:ascii="Times New Roman" w:hAnsi="Times New Roman" w:cs="Times New Roman"/>
                <w:noProof/>
                <w:webHidden/>
                <w:sz w:val="22"/>
                <w:szCs w:val="22"/>
              </w:rPr>
              <w:fldChar w:fldCharType="end"/>
            </w:r>
          </w:hyperlink>
        </w:p>
        <w:p w14:paraId="16683C6E" w14:textId="16F102FC" w:rsidR="00512244" w:rsidRPr="00512244" w:rsidRDefault="00512244">
          <w:pPr>
            <w:pStyle w:val="TDC2"/>
            <w:rPr>
              <w:rFonts w:ascii="Times New Roman" w:hAnsi="Times New Roman" w:cs="Times New Roman"/>
              <w:noProof/>
              <w:sz w:val="20"/>
              <w:szCs w:val="20"/>
              <w:lang w:eastAsia="es-GT"/>
            </w:rPr>
          </w:pPr>
          <w:hyperlink w:anchor="_Toc160196861" w:history="1">
            <w:r w:rsidRPr="00512244">
              <w:rPr>
                <w:rStyle w:val="Hipervnculo"/>
                <w:rFonts w:ascii="Times New Roman" w:hAnsi="Times New Roman" w:cs="Times New Roman"/>
                <w:noProof/>
                <w:sz w:val="22"/>
                <w:szCs w:val="22"/>
                <w:lang w:val="es-MX"/>
              </w:rPr>
              <w:t>7.3 Estado de operaciones del Sector Público No Financiero</w:t>
            </w:r>
            <w:r w:rsidRPr="00512244">
              <w:rPr>
                <w:rFonts w:ascii="Times New Roman" w:hAnsi="Times New Roman" w:cs="Times New Roman"/>
                <w:noProof/>
                <w:webHidden/>
                <w:sz w:val="22"/>
                <w:szCs w:val="22"/>
              </w:rPr>
              <w:tab/>
            </w:r>
            <w:r w:rsidRPr="00512244">
              <w:rPr>
                <w:rFonts w:ascii="Times New Roman" w:hAnsi="Times New Roman" w:cs="Times New Roman"/>
                <w:noProof/>
                <w:webHidden/>
                <w:sz w:val="22"/>
                <w:szCs w:val="22"/>
              </w:rPr>
              <w:fldChar w:fldCharType="begin"/>
            </w:r>
            <w:r w:rsidRPr="00512244">
              <w:rPr>
                <w:rFonts w:ascii="Times New Roman" w:hAnsi="Times New Roman" w:cs="Times New Roman"/>
                <w:noProof/>
                <w:webHidden/>
                <w:sz w:val="22"/>
                <w:szCs w:val="22"/>
              </w:rPr>
              <w:instrText xml:space="preserve"> PAGEREF _Toc160196861 \h </w:instrText>
            </w:r>
            <w:r w:rsidRPr="00512244">
              <w:rPr>
                <w:rFonts w:ascii="Times New Roman" w:hAnsi="Times New Roman" w:cs="Times New Roman"/>
                <w:noProof/>
                <w:webHidden/>
                <w:sz w:val="22"/>
                <w:szCs w:val="22"/>
              </w:rPr>
            </w:r>
            <w:r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42</w:t>
            </w:r>
            <w:r w:rsidRPr="00512244">
              <w:rPr>
                <w:rFonts w:ascii="Times New Roman" w:hAnsi="Times New Roman" w:cs="Times New Roman"/>
                <w:noProof/>
                <w:webHidden/>
                <w:sz w:val="22"/>
                <w:szCs w:val="22"/>
              </w:rPr>
              <w:fldChar w:fldCharType="end"/>
            </w:r>
          </w:hyperlink>
        </w:p>
        <w:p w14:paraId="37E30E9E" w14:textId="6D173E70" w:rsidR="00512244" w:rsidRPr="00512244" w:rsidRDefault="00512244">
          <w:pPr>
            <w:pStyle w:val="TDC1"/>
            <w:rPr>
              <w:rFonts w:ascii="Times New Roman" w:hAnsi="Times New Roman" w:cs="Times New Roman"/>
              <w:noProof/>
              <w:sz w:val="20"/>
              <w:szCs w:val="20"/>
              <w:lang w:eastAsia="es-GT"/>
            </w:rPr>
          </w:pPr>
          <w:hyperlink w:anchor="_Toc160196862" w:history="1">
            <w:r w:rsidRPr="00512244">
              <w:rPr>
                <w:rStyle w:val="Hipervnculo"/>
                <w:rFonts w:ascii="Times New Roman" w:eastAsiaTheme="majorEastAsia" w:hAnsi="Times New Roman" w:cs="Times New Roman"/>
                <w:noProof/>
                <w:sz w:val="22"/>
                <w:szCs w:val="22"/>
                <w:lang w:val="es-ES_tradnl" w:eastAsia="es-ES"/>
              </w:rPr>
              <w:t>VIII.</w:t>
            </w:r>
            <w:r w:rsidRPr="00512244">
              <w:rPr>
                <w:rFonts w:ascii="Times New Roman" w:hAnsi="Times New Roman" w:cs="Times New Roman"/>
                <w:noProof/>
                <w:sz w:val="20"/>
                <w:szCs w:val="20"/>
                <w:lang w:eastAsia="es-GT"/>
              </w:rPr>
              <w:tab/>
            </w:r>
            <w:r w:rsidRPr="00512244">
              <w:rPr>
                <w:rStyle w:val="Hipervnculo"/>
                <w:rFonts w:ascii="Times New Roman" w:eastAsiaTheme="majorEastAsia" w:hAnsi="Times New Roman" w:cs="Times New Roman"/>
                <w:noProof/>
                <w:sz w:val="22"/>
                <w:szCs w:val="22"/>
                <w:lang w:val="es-ES_tradnl" w:eastAsia="es-ES"/>
              </w:rPr>
              <w:t>Supuestos económicos y previsiones fiscales para 2024</w:t>
            </w:r>
            <w:r w:rsidRPr="00512244">
              <w:rPr>
                <w:rFonts w:ascii="Times New Roman" w:hAnsi="Times New Roman" w:cs="Times New Roman"/>
                <w:noProof/>
                <w:webHidden/>
                <w:sz w:val="22"/>
                <w:szCs w:val="22"/>
              </w:rPr>
              <w:tab/>
            </w:r>
            <w:r w:rsidRPr="00512244">
              <w:rPr>
                <w:rFonts w:ascii="Times New Roman" w:hAnsi="Times New Roman" w:cs="Times New Roman"/>
                <w:noProof/>
                <w:webHidden/>
                <w:sz w:val="22"/>
                <w:szCs w:val="22"/>
              </w:rPr>
              <w:fldChar w:fldCharType="begin"/>
            </w:r>
            <w:r w:rsidRPr="00512244">
              <w:rPr>
                <w:rFonts w:ascii="Times New Roman" w:hAnsi="Times New Roman" w:cs="Times New Roman"/>
                <w:noProof/>
                <w:webHidden/>
                <w:sz w:val="22"/>
                <w:szCs w:val="22"/>
              </w:rPr>
              <w:instrText xml:space="preserve"> PAGEREF _Toc160196862 \h </w:instrText>
            </w:r>
            <w:r w:rsidRPr="00512244">
              <w:rPr>
                <w:rFonts w:ascii="Times New Roman" w:hAnsi="Times New Roman" w:cs="Times New Roman"/>
                <w:noProof/>
                <w:webHidden/>
                <w:sz w:val="22"/>
                <w:szCs w:val="22"/>
              </w:rPr>
            </w:r>
            <w:r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44</w:t>
            </w:r>
            <w:r w:rsidRPr="00512244">
              <w:rPr>
                <w:rFonts w:ascii="Times New Roman" w:hAnsi="Times New Roman" w:cs="Times New Roman"/>
                <w:noProof/>
                <w:webHidden/>
                <w:sz w:val="22"/>
                <w:szCs w:val="22"/>
              </w:rPr>
              <w:fldChar w:fldCharType="end"/>
            </w:r>
          </w:hyperlink>
        </w:p>
        <w:p w14:paraId="1CB4A841" w14:textId="7331ED16" w:rsidR="00512244" w:rsidRPr="00512244" w:rsidRDefault="00512244">
          <w:pPr>
            <w:pStyle w:val="TDC2"/>
            <w:rPr>
              <w:rFonts w:ascii="Times New Roman" w:hAnsi="Times New Roman" w:cs="Times New Roman"/>
              <w:noProof/>
              <w:sz w:val="20"/>
              <w:szCs w:val="20"/>
              <w:lang w:eastAsia="es-GT"/>
            </w:rPr>
          </w:pPr>
          <w:hyperlink w:anchor="_Toc160196863" w:history="1">
            <w:r w:rsidRPr="00512244">
              <w:rPr>
                <w:rStyle w:val="Hipervnculo"/>
                <w:rFonts w:ascii="Times New Roman" w:eastAsiaTheme="majorEastAsia" w:hAnsi="Times New Roman" w:cs="Times New Roman"/>
                <w:noProof/>
                <w:sz w:val="22"/>
                <w:szCs w:val="22"/>
              </w:rPr>
              <w:t>8.1 Supuestos de la economía mundial</w:t>
            </w:r>
            <w:r w:rsidRPr="00512244">
              <w:rPr>
                <w:rFonts w:ascii="Times New Roman" w:hAnsi="Times New Roman" w:cs="Times New Roman"/>
                <w:noProof/>
                <w:webHidden/>
                <w:sz w:val="22"/>
                <w:szCs w:val="22"/>
              </w:rPr>
              <w:tab/>
            </w:r>
            <w:r w:rsidRPr="00512244">
              <w:rPr>
                <w:rFonts w:ascii="Times New Roman" w:hAnsi="Times New Roman" w:cs="Times New Roman"/>
                <w:noProof/>
                <w:webHidden/>
                <w:sz w:val="22"/>
                <w:szCs w:val="22"/>
              </w:rPr>
              <w:fldChar w:fldCharType="begin"/>
            </w:r>
            <w:r w:rsidRPr="00512244">
              <w:rPr>
                <w:rFonts w:ascii="Times New Roman" w:hAnsi="Times New Roman" w:cs="Times New Roman"/>
                <w:noProof/>
                <w:webHidden/>
                <w:sz w:val="22"/>
                <w:szCs w:val="22"/>
              </w:rPr>
              <w:instrText xml:space="preserve"> PAGEREF _Toc160196863 \h </w:instrText>
            </w:r>
            <w:r w:rsidRPr="00512244">
              <w:rPr>
                <w:rFonts w:ascii="Times New Roman" w:hAnsi="Times New Roman" w:cs="Times New Roman"/>
                <w:noProof/>
                <w:webHidden/>
                <w:sz w:val="22"/>
                <w:szCs w:val="22"/>
              </w:rPr>
            </w:r>
            <w:r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44</w:t>
            </w:r>
            <w:r w:rsidRPr="00512244">
              <w:rPr>
                <w:rFonts w:ascii="Times New Roman" w:hAnsi="Times New Roman" w:cs="Times New Roman"/>
                <w:noProof/>
                <w:webHidden/>
                <w:sz w:val="22"/>
                <w:szCs w:val="22"/>
              </w:rPr>
              <w:fldChar w:fldCharType="end"/>
            </w:r>
          </w:hyperlink>
        </w:p>
        <w:p w14:paraId="59A78BD2" w14:textId="7AEA32B3" w:rsidR="00512244" w:rsidRPr="00512244" w:rsidRDefault="00512244">
          <w:pPr>
            <w:pStyle w:val="TDC2"/>
            <w:rPr>
              <w:rFonts w:ascii="Times New Roman" w:hAnsi="Times New Roman" w:cs="Times New Roman"/>
              <w:noProof/>
              <w:sz w:val="20"/>
              <w:szCs w:val="20"/>
              <w:lang w:eastAsia="es-GT"/>
            </w:rPr>
          </w:pPr>
          <w:hyperlink w:anchor="_Toc160196864" w:history="1">
            <w:r w:rsidRPr="00512244">
              <w:rPr>
                <w:rStyle w:val="Hipervnculo"/>
                <w:rFonts w:ascii="Times New Roman" w:eastAsiaTheme="majorEastAsia" w:hAnsi="Times New Roman" w:cs="Times New Roman"/>
                <w:noProof/>
                <w:sz w:val="22"/>
                <w:szCs w:val="22"/>
              </w:rPr>
              <w:t>8.2 Supuestos del comercio mundial</w:t>
            </w:r>
            <w:r w:rsidRPr="00512244">
              <w:rPr>
                <w:rFonts w:ascii="Times New Roman" w:hAnsi="Times New Roman" w:cs="Times New Roman"/>
                <w:noProof/>
                <w:webHidden/>
                <w:sz w:val="22"/>
                <w:szCs w:val="22"/>
              </w:rPr>
              <w:tab/>
            </w:r>
            <w:r w:rsidRPr="00512244">
              <w:rPr>
                <w:rFonts w:ascii="Times New Roman" w:hAnsi="Times New Roman" w:cs="Times New Roman"/>
                <w:noProof/>
                <w:webHidden/>
                <w:sz w:val="22"/>
                <w:szCs w:val="22"/>
              </w:rPr>
              <w:fldChar w:fldCharType="begin"/>
            </w:r>
            <w:r w:rsidRPr="00512244">
              <w:rPr>
                <w:rFonts w:ascii="Times New Roman" w:hAnsi="Times New Roman" w:cs="Times New Roman"/>
                <w:noProof/>
                <w:webHidden/>
                <w:sz w:val="22"/>
                <w:szCs w:val="22"/>
              </w:rPr>
              <w:instrText xml:space="preserve"> PAGEREF _Toc160196864 \h </w:instrText>
            </w:r>
            <w:r w:rsidRPr="00512244">
              <w:rPr>
                <w:rFonts w:ascii="Times New Roman" w:hAnsi="Times New Roman" w:cs="Times New Roman"/>
                <w:noProof/>
                <w:webHidden/>
                <w:sz w:val="22"/>
                <w:szCs w:val="22"/>
              </w:rPr>
            </w:r>
            <w:r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45</w:t>
            </w:r>
            <w:r w:rsidRPr="00512244">
              <w:rPr>
                <w:rFonts w:ascii="Times New Roman" w:hAnsi="Times New Roman" w:cs="Times New Roman"/>
                <w:noProof/>
                <w:webHidden/>
                <w:sz w:val="22"/>
                <w:szCs w:val="22"/>
              </w:rPr>
              <w:fldChar w:fldCharType="end"/>
            </w:r>
          </w:hyperlink>
        </w:p>
        <w:p w14:paraId="0BABD8B3" w14:textId="190F2DBB" w:rsidR="00512244" w:rsidRPr="00512244" w:rsidRDefault="00512244">
          <w:pPr>
            <w:pStyle w:val="TDC2"/>
            <w:rPr>
              <w:rFonts w:ascii="Times New Roman" w:hAnsi="Times New Roman" w:cs="Times New Roman"/>
              <w:noProof/>
              <w:sz w:val="20"/>
              <w:szCs w:val="20"/>
              <w:lang w:eastAsia="es-GT"/>
            </w:rPr>
          </w:pPr>
          <w:hyperlink w:anchor="_Toc160196865" w:history="1">
            <w:r w:rsidRPr="00512244">
              <w:rPr>
                <w:rStyle w:val="Hipervnculo"/>
                <w:rFonts w:ascii="Times New Roman" w:eastAsiaTheme="majorEastAsia" w:hAnsi="Times New Roman" w:cs="Times New Roman"/>
                <w:noProof/>
                <w:sz w:val="22"/>
                <w:szCs w:val="22"/>
              </w:rPr>
              <w:t>8.3 Supuestos de los precios de las materias prima (</w:t>
            </w:r>
            <w:r w:rsidRPr="00512244">
              <w:rPr>
                <w:rStyle w:val="Hipervnculo"/>
                <w:rFonts w:ascii="Times New Roman" w:eastAsiaTheme="majorEastAsia" w:hAnsi="Times New Roman" w:cs="Times New Roman"/>
                <w:i/>
                <w:iCs/>
                <w:noProof/>
                <w:sz w:val="22"/>
                <w:szCs w:val="22"/>
              </w:rPr>
              <w:t>commodities</w:t>
            </w:r>
            <w:r w:rsidRPr="00512244">
              <w:rPr>
                <w:rStyle w:val="Hipervnculo"/>
                <w:rFonts w:ascii="Times New Roman" w:eastAsiaTheme="majorEastAsia" w:hAnsi="Times New Roman" w:cs="Times New Roman"/>
                <w:noProof/>
                <w:sz w:val="22"/>
                <w:szCs w:val="22"/>
              </w:rPr>
              <w:t>)</w:t>
            </w:r>
            <w:r w:rsidRPr="00512244">
              <w:rPr>
                <w:rFonts w:ascii="Times New Roman" w:hAnsi="Times New Roman" w:cs="Times New Roman"/>
                <w:noProof/>
                <w:webHidden/>
                <w:sz w:val="22"/>
                <w:szCs w:val="22"/>
              </w:rPr>
              <w:tab/>
            </w:r>
            <w:r w:rsidRPr="00512244">
              <w:rPr>
                <w:rFonts w:ascii="Times New Roman" w:hAnsi="Times New Roman" w:cs="Times New Roman"/>
                <w:noProof/>
                <w:webHidden/>
                <w:sz w:val="22"/>
                <w:szCs w:val="22"/>
              </w:rPr>
              <w:fldChar w:fldCharType="begin"/>
            </w:r>
            <w:r w:rsidRPr="00512244">
              <w:rPr>
                <w:rFonts w:ascii="Times New Roman" w:hAnsi="Times New Roman" w:cs="Times New Roman"/>
                <w:noProof/>
                <w:webHidden/>
                <w:sz w:val="22"/>
                <w:szCs w:val="22"/>
              </w:rPr>
              <w:instrText xml:space="preserve"> PAGEREF _Toc160196865 \h </w:instrText>
            </w:r>
            <w:r w:rsidRPr="00512244">
              <w:rPr>
                <w:rFonts w:ascii="Times New Roman" w:hAnsi="Times New Roman" w:cs="Times New Roman"/>
                <w:noProof/>
                <w:webHidden/>
                <w:sz w:val="22"/>
                <w:szCs w:val="22"/>
              </w:rPr>
            </w:r>
            <w:r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46</w:t>
            </w:r>
            <w:r w:rsidRPr="00512244">
              <w:rPr>
                <w:rFonts w:ascii="Times New Roman" w:hAnsi="Times New Roman" w:cs="Times New Roman"/>
                <w:noProof/>
                <w:webHidden/>
                <w:sz w:val="22"/>
                <w:szCs w:val="22"/>
              </w:rPr>
              <w:fldChar w:fldCharType="end"/>
            </w:r>
          </w:hyperlink>
        </w:p>
        <w:p w14:paraId="5AA50399" w14:textId="7BE810A1" w:rsidR="00512244" w:rsidRPr="00512244" w:rsidRDefault="00512244">
          <w:pPr>
            <w:pStyle w:val="TDC2"/>
            <w:rPr>
              <w:rFonts w:ascii="Times New Roman" w:hAnsi="Times New Roman" w:cs="Times New Roman"/>
              <w:noProof/>
              <w:sz w:val="20"/>
              <w:szCs w:val="20"/>
              <w:lang w:eastAsia="es-GT"/>
            </w:rPr>
          </w:pPr>
          <w:hyperlink w:anchor="_Toc160196866" w:history="1">
            <w:r w:rsidRPr="00512244">
              <w:rPr>
                <w:rStyle w:val="Hipervnculo"/>
                <w:rFonts w:ascii="Times New Roman" w:eastAsiaTheme="majorEastAsia" w:hAnsi="Times New Roman" w:cs="Times New Roman"/>
                <w:noProof/>
                <w:sz w:val="22"/>
                <w:szCs w:val="22"/>
              </w:rPr>
              <w:t>8.4 Supuestos para la economía interna</w:t>
            </w:r>
            <w:r w:rsidRPr="00512244">
              <w:rPr>
                <w:rFonts w:ascii="Times New Roman" w:hAnsi="Times New Roman" w:cs="Times New Roman"/>
                <w:noProof/>
                <w:webHidden/>
                <w:sz w:val="22"/>
                <w:szCs w:val="22"/>
              </w:rPr>
              <w:tab/>
            </w:r>
            <w:r w:rsidRPr="00512244">
              <w:rPr>
                <w:rFonts w:ascii="Times New Roman" w:hAnsi="Times New Roman" w:cs="Times New Roman"/>
                <w:noProof/>
                <w:webHidden/>
                <w:sz w:val="22"/>
                <w:szCs w:val="22"/>
              </w:rPr>
              <w:fldChar w:fldCharType="begin"/>
            </w:r>
            <w:r w:rsidRPr="00512244">
              <w:rPr>
                <w:rFonts w:ascii="Times New Roman" w:hAnsi="Times New Roman" w:cs="Times New Roman"/>
                <w:noProof/>
                <w:webHidden/>
                <w:sz w:val="22"/>
                <w:szCs w:val="22"/>
              </w:rPr>
              <w:instrText xml:space="preserve"> PAGEREF _Toc160196866 \h </w:instrText>
            </w:r>
            <w:r w:rsidRPr="00512244">
              <w:rPr>
                <w:rFonts w:ascii="Times New Roman" w:hAnsi="Times New Roman" w:cs="Times New Roman"/>
                <w:noProof/>
                <w:webHidden/>
                <w:sz w:val="22"/>
                <w:szCs w:val="22"/>
              </w:rPr>
            </w:r>
            <w:r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47</w:t>
            </w:r>
            <w:r w:rsidRPr="00512244">
              <w:rPr>
                <w:rFonts w:ascii="Times New Roman" w:hAnsi="Times New Roman" w:cs="Times New Roman"/>
                <w:noProof/>
                <w:webHidden/>
                <w:sz w:val="22"/>
                <w:szCs w:val="22"/>
              </w:rPr>
              <w:fldChar w:fldCharType="end"/>
            </w:r>
          </w:hyperlink>
        </w:p>
        <w:p w14:paraId="0787E3BF" w14:textId="04326D0A" w:rsidR="00512244" w:rsidRPr="00512244" w:rsidRDefault="00512244">
          <w:pPr>
            <w:pStyle w:val="TDC2"/>
            <w:rPr>
              <w:rFonts w:ascii="Times New Roman" w:hAnsi="Times New Roman" w:cs="Times New Roman"/>
              <w:noProof/>
              <w:sz w:val="20"/>
              <w:szCs w:val="20"/>
              <w:lang w:eastAsia="es-GT"/>
            </w:rPr>
          </w:pPr>
          <w:hyperlink w:anchor="_Toc160196867" w:history="1">
            <w:r w:rsidRPr="00512244">
              <w:rPr>
                <w:rStyle w:val="Hipervnculo"/>
                <w:rFonts w:ascii="Times New Roman" w:eastAsiaTheme="majorEastAsia" w:hAnsi="Times New Roman" w:cs="Times New Roman"/>
                <w:noProof/>
                <w:sz w:val="22"/>
                <w:szCs w:val="22"/>
              </w:rPr>
              <w:t>8.5 Presupuesto en Vigencia 2024</w:t>
            </w:r>
            <w:r w:rsidRPr="00512244">
              <w:rPr>
                <w:rFonts w:ascii="Times New Roman" w:hAnsi="Times New Roman" w:cs="Times New Roman"/>
                <w:noProof/>
                <w:webHidden/>
                <w:sz w:val="22"/>
                <w:szCs w:val="22"/>
              </w:rPr>
              <w:tab/>
            </w:r>
            <w:r w:rsidRPr="00512244">
              <w:rPr>
                <w:rFonts w:ascii="Times New Roman" w:hAnsi="Times New Roman" w:cs="Times New Roman"/>
                <w:noProof/>
                <w:webHidden/>
                <w:sz w:val="22"/>
                <w:szCs w:val="22"/>
              </w:rPr>
              <w:fldChar w:fldCharType="begin"/>
            </w:r>
            <w:r w:rsidRPr="00512244">
              <w:rPr>
                <w:rFonts w:ascii="Times New Roman" w:hAnsi="Times New Roman" w:cs="Times New Roman"/>
                <w:noProof/>
                <w:webHidden/>
                <w:sz w:val="22"/>
                <w:szCs w:val="22"/>
              </w:rPr>
              <w:instrText xml:space="preserve"> PAGEREF _Toc160196867 \h </w:instrText>
            </w:r>
            <w:r w:rsidRPr="00512244">
              <w:rPr>
                <w:rFonts w:ascii="Times New Roman" w:hAnsi="Times New Roman" w:cs="Times New Roman"/>
                <w:noProof/>
                <w:webHidden/>
                <w:sz w:val="22"/>
                <w:szCs w:val="22"/>
              </w:rPr>
            </w:r>
            <w:r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51</w:t>
            </w:r>
            <w:r w:rsidRPr="00512244">
              <w:rPr>
                <w:rFonts w:ascii="Times New Roman" w:hAnsi="Times New Roman" w:cs="Times New Roman"/>
                <w:noProof/>
                <w:webHidden/>
                <w:sz w:val="22"/>
                <w:szCs w:val="22"/>
              </w:rPr>
              <w:fldChar w:fldCharType="end"/>
            </w:r>
          </w:hyperlink>
        </w:p>
        <w:p w14:paraId="0338BDBA" w14:textId="633E06F4" w:rsidR="00512244" w:rsidRPr="00512244" w:rsidRDefault="00512244">
          <w:pPr>
            <w:pStyle w:val="TDC1"/>
            <w:rPr>
              <w:rFonts w:ascii="Times New Roman" w:hAnsi="Times New Roman" w:cs="Times New Roman"/>
              <w:noProof/>
              <w:sz w:val="20"/>
              <w:szCs w:val="20"/>
              <w:lang w:eastAsia="es-GT"/>
            </w:rPr>
          </w:pPr>
          <w:hyperlink w:anchor="_Toc160196868" w:history="1">
            <w:r w:rsidRPr="00512244">
              <w:rPr>
                <w:rStyle w:val="Hipervnculo"/>
                <w:rFonts w:ascii="Times New Roman" w:eastAsia="Times New Roman" w:hAnsi="Times New Roman" w:cs="Times New Roman"/>
                <w:noProof/>
                <w:sz w:val="22"/>
                <w:szCs w:val="22"/>
              </w:rPr>
              <w:t>IX.</w:t>
            </w:r>
            <w:r w:rsidRPr="00512244">
              <w:rPr>
                <w:rFonts w:ascii="Times New Roman" w:hAnsi="Times New Roman" w:cs="Times New Roman"/>
                <w:noProof/>
                <w:sz w:val="20"/>
                <w:szCs w:val="20"/>
                <w:lang w:eastAsia="es-GT"/>
              </w:rPr>
              <w:tab/>
            </w:r>
            <w:r w:rsidRPr="00512244">
              <w:rPr>
                <w:rStyle w:val="Hipervnculo"/>
                <w:rFonts w:ascii="Times New Roman" w:eastAsiaTheme="majorEastAsia" w:hAnsi="Times New Roman" w:cs="Times New Roman"/>
                <w:noProof/>
                <w:sz w:val="22"/>
                <w:szCs w:val="22"/>
                <w:lang w:val="es-ES_tradnl" w:eastAsia="es-ES"/>
              </w:rPr>
              <w:t>Apéndice</w:t>
            </w:r>
            <w:r w:rsidRPr="00512244">
              <w:rPr>
                <w:rFonts w:ascii="Times New Roman" w:hAnsi="Times New Roman" w:cs="Times New Roman"/>
                <w:noProof/>
                <w:webHidden/>
                <w:sz w:val="22"/>
                <w:szCs w:val="22"/>
              </w:rPr>
              <w:tab/>
            </w:r>
            <w:r w:rsidRPr="00512244">
              <w:rPr>
                <w:rFonts w:ascii="Times New Roman" w:hAnsi="Times New Roman" w:cs="Times New Roman"/>
                <w:noProof/>
                <w:webHidden/>
                <w:sz w:val="22"/>
                <w:szCs w:val="22"/>
              </w:rPr>
              <w:fldChar w:fldCharType="begin"/>
            </w:r>
            <w:r w:rsidRPr="00512244">
              <w:rPr>
                <w:rFonts w:ascii="Times New Roman" w:hAnsi="Times New Roman" w:cs="Times New Roman"/>
                <w:noProof/>
                <w:webHidden/>
                <w:sz w:val="22"/>
                <w:szCs w:val="22"/>
              </w:rPr>
              <w:instrText xml:space="preserve"> PAGEREF _Toc160196868 \h </w:instrText>
            </w:r>
            <w:r w:rsidRPr="00512244">
              <w:rPr>
                <w:rFonts w:ascii="Times New Roman" w:hAnsi="Times New Roman" w:cs="Times New Roman"/>
                <w:noProof/>
                <w:webHidden/>
                <w:sz w:val="22"/>
                <w:szCs w:val="22"/>
              </w:rPr>
            </w:r>
            <w:r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56</w:t>
            </w:r>
            <w:r w:rsidRPr="00512244">
              <w:rPr>
                <w:rFonts w:ascii="Times New Roman" w:hAnsi="Times New Roman" w:cs="Times New Roman"/>
                <w:noProof/>
                <w:webHidden/>
                <w:sz w:val="22"/>
                <w:szCs w:val="22"/>
              </w:rPr>
              <w:fldChar w:fldCharType="end"/>
            </w:r>
          </w:hyperlink>
        </w:p>
        <w:p w14:paraId="32D349E9" w14:textId="0716DD00" w:rsidR="00512244" w:rsidRPr="00512244" w:rsidRDefault="00512244">
          <w:pPr>
            <w:pStyle w:val="TDC2"/>
            <w:rPr>
              <w:rFonts w:ascii="Times New Roman" w:hAnsi="Times New Roman" w:cs="Times New Roman"/>
              <w:noProof/>
              <w:sz w:val="20"/>
              <w:szCs w:val="20"/>
              <w:lang w:eastAsia="es-GT"/>
            </w:rPr>
          </w:pPr>
          <w:hyperlink w:anchor="_Toc160196869" w:history="1">
            <w:r w:rsidRPr="00512244">
              <w:rPr>
                <w:rStyle w:val="Hipervnculo"/>
                <w:rFonts w:ascii="Times New Roman" w:eastAsiaTheme="majorEastAsia" w:hAnsi="Times New Roman" w:cs="Times New Roman"/>
                <w:noProof/>
                <w:sz w:val="22"/>
                <w:szCs w:val="22"/>
              </w:rPr>
              <w:t>9.1</w:t>
            </w:r>
            <w:r w:rsidRPr="00512244">
              <w:rPr>
                <w:rFonts w:ascii="Times New Roman" w:hAnsi="Times New Roman" w:cs="Times New Roman"/>
                <w:noProof/>
                <w:sz w:val="20"/>
                <w:szCs w:val="20"/>
                <w:lang w:eastAsia="es-GT"/>
              </w:rPr>
              <w:tab/>
            </w:r>
            <w:r w:rsidRPr="00512244">
              <w:rPr>
                <w:rStyle w:val="Hipervnculo"/>
                <w:rFonts w:ascii="Times New Roman" w:eastAsiaTheme="majorEastAsia" w:hAnsi="Times New Roman" w:cs="Times New Roman"/>
                <w:noProof/>
                <w:sz w:val="22"/>
                <w:szCs w:val="22"/>
              </w:rPr>
              <w:t>Contexto macroeconómico externo e interno en 2023</w:t>
            </w:r>
            <w:r w:rsidRPr="00512244">
              <w:rPr>
                <w:rFonts w:ascii="Times New Roman" w:hAnsi="Times New Roman" w:cs="Times New Roman"/>
                <w:noProof/>
                <w:webHidden/>
                <w:sz w:val="22"/>
                <w:szCs w:val="22"/>
              </w:rPr>
              <w:tab/>
            </w:r>
            <w:r w:rsidRPr="00512244">
              <w:rPr>
                <w:rFonts w:ascii="Times New Roman" w:hAnsi="Times New Roman" w:cs="Times New Roman"/>
                <w:noProof/>
                <w:webHidden/>
                <w:sz w:val="22"/>
                <w:szCs w:val="22"/>
              </w:rPr>
              <w:fldChar w:fldCharType="begin"/>
            </w:r>
            <w:r w:rsidRPr="00512244">
              <w:rPr>
                <w:rFonts w:ascii="Times New Roman" w:hAnsi="Times New Roman" w:cs="Times New Roman"/>
                <w:noProof/>
                <w:webHidden/>
                <w:sz w:val="22"/>
                <w:szCs w:val="22"/>
              </w:rPr>
              <w:instrText xml:space="preserve"> PAGEREF _Toc160196869 \h </w:instrText>
            </w:r>
            <w:r w:rsidRPr="00512244">
              <w:rPr>
                <w:rFonts w:ascii="Times New Roman" w:hAnsi="Times New Roman" w:cs="Times New Roman"/>
                <w:noProof/>
                <w:webHidden/>
                <w:sz w:val="22"/>
                <w:szCs w:val="22"/>
              </w:rPr>
            </w:r>
            <w:r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56</w:t>
            </w:r>
            <w:r w:rsidRPr="00512244">
              <w:rPr>
                <w:rFonts w:ascii="Times New Roman" w:hAnsi="Times New Roman" w:cs="Times New Roman"/>
                <w:noProof/>
                <w:webHidden/>
                <w:sz w:val="22"/>
                <w:szCs w:val="22"/>
              </w:rPr>
              <w:fldChar w:fldCharType="end"/>
            </w:r>
          </w:hyperlink>
        </w:p>
        <w:p w14:paraId="6EC7321B" w14:textId="24961B13" w:rsidR="00512244" w:rsidRPr="00512244" w:rsidRDefault="00512244">
          <w:pPr>
            <w:pStyle w:val="TDC3"/>
            <w:rPr>
              <w:rFonts w:ascii="Times New Roman" w:hAnsi="Times New Roman" w:cs="Times New Roman"/>
              <w:noProof/>
              <w:sz w:val="20"/>
              <w:szCs w:val="20"/>
              <w:lang w:eastAsia="es-GT"/>
            </w:rPr>
          </w:pPr>
          <w:hyperlink w:anchor="_Toc160196870" w:history="1">
            <w:r w:rsidRPr="00512244">
              <w:rPr>
                <w:rStyle w:val="Hipervnculo"/>
                <w:rFonts w:ascii="Times New Roman" w:eastAsiaTheme="majorEastAsia" w:hAnsi="Times New Roman" w:cs="Times New Roman"/>
                <w:noProof/>
                <w:sz w:val="22"/>
                <w:szCs w:val="22"/>
              </w:rPr>
              <w:t>9.1.1</w:t>
            </w:r>
            <w:r w:rsidRPr="00512244">
              <w:rPr>
                <w:rFonts w:ascii="Times New Roman" w:hAnsi="Times New Roman" w:cs="Times New Roman"/>
                <w:noProof/>
                <w:sz w:val="20"/>
                <w:szCs w:val="20"/>
                <w:lang w:eastAsia="es-GT"/>
              </w:rPr>
              <w:tab/>
            </w:r>
            <w:r w:rsidRPr="00512244">
              <w:rPr>
                <w:rStyle w:val="Hipervnculo"/>
                <w:rFonts w:ascii="Times New Roman" w:eastAsiaTheme="majorEastAsia" w:hAnsi="Times New Roman" w:cs="Times New Roman"/>
                <w:noProof/>
                <w:sz w:val="22"/>
                <w:szCs w:val="22"/>
              </w:rPr>
              <w:t>Entorno Externo</w:t>
            </w:r>
            <w:r w:rsidRPr="00512244">
              <w:rPr>
                <w:rFonts w:ascii="Times New Roman" w:hAnsi="Times New Roman" w:cs="Times New Roman"/>
                <w:noProof/>
                <w:webHidden/>
                <w:sz w:val="22"/>
                <w:szCs w:val="22"/>
              </w:rPr>
              <w:tab/>
            </w:r>
            <w:r w:rsidRPr="00512244">
              <w:rPr>
                <w:rFonts w:ascii="Times New Roman" w:hAnsi="Times New Roman" w:cs="Times New Roman"/>
                <w:noProof/>
                <w:webHidden/>
                <w:sz w:val="22"/>
                <w:szCs w:val="22"/>
              </w:rPr>
              <w:fldChar w:fldCharType="begin"/>
            </w:r>
            <w:r w:rsidRPr="00512244">
              <w:rPr>
                <w:rFonts w:ascii="Times New Roman" w:hAnsi="Times New Roman" w:cs="Times New Roman"/>
                <w:noProof/>
                <w:webHidden/>
                <w:sz w:val="22"/>
                <w:szCs w:val="22"/>
              </w:rPr>
              <w:instrText xml:space="preserve"> PAGEREF _Toc160196870 \h </w:instrText>
            </w:r>
            <w:r w:rsidRPr="00512244">
              <w:rPr>
                <w:rFonts w:ascii="Times New Roman" w:hAnsi="Times New Roman" w:cs="Times New Roman"/>
                <w:noProof/>
                <w:webHidden/>
                <w:sz w:val="22"/>
                <w:szCs w:val="22"/>
              </w:rPr>
            </w:r>
            <w:r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56</w:t>
            </w:r>
            <w:r w:rsidRPr="00512244">
              <w:rPr>
                <w:rFonts w:ascii="Times New Roman" w:hAnsi="Times New Roman" w:cs="Times New Roman"/>
                <w:noProof/>
                <w:webHidden/>
                <w:sz w:val="22"/>
                <w:szCs w:val="22"/>
              </w:rPr>
              <w:fldChar w:fldCharType="end"/>
            </w:r>
          </w:hyperlink>
        </w:p>
        <w:p w14:paraId="6ADA2B12" w14:textId="723068EE" w:rsidR="00512244" w:rsidRPr="00512244" w:rsidRDefault="00512244">
          <w:pPr>
            <w:pStyle w:val="TDC3"/>
            <w:tabs>
              <w:tab w:val="left" w:pos="1760"/>
            </w:tabs>
            <w:rPr>
              <w:rFonts w:ascii="Times New Roman" w:hAnsi="Times New Roman" w:cs="Times New Roman"/>
              <w:noProof/>
              <w:sz w:val="20"/>
              <w:szCs w:val="20"/>
              <w:lang w:eastAsia="es-GT"/>
            </w:rPr>
          </w:pPr>
          <w:hyperlink w:anchor="_Toc160196871" w:history="1">
            <w:r w:rsidRPr="00512244">
              <w:rPr>
                <w:rStyle w:val="Hipervnculo"/>
                <w:rFonts w:ascii="Times New Roman" w:eastAsiaTheme="majorEastAsia" w:hAnsi="Times New Roman" w:cs="Times New Roman"/>
                <w:noProof/>
                <w:sz w:val="22"/>
                <w:szCs w:val="22"/>
              </w:rPr>
              <w:t>9.1.1.1</w:t>
            </w:r>
            <w:r w:rsidRPr="00512244">
              <w:rPr>
                <w:rFonts w:ascii="Times New Roman" w:hAnsi="Times New Roman" w:cs="Times New Roman"/>
                <w:noProof/>
                <w:sz w:val="20"/>
                <w:szCs w:val="20"/>
                <w:lang w:eastAsia="es-GT"/>
              </w:rPr>
              <w:tab/>
            </w:r>
            <w:r w:rsidRPr="00512244">
              <w:rPr>
                <w:rStyle w:val="Hipervnculo"/>
                <w:rFonts w:ascii="Times New Roman" w:eastAsiaTheme="majorEastAsia" w:hAnsi="Times New Roman" w:cs="Times New Roman"/>
                <w:noProof/>
                <w:sz w:val="22"/>
                <w:szCs w:val="22"/>
              </w:rPr>
              <w:t>Desempeño económico de los principales socios comerciales</w:t>
            </w:r>
            <w:r w:rsidRPr="00512244">
              <w:rPr>
                <w:rFonts w:ascii="Times New Roman" w:hAnsi="Times New Roman" w:cs="Times New Roman"/>
                <w:noProof/>
                <w:webHidden/>
                <w:sz w:val="22"/>
                <w:szCs w:val="22"/>
              </w:rPr>
              <w:tab/>
            </w:r>
            <w:r w:rsidRPr="00512244">
              <w:rPr>
                <w:rFonts w:ascii="Times New Roman" w:hAnsi="Times New Roman" w:cs="Times New Roman"/>
                <w:noProof/>
                <w:webHidden/>
                <w:sz w:val="22"/>
                <w:szCs w:val="22"/>
              </w:rPr>
              <w:fldChar w:fldCharType="begin"/>
            </w:r>
            <w:r w:rsidRPr="00512244">
              <w:rPr>
                <w:rFonts w:ascii="Times New Roman" w:hAnsi="Times New Roman" w:cs="Times New Roman"/>
                <w:noProof/>
                <w:webHidden/>
                <w:sz w:val="22"/>
                <w:szCs w:val="22"/>
              </w:rPr>
              <w:instrText xml:space="preserve"> PAGEREF _Toc160196871 \h </w:instrText>
            </w:r>
            <w:r w:rsidRPr="00512244">
              <w:rPr>
                <w:rFonts w:ascii="Times New Roman" w:hAnsi="Times New Roman" w:cs="Times New Roman"/>
                <w:noProof/>
                <w:webHidden/>
                <w:sz w:val="22"/>
                <w:szCs w:val="22"/>
              </w:rPr>
            </w:r>
            <w:r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58</w:t>
            </w:r>
            <w:r w:rsidRPr="00512244">
              <w:rPr>
                <w:rFonts w:ascii="Times New Roman" w:hAnsi="Times New Roman" w:cs="Times New Roman"/>
                <w:noProof/>
                <w:webHidden/>
                <w:sz w:val="22"/>
                <w:szCs w:val="22"/>
              </w:rPr>
              <w:fldChar w:fldCharType="end"/>
            </w:r>
          </w:hyperlink>
        </w:p>
        <w:p w14:paraId="4EB335B8" w14:textId="2F86B034" w:rsidR="00512244" w:rsidRPr="00512244" w:rsidRDefault="00512244">
          <w:pPr>
            <w:pStyle w:val="TDC3"/>
            <w:rPr>
              <w:rFonts w:ascii="Times New Roman" w:hAnsi="Times New Roman" w:cs="Times New Roman"/>
              <w:noProof/>
              <w:sz w:val="20"/>
              <w:szCs w:val="20"/>
              <w:lang w:eastAsia="es-GT"/>
            </w:rPr>
          </w:pPr>
          <w:hyperlink w:anchor="_Toc160196872" w:history="1">
            <w:r w:rsidRPr="00512244">
              <w:rPr>
                <w:rStyle w:val="Hipervnculo"/>
                <w:rFonts w:ascii="Times New Roman" w:eastAsiaTheme="majorEastAsia" w:hAnsi="Times New Roman" w:cs="Times New Roman"/>
                <w:noProof/>
                <w:sz w:val="22"/>
                <w:szCs w:val="22"/>
              </w:rPr>
              <w:t>9.1.2</w:t>
            </w:r>
            <w:r w:rsidRPr="00512244">
              <w:rPr>
                <w:rFonts w:ascii="Times New Roman" w:hAnsi="Times New Roman" w:cs="Times New Roman"/>
                <w:noProof/>
                <w:sz w:val="20"/>
                <w:szCs w:val="20"/>
                <w:lang w:eastAsia="es-GT"/>
              </w:rPr>
              <w:tab/>
            </w:r>
            <w:r w:rsidRPr="00512244">
              <w:rPr>
                <w:rStyle w:val="Hipervnculo"/>
                <w:rFonts w:ascii="Times New Roman" w:eastAsiaTheme="majorEastAsia" w:hAnsi="Times New Roman" w:cs="Times New Roman"/>
                <w:noProof/>
                <w:sz w:val="22"/>
                <w:szCs w:val="22"/>
              </w:rPr>
              <w:t>Entorno Interno</w:t>
            </w:r>
            <w:r w:rsidRPr="00512244">
              <w:rPr>
                <w:rFonts w:ascii="Times New Roman" w:hAnsi="Times New Roman" w:cs="Times New Roman"/>
                <w:noProof/>
                <w:webHidden/>
                <w:sz w:val="22"/>
                <w:szCs w:val="22"/>
              </w:rPr>
              <w:tab/>
            </w:r>
            <w:r w:rsidRPr="00512244">
              <w:rPr>
                <w:rFonts w:ascii="Times New Roman" w:hAnsi="Times New Roman" w:cs="Times New Roman"/>
                <w:noProof/>
                <w:webHidden/>
                <w:sz w:val="22"/>
                <w:szCs w:val="22"/>
              </w:rPr>
              <w:fldChar w:fldCharType="begin"/>
            </w:r>
            <w:r w:rsidRPr="00512244">
              <w:rPr>
                <w:rFonts w:ascii="Times New Roman" w:hAnsi="Times New Roman" w:cs="Times New Roman"/>
                <w:noProof/>
                <w:webHidden/>
                <w:sz w:val="22"/>
                <w:szCs w:val="22"/>
              </w:rPr>
              <w:instrText xml:space="preserve"> PAGEREF _Toc160196872 \h </w:instrText>
            </w:r>
            <w:r w:rsidRPr="00512244">
              <w:rPr>
                <w:rFonts w:ascii="Times New Roman" w:hAnsi="Times New Roman" w:cs="Times New Roman"/>
                <w:noProof/>
                <w:webHidden/>
                <w:sz w:val="22"/>
                <w:szCs w:val="22"/>
              </w:rPr>
            </w:r>
            <w:r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59</w:t>
            </w:r>
            <w:r w:rsidRPr="00512244">
              <w:rPr>
                <w:rFonts w:ascii="Times New Roman" w:hAnsi="Times New Roman" w:cs="Times New Roman"/>
                <w:noProof/>
                <w:webHidden/>
                <w:sz w:val="22"/>
                <w:szCs w:val="22"/>
              </w:rPr>
              <w:fldChar w:fldCharType="end"/>
            </w:r>
          </w:hyperlink>
        </w:p>
        <w:p w14:paraId="2DD14523" w14:textId="4C20A823" w:rsidR="00CF4F63" w:rsidRPr="00EC5879" w:rsidRDefault="00CF4F63" w:rsidP="00A60AE0">
          <w:pPr>
            <w:rPr>
              <w:rFonts w:ascii="Times New Roman" w:hAnsi="Times New Roman" w:cs="Times New Roman"/>
              <w:sz w:val="22"/>
              <w:szCs w:val="22"/>
            </w:rPr>
          </w:pPr>
          <w:r w:rsidRPr="00EC5879">
            <w:rPr>
              <w:rFonts w:ascii="Times New Roman" w:hAnsi="Times New Roman" w:cs="Times New Roman"/>
              <w:sz w:val="22"/>
              <w:szCs w:val="22"/>
              <w:lang w:val="es-ES"/>
            </w:rPr>
            <w:fldChar w:fldCharType="end"/>
          </w:r>
        </w:p>
      </w:sdtContent>
    </w:sdt>
    <w:p w14:paraId="76AF325B" w14:textId="77777777" w:rsidR="00AF7AEE" w:rsidRDefault="00AF7AEE" w:rsidP="00EC5879">
      <w:pPr>
        <w:pStyle w:val="Tabladeilustraciones"/>
        <w:tabs>
          <w:tab w:val="right" w:leader="dot" w:pos="8828"/>
        </w:tabs>
        <w:jc w:val="center"/>
        <w:rPr>
          <w:rFonts w:ascii="Times New Roman" w:eastAsia="Times New Roman" w:hAnsi="Times New Roman" w:cs="Times New Roman"/>
          <w:b/>
          <w:bCs/>
        </w:rPr>
      </w:pPr>
    </w:p>
    <w:p w14:paraId="3AE79243" w14:textId="77777777" w:rsidR="00AF7AEE" w:rsidRDefault="00AF7AEE" w:rsidP="00EC5879">
      <w:pPr>
        <w:pStyle w:val="Tabladeilustraciones"/>
        <w:tabs>
          <w:tab w:val="right" w:leader="dot" w:pos="8828"/>
        </w:tabs>
        <w:jc w:val="center"/>
        <w:rPr>
          <w:rFonts w:ascii="Times New Roman" w:eastAsia="Times New Roman" w:hAnsi="Times New Roman" w:cs="Times New Roman"/>
          <w:b/>
          <w:bCs/>
        </w:rPr>
      </w:pPr>
    </w:p>
    <w:p w14:paraId="7A17EC10" w14:textId="77777777" w:rsidR="00AF7AEE" w:rsidRDefault="00AF7AEE" w:rsidP="00EC5879">
      <w:pPr>
        <w:pStyle w:val="Tabladeilustraciones"/>
        <w:tabs>
          <w:tab w:val="right" w:leader="dot" w:pos="8828"/>
        </w:tabs>
        <w:jc w:val="center"/>
        <w:rPr>
          <w:rFonts w:ascii="Times New Roman" w:eastAsia="Times New Roman" w:hAnsi="Times New Roman" w:cs="Times New Roman"/>
          <w:b/>
          <w:bCs/>
        </w:rPr>
      </w:pPr>
    </w:p>
    <w:p w14:paraId="549110D2" w14:textId="77777777" w:rsidR="00AF7AEE" w:rsidRDefault="00AF7AEE" w:rsidP="00EC5879">
      <w:pPr>
        <w:pStyle w:val="Tabladeilustraciones"/>
        <w:tabs>
          <w:tab w:val="right" w:leader="dot" w:pos="8828"/>
        </w:tabs>
        <w:jc w:val="center"/>
        <w:rPr>
          <w:rFonts w:ascii="Times New Roman" w:eastAsia="Times New Roman" w:hAnsi="Times New Roman" w:cs="Times New Roman"/>
          <w:b/>
          <w:bCs/>
        </w:rPr>
      </w:pPr>
    </w:p>
    <w:p w14:paraId="7DC24C83" w14:textId="444C93CC" w:rsidR="00AF7AEE" w:rsidRDefault="00AF7AEE" w:rsidP="00EC5879">
      <w:pPr>
        <w:pStyle w:val="Tabladeilustraciones"/>
        <w:tabs>
          <w:tab w:val="right" w:leader="dot" w:pos="8828"/>
        </w:tabs>
        <w:jc w:val="center"/>
        <w:rPr>
          <w:rFonts w:ascii="Times New Roman" w:eastAsia="Times New Roman" w:hAnsi="Times New Roman" w:cs="Times New Roman"/>
          <w:b/>
          <w:bCs/>
        </w:rPr>
      </w:pPr>
    </w:p>
    <w:p w14:paraId="48CED8A5" w14:textId="4259FC1F" w:rsidR="00512244" w:rsidRDefault="00512244" w:rsidP="00512244"/>
    <w:p w14:paraId="112A045C" w14:textId="77777777" w:rsidR="00512244" w:rsidRPr="00512244" w:rsidRDefault="00512244" w:rsidP="00512244"/>
    <w:p w14:paraId="317E6787" w14:textId="77777777" w:rsidR="00AF7AEE" w:rsidRDefault="00AF7AEE" w:rsidP="00EC5879">
      <w:pPr>
        <w:pStyle w:val="Tabladeilustraciones"/>
        <w:tabs>
          <w:tab w:val="right" w:leader="dot" w:pos="8828"/>
        </w:tabs>
        <w:jc w:val="center"/>
        <w:rPr>
          <w:rFonts w:ascii="Times New Roman" w:eastAsia="Times New Roman" w:hAnsi="Times New Roman" w:cs="Times New Roman"/>
          <w:b/>
          <w:bCs/>
        </w:rPr>
      </w:pPr>
    </w:p>
    <w:p w14:paraId="374B2297" w14:textId="22B635AB" w:rsidR="00EC5879" w:rsidRDefault="00EC5879" w:rsidP="00EC5879">
      <w:pPr>
        <w:pStyle w:val="Tabladeilustraciones"/>
        <w:tabs>
          <w:tab w:val="right" w:leader="dot" w:pos="8828"/>
        </w:tabs>
        <w:jc w:val="center"/>
        <w:rPr>
          <w:rFonts w:ascii="Times New Roman" w:eastAsia="Times New Roman" w:hAnsi="Times New Roman" w:cs="Times New Roman"/>
          <w:b/>
          <w:bCs/>
        </w:rPr>
      </w:pPr>
      <w:r w:rsidRPr="00EC5879">
        <w:rPr>
          <w:rFonts w:ascii="Times New Roman" w:eastAsia="Times New Roman" w:hAnsi="Times New Roman" w:cs="Times New Roman"/>
          <w:b/>
          <w:bCs/>
        </w:rPr>
        <w:lastRenderedPageBreak/>
        <w:t>Contenido en gráficos</w:t>
      </w:r>
    </w:p>
    <w:p w14:paraId="433596C5" w14:textId="77777777" w:rsidR="00EB0485" w:rsidRPr="00EB0485" w:rsidRDefault="00EB0485" w:rsidP="00EB0485"/>
    <w:p w14:paraId="00B2532A" w14:textId="12DCEB47" w:rsidR="00CF4F63" w:rsidRPr="00512244" w:rsidRDefault="00CF4F63">
      <w:pPr>
        <w:pStyle w:val="Tabladeilustraciones"/>
        <w:tabs>
          <w:tab w:val="right" w:leader="dot" w:pos="8828"/>
        </w:tabs>
        <w:rPr>
          <w:rFonts w:ascii="Times New Roman" w:hAnsi="Times New Roman" w:cs="Times New Roman"/>
          <w:noProof/>
          <w:sz w:val="22"/>
          <w:szCs w:val="22"/>
        </w:rPr>
      </w:pPr>
      <w:r w:rsidRPr="00EC5879">
        <w:rPr>
          <w:rFonts w:ascii="Times New Roman" w:eastAsia="Times New Roman" w:hAnsi="Times New Roman" w:cs="Times New Roman"/>
          <w:sz w:val="22"/>
          <w:szCs w:val="22"/>
        </w:rPr>
        <w:fldChar w:fldCharType="begin"/>
      </w:r>
      <w:r w:rsidRPr="00EC5879">
        <w:rPr>
          <w:rFonts w:ascii="Times New Roman" w:eastAsia="Times New Roman" w:hAnsi="Times New Roman" w:cs="Times New Roman"/>
          <w:sz w:val="22"/>
          <w:szCs w:val="22"/>
        </w:rPr>
        <w:instrText xml:space="preserve"> TOC \h \z \c "Gráfico" </w:instrText>
      </w:r>
      <w:r w:rsidRPr="00EC5879">
        <w:rPr>
          <w:rFonts w:ascii="Times New Roman" w:eastAsia="Times New Roman" w:hAnsi="Times New Roman" w:cs="Times New Roman"/>
          <w:sz w:val="22"/>
          <w:szCs w:val="22"/>
        </w:rPr>
        <w:fldChar w:fldCharType="separate"/>
      </w:r>
      <w:hyperlink w:anchor="_Toc158103846" w:history="1">
        <w:r w:rsidRPr="00512244">
          <w:rPr>
            <w:rStyle w:val="Hipervnculo"/>
            <w:rFonts w:ascii="Times New Roman" w:hAnsi="Times New Roman" w:cs="Times New Roman"/>
            <w:noProof/>
            <w:sz w:val="22"/>
            <w:szCs w:val="22"/>
          </w:rPr>
          <w:t xml:space="preserve">1.  </w:t>
        </w:r>
        <w:r w:rsidRPr="00512244">
          <w:rPr>
            <w:rStyle w:val="Hipervnculo"/>
            <w:rFonts w:ascii="Times New Roman" w:eastAsia="Times New Roman" w:hAnsi="Times New Roman" w:cs="Times New Roman"/>
            <w:noProof/>
            <w:sz w:val="22"/>
            <w:szCs w:val="22"/>
          </w:rPr>
          <w:t>Variación de la recaudación tributaria neta</w:t>
        </w:r>
        <w:r w:rsidRPr="00512244">
          <w:rPr>
            <w:rFonts w:ascii="Times New Roman" w:hAnsi="Times New Roman" w:cs="Times New Roman"/>
            <w:noProof/>
            <w:webHidden/>
            <w:sz w:val="22"/>
            <w:szCs w:val="22"/>
          </w:rPr>
          <w:tab/>
        </w:r>
        <w:r w:rsidRPr="00512244">
          <w:rPr>
            <w:rFonts w:ascii="Times New Roman" w:hAnsi="Times New Roman" w:cs="Times New Roman"/>
            <w:noProof/>
            <w:webHidden/>
            <w:sz w:val="22"/>
            <w:szCs w:val="22"/>
          </w:rPr>
          <w:fldChar w:fldCharType="begin"/>
        </w:r>
        <w:r w:rsidRPr="00512244">
          <w:rPr>
            <w:rFonts w:ascii="Times New Roman" w:hAnsi="Times New Roman" w:cs="Times New Roman"/>
            <w:noProof/>
            <w:webHidden/>
            <w:sz w:val="22"/>
            <w:szCs w:val="22"/>
          </w:rPr>
          <w:instrText xml:space="preserve"> PAGEREF _Toc158103846 \h </w:instrText>
        </w:r>
        <w:r w:rsidRPr="00512244">
          <w:rPr>
            <w:rFonts w:ascii="Times New Roman" w:hAnsi="Times New Roman" w:cs="Times New Roman"/>
            <w:noProof/>
            <w:webHidden/>
            <w:sz w:val="22"/>
            <w:szCs w:val="22"/>
          </w:rPr>
        </w:r>
        <w:r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4</w:t>
        </w:r>
        <w:r w:rsidRPr="00512244">
          <w:rPr>
            <w:rFonts w:ascii="Times New Roman" w:hAnsi="Times New Roman" w:cs="Times New Roman"/>
            <w:noProof/>
            <w:webHidden/>
            <w:sz w:val="22"/>
            <w:szCs w:val="22"/>
          </w:rPr>
          <w:fldChar w:fldCharType="end"/>
        </w:r>
      </w:hyperlink>
    </w:p>
    <w:p w14:paraId="542D1B64" w14:textId="27BCE340" w:rsidR="00CF4F63" w:rsidRPr="00512244" w:rsidRDefault="00DE120B">
      <w:pPr>
        <w:pStyle w:val="Tabladeilustraciones"/>
        <w:tabs>
          <w:tab w:val="right" w:leader="dot" w:pos="8828"/>
        </w:tabs>
        <w:rPr>
          <w:rFonts w:ascii="Times New Roman" w:hAnsi="Times New Roman" w:cs="Times New Roman"/>
          <w:noProof/>
          <w:sz w:val="22"/>
          <w:szCs w:val="22"/>
        </w:rPr>
      </w:pPr>
      <w:hyperlink w:anchor="_Toc158103847" w:history="1">
        <w:r w:rsidR="00CF4F63" w:rsidRPr="00512244">
          <w:rPr>
            <w:rStyle w:val="Hipervnculo"/>
            <w:rFonts w:ascii="Times New Roman" w:hAnsi="Times New Roman" w:cs="Times New Roman"/>
            <w:noProof/>
            <w:sz w:val="22"/>
            <w:szCs w:val="22"/>
          </w:rPr>
          <w:t xml:space="preserve">2.  </w:t>
        </w:r>
        <w:r w:rsidR="00CF4F63" w:rsidRPr="00512244">
          <w:rPr>
            <w:rStyle w:val="Hipervnculo"/>
            <w:rFonts w:ascii="Times New Roman" w:eastAsia="Times New Roman" w:hAnsi="Times New Roman" w:cs="Times New Roman"/>
            <w:noProof/>
            <w:sz w:val="22"/>
            <w:szCs w:val="22"/>
            <w:lang w:val="es-MX"/>
          </w:rPr>
          <w:t>Variación del ISR de actividades lucrativas</w:t>
        </w:r>
        <w:r w:rsidR="00CF4F63" w:rsidRPr="00512244">
          <w:rPr>
            <w:rFonts w:ascii="Times New Roman" w:hAnsi="Times New Roman" w:cs="Times New Roman"/>
            <w:noProof/>
            <w:webHidden/>
            <w:sz w:val="22"/>
            <w:szCs w:val="22"/>
          </w:rPr>
          <w:tab/>
        </w:r>
        <w:r w:rsidR="00CF4F63" w:rsidRPr="00512244">
          <w:rPr>
            <w:rFonts w:ascii="Times New Roman" w:hAnsi="Times New Roman" w:cs="Times New Roman"/>
            <w:noProof/>
            <w:webHidden/>
            <w:sz w:val="22"/>
            <w:szCs w:val="22"/>
          </w:rPr>
          <w:fldChar w:fldCharType="begin"/>
        </w:r>
        <w:r w:rsidR="00CF4F63" w:rsidRPr="00512244">
          <w:rPr>
            <w:rFonts w:ascii="Times New Roman" w:hAnsi="Times New Roman" w:cs="Times New Roman"/>
            <w:noProof/>
            <w:webHidden/>
            <w:sz w:val="22"/>
            <w:szCs w:val="22"/>
          </w:rPr>
          <w:instrText xml:space="preserve"> PAGEREF _Toc158103847 \h </w:instrText>
        </w:r>
        <w:r w:rsidR="00CF4F63" w:rsidRPr="00512244">
          <w:rPr>
            <w:rFonts w:ascii="Times New Roman" w:hAnsi="Times New Roman" w:cs="Times New Roman"/>
            <w:noProof/>
            <w:webHidden/>
            <w:sz w:val="22"/>
            <w:szCs w:val="22"/>
          </w:rPr>
        </w:r>
        <w:r w:rsidR="00CF4F63"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6</w:t>
        </w:r>
        <w:r w:rsidR="00CF4F63" w:rsidRPr="00512244">
          <w:rPr>
            <w:rFonts w:ascii="Times New Roman" w:hAnsi="Times New Roman" w:cs="Times New Roman"/>
            <w:noProof/>
            <w:webHidden/>
            <w:sz w:val="22"/>
            <w:szCs w:val="22"/>
          </w:rPr>
          <w:fldChar w:fldCharType="end"/>
        </w:r>
      </w:hyperlink>
    </w:p>
    <w:p w14:paraId="6180C0D1" w14:textId="45A4286C" w:rsidR="00CF4F63" w:rsidRPr="00512244" w:rsidRDefault="00DE120B">
      <w:pPr>
        <w:pStyle w:val="Tabladeilustraciones"/>
        <w:tabs>
          <w:tab w:val="right" w:leader="dot" w:pos="8828"/>
        </w:tabs>
        <w:rPr>
          <w:rFonts w:ascii="Times New Roman" w:hAnsi="Times New Roman" w:cs="Times New Roman"/>
          <w:noProof/>
          <w:sz w:val="22"/>
          <w:szCs w:val="22"/>
        </w:rPr>
      </w:pPr>
      <w:hyperlink w:anchor="_Toc158103848" w:history="1">
        <w:r w:rsidR="00CF4F63" w:rsidRPr="00512244">
          <w:rPr>
            <w:rStyle w:val="Hipervnculo"/>
            <w:rFonts w:ascii="Times New Roman" w:hAnsi="Times New Roman" w:cs="Times New Roman"/>
            <w:noProof/>
            <w:sz w:val="22"/>
            <w:szCs w:val="22"/>
          </w:rPr>
          <w:t xml:space="preserve">3.  </w:t>
        </w:r>
        <w:r w:rsidR="00CF4F63" w:rsidRPr="00512244">
          <w:rPr>
            <w:rStyle w:val="Hipervnculo"/>
            <w:rFonts w:ascii="Times New Roman" w:eastAsia="Times New Roman" w:hAnsi="Times New Roman" w:cs="Times New Roman"/>
            <w:noProof/>
            <w:sz w:val="22"/>
            <w:szCs w:val="22"/>
            <w:lang w:val="es-MX"/>
          </w:rPr>
          <w:t>Variación del ISR en relación de dependencia</w:t>
        </w:r>
        <w:r w:rsidR="00CF4F63" w:rsidRPr="00512244">
          <w:rPr>
            <w:rFonts w:ascii="Times New Roman" w:hAnsi="Times New Roman" w:cs="Times New Roman"/>
            <w:noProof/>
            <w:webHidden/>
            <w:sz w:val="22"/>
            <w:szCs w:val="22"/>
          </w:rPr>
          <w:tab/>
        </w:r>
        <w:r w:rsidR="00CF4F63" w:rsidRPr="00512244">
          <w:rPr>
            <w:rFonts w:ascii="Times New Roman" w:hAnsi="Times New Roman" w:cs="Times New Roman"/>
            <w:noProof/>
            <w:webHidden/>
            <w:sz w:val="22"/>
            <w:szCs w:val="22"/>
          </w:rPr>
          <w:fldChar w:fldCharType="begin"/>
        </w:r>
        <w:r w:rsidR="00CF4F63" w:rsidRPr="00512244">
          <w:rPr>
            <w:rFonts w:ascii="Times New Roman" w:hAnsi="Times New Roman" w:cs="Times New Roman"/>
            <w:noProof/>
            <w:webHidden/>
            <w:sz w:val="22"/>
            <w:szCs w:val="22"/>
          </w:rPr>
          <w:instrText xml:space="preserve"> PAGEREF _Toc158103848 \h </w:instrText>
        </w:r>
        <w:r w:rsidR="00CF4F63" w:rsidRPr="00512244">
          <w:rPr>
            <w:rFonts w:ascii="Times New Roman" w:hAnsi="Times New Roman" w:cs="Times New Roman"/>
            <w:noProof/>
            <w:webHidden/>
            <w:sz w:val="22"/>
            <w:szCs w:val="22"/>
          </w:rPr>
        </w:r>
        <w:r w:rsidR="00CF4F63"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6</w:t>
        </w:r>
        <w:r w:rsidR="00CF4F63" w:rsidRPr="00512244">
          <w:rPr>
            <w:rFonts w:ascii="Times New Roman" w:hAnsi="Times New Roman" w:cs="Times New Roman"/>
            <w:noProof/>
            <w:webHidden/>
            <w:sz w:val="22"/>
            <w:szCs w:val="22"/>
          </w:rPr>
          <w:fldChar w:fldCharType="end"/>
        </w:r>
      </w:hyperlink>
    </w:p>
    <w:p w14:paraId="2371F00A" w14:textId="7C406D5B" w:rsidR="00CF4F63" w:rsidRPr="00512244" w:rsidRDefault="00DE120B">
      <w:pPr>
        <w:pStyle w:val="Tabladeilustraciones"/>
        <w:tabs>
          <w:tab w:val="right" w:leader="dot" w:pos="8828"/>
        </w:tabs>
        <w:rPr>
          <w:rFonts w:ascii="Times New Roman" w:hAnsi="Times New Roman" w:cs="Times New Roman"/>
          <w:noProof/>
          <w:sz w:val="22"/>
          <w:szCs w:val="22"/>
        </w:rPr>
      </w:pPr>
      <w:hyperlink w:anchor="_Toc158103849" w:history="1">
        <w:r w:rsidR="00CF4F63" w:rsidRPr="00512244">
          <w:rPr>
            <w:rStyle w:val="Hipervnculo"/>
            <w:rFonts w:ascii="Times New Roman" w:hAnsi="Times New Roman" w:cs="Times New Roman"/>
            <w:noProof/>
            <w:sz w:val="22"/>
            <w:szCs w:val="22"/>
          </w:rPr>
          <w:t xml:space="preserve">4.  </w:t>
        </w:r>
        <w:r w:rsidR="00CF4F63" w:rsidRPr="00512244">
          <w:rPr>
            <w:rStyle w:val="Hipervnculo"/>
            <w:rFonts w:ascii="Times New Roman" w:eastAsia="Times New Roman" w:hAnsi="Times New Roman" w:cs="Times New Roman"/>
            <w:noProof/>
            <w:sz w:val="22"/>
            <w:szCs w:val="22"/>
          </w:rPr>
          <w:t>Variación interanual acumulada 2023 – 2022 de la recaudación por actividades económicas que aportan el 92.3% a la recaudación del ISR</w:t>
        </w:r>
        <w:r w:rsidR="00CF4F63" w:rsidRPr="00512244">
          <w:rPr>
            <w:rFonts w:ascii="Times New Roman" w:hAnsi="Times New Roman" w:cs="Times New Roman"/>
            <w:noProof/>
            <w:webHidden/>
            <w:sz w:val="22"/>
            <w:szCs w:val="22"/>
          </w:rPr>
          <w:tab/>
        </w:r>
        <w:r w:rsidR="00CF4F63" w:rsidRPr="00512244">
          <w:rPr>
            <w:rFonts w:ascii="Times New Roman" w:hAnsi="Times New Roman" w:cs="Times New Roman"/>
            <w:noProof/>
            <w:webHidden/>
            <w:sz w:val="22"/>
            <w:szCs w:val="22"/>
          </w:rPr>
          <w:fldChar w:fldCharType="begin"/>
        </w:r>
        <w:r w:rsidR="00CF4F63" w:rsidRPr="00512244">
          <w:rPr>
            <w:rFonts w:ascii="Times New Roman" w:hAnsi="Times New Roman" w:cs="Times New Roman"/>
            <w:noProof/>
            <w:webHidden/>
            <w:sz w:val="22"/>
            <w:szCs w:val="22"/>
          </w:rPr>
          <w:instrText xml:space="preserve"> PAGEREF _Toc158103849 \h </w:instrText>
        </w:r>
        <w:r w:rsidR="00CF4F63" w:rsidRPr="00512244">
          <w:rPr>
            <w:rFonts w:ascii="Times New Roman" w:hAnsi="Times New Roman" w:cs="Times New Roman"/>
            <w:noProof/>
            <w:webHidden/>
            <w:sz w:val="22"/>
            <w:szCs w:val="22"/>
          </w:rPr>
        </w:r>
        <w:r w:rsidR="00CF4F63"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7</w:t>
        </w:r>
        <w:r w:rsidR="00CF4F63" w:rsidRPr="00512244">
          <w:rPr>
            <w:rFonts w:ascii="Times New Roman" w:hAnsi="Times New Roman" w:cs="Times New Roman"/>
            <w:noProof/>
            <w:webHidden/>
            <w:sz w:val="22"/>
            <w:szCs w:val="22"/>
          </w:rPr>
          <w:fldChar w:fldCharType="end"/>
        </w:r>
      </w:hyperlink>
    </w:p>
    <w:p w14:paraId="65126880" w14:textId="5727A8FD" w:rsidR="00CF4F63" w:rsidRPr="00512244" w:rsidRDefault="00DE120B">
      <w:pPr>
        <w:pStyle w:val="Tabladeilustraciones"/>
        <w:tabs>
          <w:tab w:val="right" w:leader="dot" w:pos="8828"/>
        </w:tabs>
        <w:rPr>
          <w:rFonts w:ascii="Times New Roman" w:hAnsi="Times New Roman" w:cs="Times New Roman"/>
          <w:noProof/>
          <w:sz w:val="22"/>
          <w:szCs w:val="22"/>
        </w:rPr>
      </w:pPr>
      <w:hyperlink w:anchor="_Toc158103850" w:history="1">
        <w:r w:rsidR="00CF4F63" w:rsidRPr="00512244">
          <w:rPr>
            <w:rStyle w:val="Hipervnculo"/>
            <w:rFonts w:ascii="Times New Roman" w:hAnsi="Times New Roman" w:cs="Times New Roman"/>
            <w:noProof/>
            <w:sz w:val="22"/>
            <w:szCs w:val="22"/>
          </w:rPr>
          <w:t xml:space="preserve">5.  </w:t>
        </w:r>
        <w:r w:rsidR="00CF4F63" w:rsidRPr="00512244">
          <w:rPr>
            <w:rStyle w:val="Hipervnculo"/>
            <w:rFonts w:ascii="Times New Roman" w:eastAsia="Times New Roman" w:hAnsi="Times New Roman" w:cs="Times New Roman"/>
            <w:noProof/>
            <w:sz w:val="22"/>
            <w:szCs w:val="22"/>
          </w:rPr>
          <w:t>Brecha del impuesto al valor agregado respecto a presupuesto</w:t>
        </w:r>
        <w:r w:rsidR="00CF4F63" w:rsidRPr="00512244">
          <w:rPr>
            <w:rFonts w:ascii="Times New Roman" w:hAnsi="Times New Roman" w:cs="Times New Roman"/>
            <w:noProof/>
            <w:webHidden/>
            <w:sz w:val="22"/>
            <w:szCs w:val="22"/>
          </w:rPr>
          <w:tab/>
        </w:r>
        <w:r w:rsidR="00CF4F63" w:rsidRPr="00512244">
          <w:rPr>
            <w:rFonts w:ascii="Times New Roman" w:hAnsi="Times New Roman" w:cs="Times New Roman"/>
            <w:noProof/>
            <w:webHidden/>
            <w:sz w:val="22"/>
            <w:szCs w:val="22"/>
          </w:rPr>
          <w:fldChar w:fldCharType="begin"/>
        </w:r>
        <w:r w:rsidR="00CF4F63" w:rsidRPr="00512244">
          <w:rPr>
            <w:rFonts w:ascii="Times New Roman" w:hAnsi="Times New Roman" w:cs="Times New Roman"/>
            <w:noProof/>
            <w:webHidden/>
            <w:sz w:val="22"/>
            <w:szCs w:val="22"/>
          </w:rPr>
          <w:instrText xml:space="preserve"> PAGEREF _Toc158103850 \h </w:instrText>
        </w:r>
        <w:r w:rsidR="00CF4F63" w:rsidRPr="00512244">
          <w:rPr>
            <w:rFonts w:ascii="Times New Roman" w:hAnsi="Times New Roman" w:cs="Times New Roman"/>
            <w:noProof/>
            <w:webHidden/>
            <w:sz w:val="22"/>
            <w:szCs w:val="22"/>
          </w:rPr>
        </w:r>
        <w:r w:rsidR="00CF4F63"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8</w:t>
        </w:r>
        <w:r w:rsidR="00CF4F63" w:rsidRPr="00512244">
          <w:rPr>
            <w:rFonts w:ascii="Times New Roman" w:hAnsi="Times New Roman" w:cs="Times New Roman"/>
            <w:noProof/>
            <w:webHidden/>
            <w:sz w:val="22"/>
            <w:szCs w:val="22"/>
          </w:rPr>
          <w:fldChar w:fldCharType="end"/>
        </w:r>
      </w:hyperlink>
    </w:p>
    <w:p w14:paraId="0E3FF189" w14:textId="14E7DD35" w:rsidR="00CF4F63" w:rsidRPr="00512244" w:rsidRDefault="00DE120B">
      <w:pPr>
        <w:pStyle w:val="Tabladeilustraciones"/>
        <w:tabs>
          <w:tab w:val="right" w:leader="dot" w:pos="8828"/>
        </w:tabs>
        <w:rPr>
          <w:rFonts w:ascii="Times New Roman" w:hAnsi="Times New Roman" w:cs="Times New Roman"/>
          <w:noProof/>
          <w:sz w:val="22"/>
          <w:szCs w:val="22"/>
        </w:rPr>
      </w:pPr>
      <w:hyperlink w:anchor="_Toc158103851" w:history="1">
        <w:r w:rsidR="00CF4F63" w:rsidRPr="00512244">
          <w:rPr>
            <w:rStyle w:val="Hipervnculo"/>
            <w:rFonts w:ascii="Times New Roman" w:hAnsi="Times New Roman" w:cs="Times New Roman"/>
            <w:noProof/>
            <w:sz w:val="22"/>
            <w:szCs w:val="22"/>
          </w:rPr>
          <w:t xml:space="preserve">6.  </w:t>
        </w:r>
        <w:r w:rsidR="00EC5879" w:rsidRPr="00512244">
          <w:rPr>
            <w:rStyle w:val="Hipervnculo"/>
            <w:rFonts w:ascii="Times New Roman" w:hAnsi="Times New Roman" w:cs="Times New Roman"/>
            <w:noProof/>
            <w:sz w:val="22"/>
            <w:szCs w:val="22"/>
          </w:rPr>
          <w:t xml:space="preserve">  </w:t>
        </w:r>
        <w:r w:rsidR="00CF4F63" w:rsidRPr="00512244">
          <w:rPr>
            <w:rStyle w:val="Hipervnculo"/>
            <w:rFonts w:ascii="Times New Roman" w:eastAsia="Times New Roman" w:hAnsi="Times New Roman" w:cs="Times New Roman"/>
            <w:noProof/>
            <w:sz w:val="22"/>
            <w:szCs w:val="22"/>
          </w:rPr>
          <w:t>Variación interanual acumulada 2023 – 2022 de la recaudación del IVA asociado al consumo interno por actividades económicas</w:t>
        </w:r>
        <w:r w:rsidR="00CF4F63" w:rsidRPr="00512244">
          <w:rPr>
            <w:rFonts w:ascii="Times New Roman" w:hAnsi="Times New Roman" w:cs="Times New Roman"/>
            <w:noProof/>
            <w:webHidden/>
            <w:sz w:val="22"/>
            <w:szCs w:val="22"/>
          </w:rPr>
          <w:tab/>
        </w:r>
        <w:r w:rsidR="00CF4F63" w:rsidRPr="00512244">
          <w:rPr>
            <w:rFonts w:ascii="Times New Roman" w:hAnsi="Times New Roman" w:cs="Times New Roman"/>
            <w:noProof/>
            <w:webHidden/>
            <w:sz w:val="22"/>
            <w:szCs w:val="22"/>
          </w:rPr>
          <w:fldChar w:fldCharType="begin"/>
        </w:r>
        <w:r w:rsidR="00CF4F63" w:rsidRPr="00512244">
          <w:rPr>
            <w:rFonts w:ascii="Times New Roman" w:hAnsi="Times New Roman" w:cs="Times New Roman"/>
            <w:noProof/>
            <w:webHidden/>
            <w:sz w:val="22"/>
            <w:szCs w:val="22"/>
          </w:rPr>
          <w:instrText xml:space="preserve"> PAGEREF _Toc158103851 \h </w:instrText>
        </w:r>
        <w:r w:rsidR="00CF4F63" w:rsidRPr="00512244">
          <w:rPr>
            <w:rFonts w:ascii="Times New Roman" w:hAnsi="Times New Roman" w:cs="Times New Roman"/>
            <w:noProof/>
            <w:webHidden/>
            <w:sz w:val="22"/>
            <w:szCs w:val="22"/>
          </w:rPr>
        </w:r>
        <w:r w:rsidR="00CF4F63"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9</w:t>
        </w:r>
        <w:r w:rsidR="00CF4F63" w:rsidRPr="00512244">
          <w:rPr>
            <w:rFonts w:ascii="Times New Roman" w:hAnsi="Times New Roman" w:cs="Times New Roman"/>
            <w:noProof/>
            <w:webHidden/>
            <w:sz w:val="22"/>
            <w:szCs w:val="22"/>
          </w:rPr>
          <w:fldChar w:fldCharType="end"/>
        </w:r>
      </w:hyperlink>
    </w:p>
    <w:p w14:paraId="4621D1FC" w14:textId="7D724DE3" w:rsidR="00CF4F63" w:rsidRPr="00512244" w:rsidRDefault="00DE120B">
      <w:pPr>
        <w:pStyle w:val="Tabladeilustraciones"/>
        <w:tabs>
          <w:tab w:val="right" w:leader="dot" w:pos="8828"/>
        </w:tabs>
        <w:rPr>
          <w:rFonts w:ascii="Times New Roman" w:hAnsi="Times New Roman" w:cs="Times New Roman"/>
          <w:noProof/>
          <w:sz w:val="22"/>
          <w:szCs w:val="22"/>
        </w:rPr>
      </w:pPr>
      <w:hyperlink w:anchor="_Toc158103852" w:history="1">
        <w:r w:rsidR="00CF4F63" w:rsidRPr="00512244">
          <w:rPr>
            <w:rStyle w:val="Hipervnculo"/>
            <w:rFonts w:ascii="Times New Roman" w:hAnsi="Times New Roman" w:cs="Times New Roman"/>
            <w:noProof/>
            <w:sz w:val="22"/>
            <w:szCs w:val="22"/>
          </w:rPr>
          <w:t xml:space="preserve">7.  </w:t>
        </w:r>
        <w:r w:rsidR="00EC5879" w:rsidRPr="00512244">
          <w:rPr>
            <w:rStyle w:val="Hipervnculo"/>
            <w:rFonts w:ascii="Times New Roman" w:hAnsi="Times New Roman" w:cs="Times New Roman"/>
            <w:noProof/>
            <w:sz w:val="22"/>
            <w:szCs w:val="22"/>
          </w:rPr>
          <w:t xml:space="preserve">  </w:t>
        </w:r>
        <w:r w:rsidR="00CF4F63" w:rsidRPr="00512244">
          <w:rPr>
            <w:rStyle w:val="Hipervnculo"/>
            <w:rFonts w:ascii="Times New Roman" w:eastAsia="Times New Roman" w:hAnsi="Times New Roman" w:cs="Times New Roman"/>
            <w:noProof/>
            <w:sz w:val="22"/>
            <w:szCs w:val="22"/>
          </w:rPr>
          <w:t>Precio del Petróleo WTI</w:t>
        </w:r>
        <w:r w:rsidR="00CF4F63" w:rsidRPr="00512244">
          <w:rPr>
            <w:rFonts w:ascii="Times New Roman" w:hAnsi="Times New Roman" w:cs="Times New Roman"/>
            <w:noProof/>
            <w:webHidden/>
            <w:sz w:val="22"/>
            <w:szCs w:val="22"/>
          </w:rPr>
          <w:tab/>
        </w:r>
        <w:r w:rsidR="00CF4F63" w:rsidRPr="00512244">
          <w:rPr>
            <w:rFonts w:ascii="Times New Roman" w:hAnsi="Times New Roman" w:cs="Times New Roman"/>
            <w:noProof/>
            <w:webHidden/>
            <w:sz w:val="22"/>
            <w:szCs w:val="22"/>
          </w:rPr>
          <w:fldChar w:fldCharType="begin"/>
        </w:r>
        <w:r w:rsidR="00CF4F63" w:rsidRPr="00512244">
          <w:rPr>
            <w:rFonts w:ascii="Times New Roman" w:hAnsi="Times New Roman" w:cs="Times New Roman"/>
            <w:noProof/>
            <w:webHidden/>
            <w:sz w:val="22"/>
            <w:szCs w:val="22"/>
          </w:rPr>
          <w:instrText xml:space="preserve"> PAGEREF _Toc158103852 \h </w:instrText>
        </w:r>
        <w:r w:rsidR="00CF4F63" w:rsidRPr="00512244">
          <w:rPr>
            <w:rFonts w:ascii="Times New Roman" w:hAnsi="Times New Roman" w:cs="Times New Roman"/>
            <w:noProof/>
            <w:webHidden/>
            <w:sz w:val="22"/>
            <w:szCs w:val="22"/>
          </w:rPr>
        </w:r>
        <w:r w:rsidR="00CF4F63"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9</w:t>
        </w:r>
        <w:r w:rsidR="00CF4F63" w:rsidRPr="00512244">
          <w:rPr>
            <w:rFonts w:ascii="Times New Roman" w:hAnsi="Times New Roman" w:cs="Times New Roman"/>
            <w:noProof/>
            <w:webHidden/>
            <w:sz w:val="22"/>
            <w:szCs w:val="22"/>
          </w:rPr>
          <w:fldChar w:fldCharType="end"/>
        </w:r>
      </w:hyperlink>
    </w:p>
    <w:p w14:paraId="1A8199C0" w14:textId="48E08CA9" w:rsidR="00CF4F63" w:rsidRPr="00512244" w:rsidRDefault="00DE120B">
      <w:pPr>
        <w:pStyle w:val="Tabladeilustraciones"/>
        <w:tabs>
          <w:tab w:val="right" w:leader="dot" w:pos="8828"/>
        </w:tabs>
        <w:rPr>
          <w:rFonts w:ascii="Times New Roman" w:hAnsi="Times New Roman" w:cs="Times New Roman"/>
          <w:noProof/>
          <w:sz w:val="22"/>
          <w:szCs w:val="22"/>
        </w:rPr>
      </w:pPr>
      <w:hyperlink w:anchor="_Toc158103853" w:history="1">
        <w:r w:rsidR="00CF4F63" w:rsidRPr="00512244">
          <w:rPr>
            <w:rStyle w:val="Hipervnculo"/>
            <w:rFonts w:ascii="Times New Roman" w:hAnsi="Times New Roman" w:cs="Times New Roman"/>
            <w:noProof/>
            <w:sz w:val="22"/>
            <w:szCs w:val="22"/>
          </w:rPr>
          <w:t xml:space="preserve">8.  </w:t>
        </w:r>
        <w:r w:rsidR="00EC5879" w:rsidRPr="00512244">
          <w:rPr>
            <w:rStyle w:val="Hipervnculo"/>
            <w:rFonts w:ascii="Times New Roman" w:hAnsi="Times New Roman" w:cs="Times New Roman"/>
            <w:noProof/>
            <w:sz w:val="22"/>
            <w:szCs w:val="22"/>
          </w:rPr>
          <w:t xml:space="preserve">  </w:t>
        </w:r>
        <w:r w:rsidR="00CF4F63" w:rsidRPr="00512244">
          <w:rPr>
            <w:rStyle w:val="Hipervnculo"/>
            <w:rFonts w:ascii="Times New Roman" w:eastAsia="Times New Roman" w:hAnsi="Times New Roman" w:cs="Times New Roman"/>
            <w:noProof/>
            <w:sz w:val="22"/>
            <w:szCs w:val="22"/>
            <w:lang w:val="es-MX"/>
          </w:rPr>
          <w:t>Productividad de cada año</w:t>
        </w:r>
        <w:r w:rsidR="00CF4F63" w:rsidRPr="00512244">
          <w:rPr>
            <w:rFonts w:ascii="Times New Roman" w:hAnsi="Times New Roman" w:cs="Times New Roman"/>
            <w:noProof/>
            <w:webHidden/>
            <w:sz w:val="22"/>
            <w:szCs w:val="22"/>
          </w:rPr>
          <w:tab/>
        </w:r>
        <w:r w:rsidR="00CF4F63" w:rsidRPr="00512244">
          <w:rPr>
            <w:rFonts w:ascii="Times New Roman" w:hAnsi="Times New Roman" w:cs="Times New Roman"/>
            <w:noProof/>
            <w:webHidden/>
            <w:sz w:val="22"/>
            <w:szCs w:val="22"/>
          </w:rPr>
          <w:fldChar w:fldCharType="begin"/>
        </w:r>
        <w:r w:rsidR="00CF4F63" w:rsidRPr="00512244">
          <w:rPr>
            <w:rFonts w:ascii="Times New Roman" w:hAnsi="Times New Roman" w:cs="Times New Roman"/>
            <w:noProof/>
            <w:webHidden/>
            <w:sz w:val="22"/>
            <w:szCs w:val="22"/>
          </w:rPr>
          <w:instrText xml:space="preserve"> PAGEREF _Toc158103853 \h </w:instrText>
        </w:r>
        <w:r w:rsidR="00CF4F63" w:rsidRPr="00512244">
          <w:rPr>
            <w:rFonts w:ascii="Times New Roman" w:hAnsi="Times New Roman" w:cs="Times New Roman"/>
            <w:noProof/>
            <w:webHidden/>
            <w:sz w:val="22"/>
            <w:szCs w:val="22"/>
          </w:rPr>
        </w:r>
        <w:r w:rsidR="00CF4F63"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11</w:t>
        </w:r>
        <w:r w:rsidR="00CF4F63" w:rsidRPr="00512244">
          <w:rPr>
            <w:rFonts w:ascii="Times New Roman" w:hAnsi="Times New Roman" w:cs="Times New Roman"/>
            <w:noProof/>
            <w:webHidden/>
            <w:sz w:val="22"/>
            <w:szCs w:val="22"/>
          </w:rPr>
          <w:fldChar w:fldCharType="end"/>
        </w:r>
      </w:hyperlink>
    </w:p>
    <w:p w14:paraId="78F40F1F" w14:textId="16B0AFF2" w:rsidR="00CF4F63" w:rsidRPr="00512244" w:rsidRDefault="00DE120B">
      <w:pPr>
        <w:pStyle w:val="Tabladeilustraciones"/>
        <w:tabs>
          <w:tab w:val="right" w:leader="dot" w:pos="8828"/>
        </w:tabs>
        <w:rPr>
          <w:rFonts w:ascii="Times New Roman" w:hAnsi="Times New Roman" w:cs="Times New Roman"/>
          <w:noProof/>
          <w:sz w:val="22"/>
          <w:szCs w:val="22"/>
        </w:rPr>
      </w:pPr>
      <w:hyperlink w:anchor="_Toc158103854" w:history="1">
        <w:r w:rsidR="00CF4F63" w:rsidRPr="00512244">
          <w:rPr>
            <w:rStyle w:val="Hipervnculo"/>
            <w:rFonts w:ascii="Times New Roman" w:hAnsi="Times New Roman" w:cs="Times New Roman"/>
            <w:noProof/>
            <w:sz w:val="22"/>
            <w:szCs w:val="22"/>
          </w:rPr>
          <w:t xml:space="preserve">9.  </w:t>
        </w:r>
        <w:r w:rsidR="00EC5879" w:rsidRPr="00512244">
          <w:rPr>
            <w:rStyle w:val="Hipervnculo"/>
            <w:rFonts w:ascii="Times New Roman" w:hAnsi="Times New Roman" w:cs="Times New Roman"/>
            <w:noProof/>
            <w:sz w:val="22"/>
            <w:szCs w:val="22"/>
          </w:rPr>
          <w:t xml:space="preserve">  </w:t>
        </w:r>
        <w:r w:rsidR="00CF4F63" w:rsidRPr="00512244">
          <w:rPr>
            <w:rStyle w:val="Hipervnculo"/>
            <w:rFonts w:ascii="Times New Roman" w:eastAsia="Times New Roman" w:hAnsi="Times New Roman" w:cs="Times New Roman"/>
            <w:noProof/>
            <w:sz w:val="22"/>
            <w:szCs w:val="22"/>
            <w:lang w:val="es-MX"/>
          </w:rPr>
          <w:t>Productividad de cada año</w:t>
        </w:r>
        <w:r w:rsidR="00CF4F63" w:rsidRPr="00512244">
          <w:rPr>
            <w:rFonts w:ascii="Times New Roman" w:hAnsi="Times New Roman" w:cs="Times New Roman"/>
            <w:noProof/>
            <w:webHidden/>
            <w:sz w:val="22"/>
            <w:szCs w:val="22"/>
          </w:rPr>
          <w:tab/>
        </w:r>
        <w:r w:rsidR="00CF4F63" w:rsidRPr="00512244">
          <w:rPr>
            <w:rFonts w:ascii="Times New Roman" w:hAnsi="Times New Roman" w:cs="Times New Roman"/>
            <w:noProof/>
            <w:webHidden/>
            <w:sz w:val="22"/>
            <w:szCs w:val="22"/>
          </w:rPr>
          <w:fldChar w:fldCharType="begin"/>
        </w:r>
        <w:r w:rsidR="00CF4F63" w:rsidRPr="00512244">
          <w:rPr>
            <w:rFonts w:ascii="Times New Roman" w:hAnsi="Times New Roman" w:cs="Times New Roman"/>
            <w:noProof/>
            <w:webHidden/>
            <w:sz w:val="22"/>
            <w:szCs w:val="22"/>
          </w:rPr>
          <w:instrText xml:space="preserve"> PAGEREF _Toc158103854 \h </w:instrText>
        </w:r>
        <w:r w:rsidR="00CF4F63" w:rsidRPr="00512244">
          <w:rPr>
            <w:rFonts w:ascii="Times New Roman" w:hAnsi="Times New Roman" w:cs="Times New Roman"/>
            <w:noProof/>
            <w:webHidden/>
            <w:sz w:val="22"/>
            <w:szCs w:val="22"/>
          </w:rPr>
        </w:r>
        <w:r w:rsidR="00CF4F63"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11</w:t>
        </w:r>
        <w:r w:rsidR="00CF4F63" w:rsidRPr="00512244">
          <w:rPr>
            <w:rFonts w:ascii="Times New Roman" w:hAnsi="Times New Roman" w:cs="Times New Roman"/>
            <w:noProof/>
            <w:webHidden/>
            <w:sz w:val="22"/>
            <w:szCs w:val="22"/>
          </w:rPr>
          <w:fldChar w:fldCharType="end"/>
        </w:r>
      </w:hyperlink>
    </w:p>
    <w:p w14:paraId="45F51731" w14:textId="14CC40DF" w:rsidR="00CF4F63" w:rsidRPr="00512244" w:rsidRDefault="00DE120B">
      <w:pPr>
        <w:pStyle w:val="Tabladeilustraciones"/>
        <w:tabs>
          <w:tab w:val="right" w:leader="dot" w:pos="8828"/>
        </w:tabs>
        <w:rPr>
          <w:rFonts w:ascii="Times New Roman" w:hAnsi="Times New Roman" w:cs="Times New Roman"/>
          <w:noProof/>
          <w:sz w:val="22"/>
          <w:szCs w:val="22"/>
        </w:rPr>
      </w:pPr>
      <w:hyperlink w:anchor="_Toc158103855" w:history="1">
        <w:r w:rsidR="00CF4F63" w:rsidRPr="00512244">
          <w:rPr>
            <w:rStyle w:val="Hipervnculo"/>
            <w:rFonts w:ascii="Times New Roman" w:hAnsi="Times New Roman" w:cs="Times New Roman"/>
            <w:noProof/>
            <w:sz w:val="22"/>
            <w:szCs w:val="22"/>
          </w:rPr>
          <w:t xml:space="preserve">10.  </w:t>
        </w:r>
        <w:r w:rsidR="00CF4F63" w:rsidRPr="00512244">
          <w:rPr>
            <w:rStyle w:val="Hipervnculo"/>
            <w:rFonts w:ascii="Times New Roman" w:eastAsia="Times New Roman" w:hAnsi="Times New Roman" w:cs="Times New Roman"/>
            <w:noProof/>
            <w:sz w:val="22"/>
            <w:szCs w:val="22"/>
          </w:rPr>
          <w:t>Carga Tributaria</w:t>
        </w:r>
        <w:r w:rsidR="00CF4F63" w:rsidRPr="00512244">
          <w:rPr>
            <w:rFonts w:ascii="Times New Roman" w:hAnsi="Times New Roman" w:cs="Times New Roman"/>
            <w:noProof/>
            <w:webHidden/>
            <w:sz w:val="22"/>
            <w:szCs w:val="22"/>
          </w:rPr>
          <w:tab/>
        </w:r>
        <w:r w:rsidR="00CF4F63" w:rsidRPr="00512244">
          <w:rPr>
            <w:rFonts w:ascii="Times New Roman" w:hAnsi="Times New Roman" w:cs="Times New Roman"/>
            <w:noProof/>
            <w:webHidden/>
            <w:sz w:val="22"/>
            <w:szCs w:val="22"/>
          </w:rPr>
          <w:fldChar w:fldCharType="begin"/>
        </w:r>
        <w:r w:rsidR="00CF4F63" w:rsidRPr="00512244">
          <w:rPr>
            <w:rFonts w:ascii="Times New Roman" w:hAnsi="Times New Roman" w:cs="Times New Roman"/>
            <w:noProof/>
            <w:webHidden/>
            <w:sz w:val="22"/>
            <w:szCs w:val="22"/>
          </w:rPr>
          <w:instrText xml:space="preserve"> PAGEREF _Toc158103855 \h </w:instrText>
        </w:r>
        <w:r w:rsidR="00CF4F63" w:rsidRPr="00512244">
          <w:rPr>
            <w:rFonts w:ascii="Times New Roman" w:hAnsi="Times New Roman" w:cs="Times New Roman"/>
            <w:noProof/>
            <w:webHidden/>
            <w:sz w:val="22"/>
            <w:szCs w:val="22"/>
          </w:rPr>
        </w:r>
        <w:r w:rsidR="00CF4F63"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12</w:t>
        </w:r>
        <w:r w:rsidR="00CF4F63" w:rsidRPr="00512244">
          <w:rPr>
            <w:rFonts w:ascii="Times New Roman" w:hAnsi="Times New Roman" w:cs="Times New Roman"/>
            <w:noProof/>
            <w:webHidden/>
            <w:sz w:val="22"/>
            <w:szCs w:val="22"/>
          </w:rPr>
          <w:fldChar w:fldCharType="end"/>
        </w:r>
      </w:hyperlink>
    </w:p>
    <w:p w14:paraId="66878140" w14:textId="355CB747" w:rsidR="00CF4F63" w:rsidRPr="00512244" w:rsidRDefault="00DE120B">
      <w:pPr>
        <w:pStyle w:val="Tabladeilustraciones"/>
        <w:tabs>
          <w:tab w:val="right" w:leader="dot" w:pos="8828"/>
        </w:tabs>
        <w:rPr>
          <w:rFonts w:ascii="Times New Roman" w:hAnsi="Times New Roman" w:cs="Times New Roman"/>
          <w:noProof/>
          <w:sz w:val="22"/>
          <w:szCs w:val="22"/>
        </w:rPr>
      </w:pPr>
      <w:hyperlink w:anchor="_Toc158103856" w:history="1">
        <w:r w:rsidR="00CF4F63" w:rsidRPr="00512244">
          <w:rPr>
            <w:rStyle w:val="Hipervnculo"/>
            <w:rFonts w:ascii="Times New Roman" w:hAnsi="Times New Roman" w:cs="Times New Roman"/>
            <w:noProof/>
            <w:sz w:val="22"/>
            <w:szCs w:val="22"/>
          </w:rPr>
          <w:t xml:space="preserve">11.  </w:t>
        </w:r>
        <w:r w:rsidR="00CF4F63" w:rsidRPr="00512244">
          <w:rPr>
            <w:rStyle w:val="Hipervnculo"/>
            <w:rFonts w:ascii="Times New Roman" w:eastAsia="Times New Roman" w:hAnsi="Times New Roman" w:cs="Times New Roman"/>
            <w:noProof/>
            <w:sz w:val="22"/>
            <w:szCs w:val="22"/>
            <w:lang w:val="es-ES_tradnl" w:eastAsia="es-ES"/>
          </w:rPr>
          <w:t>Ritmo de ejecución del gasto público</w:t>
        </w:r>
        <w:r w:rsidR="00CF4F63" w:rsidRPr="00512244">
          <w:rPr>
            <w:rFonts w:ascii="Times New Roman" w:hAnsi="Times New Roman" w:cs="Times New Roman"/>
            <w:noProof/>
            <w:webHidden/>
            <w:sz w:val="22"/>
            <w:szCs w:val="22"/>
          </w:rPr>
          <w:tab/>
        </w:r>
        <w:r w:rsidR="00CF4F63" w:rsidRPr="00512244">
          <w:rPr>
            <w:rFonts w:ascii="Times New Roman" w:hAnsi="Times New Roman" w:cs="Times New Roman"/>
            <w:noProof/>
            <w:webHidden/>
            <w:sz w:val="22"/>
            <w:szCs w:val="22"/>
          </w:rPr>
          <w:fldChar w:fldCharType="begin"/>
        </w:r>
        <w:r w:rsidR="00CF4F63" w:rsidRPr="00512244">
          <w:rPr>
            <w:rFonts w:ascii="Times New Roman" w:hAnsi="Times New Roman" w:cs="Times New Roman"/>
            <w:noProof/>
            <w:webHidden/>
            <w:sz w:val="22"/>
            <w:szCs w:val="22"/>
          </w:rPr>
          <w:instrText xml:space="preserve"> PAGEREF _Toc158103856 \h </w:instrText>
        </w:r>
        <w:r w:rsidR="00CF4F63" w:rsidRPr="00512244">
          <w:rPr>
            <w:rFonts w:ascii="Times New Roman" w:hAnsi="Times New Roman" w:cs="Times New Roman"/>
            <w:noProof/>
            <w:webHidden/>
            <w:sz w:val="22"/>
            <w:szCs w:val="22"/>
          </w:rPr>
        </w:r>
        <w:r w:rsidR="00CF4F63"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14</w:t>
        </w:r>
        <w:r w:rsidR="00CF4F63" w:rsidRPr="00512244">
          <w:rPr>
            <w:rFonts w:ascii="Times New Roman" w:hAnsi="Times New Roman" w:cs="Times New Roman"/>
            <w:noProof/>
            <w:webHidden/>
            <w:sz w:val="22"/>
            <w:szCs w:val="22"/>
          </w:rPr>
          <w:fldChar w:fldCharType="end"/>
        </w:r>
      </w:hyperlink>
    </w:p>
    <w:p w14:paraId="777654E8" w14:textId="5086F782" w:rsidR="00CF4F63" w:rsidRPr="00512244" w:rsidRDefault="00DE120B">
      <w:pPr>
        <w:pStyle w:val="Tabladeilustraciones"/>
        <w:tabs>
          <w:tab w:val="right" w:leader="dot" w:pos="8828"/>
        </w:tabs>
        <w:rPr>
          <w:rFonts w:ascii="Times New Roman" w:hAnsi="Times New Roman" w:cs="Times New Roman"/>
          <w:noProof/>
          <w:sz w:val="22"/>
          <w:szCs w:val="22"/>
        </w:rPr>
      </w:pPr>
      <w:hyperlink w:anchor="_Toc158103857" w:history="1">
        <w:r w:rsidR="00CF4F63" w:rsidRPr="00512244">
          <w:rPr>
            <w:rStyle w:val="Hipervnculo"/>
            <w:rFonts w:ascii="Times New Roman" w:hAnsi="Times New Roman" w:cs="Times New Roman"/>
            <w:noProof/>
            <w:sz w:val="22"/>
            <w:szCs w:val="22"/>
          </w:rPr>
          <w:t xml:space="preserve">12.  </w:t>
        </w:r>
        <w:r w:rsidR="00CF4F63" w:rsidRPr="00512244">
          <w:rPr>
            <w:rStyle w:val="Hipervnculo"/>
            <w:rFonts w:ascii="Times New Roman" w:eastAsia="Times New Roman" w:hAnsi="Times New Roman" w:cs="Times New Roman"/>
            <w:noProof/>
            <w:sz w:val="22"/>
            <w:szCs w:val="22"/>
          </w:rPr>
          <w:t>Ejecución por rubro de Cuenta Económica</w:t>
        </w:r>
        <w:r w:rsidR="00CF4F63" w:rsidRPr="00512244">
          <w:rPr>
            <w:rFonts w:ascii="Times New Roman" w:hAnsi="Times New Roman" w:cs="Times New Roman"/>
            <w:noProof/>
            <w:webHidden/>
            <w:sz w:val="22"/>
            <w:szCs w:val="22"/>
          </w:rPr>
          <w:tab/>
        </w:r>
        <w:r w:rsidR="00CF4F63" w:rsidRPr="00512244">
          <w:rPr>
            <w:rFonts w:ascii="Times New Roman" w:hAnsi="Times New Roman" w:cs="Times New Roman"/>
            <w:noProof/>
            <w:webHidden/>
            <w:sz w:val="22"/>
            <w:szCs w:val="22"/>
          </w:rPr>
          <w:fldChar w:fldCharType="begin"/>
        </w:r>
        <w:r w:rsidR="00CF4F63" w:rsidRPr="00512244">
          <w:rPr>
            <w:rFonts w:ascii="Times New Roman" w:hAnsi="Times New Roman" w:cs="Times New Roman"/>
            <w:noProof/>
            <w:webHidden/>
            <w:sz w:val="22"/>
            <w:szCs w:val="22"/>
          </w:rPr>
          <w:instrText xml:space="preserve"> PAGEREF _Toc158103857 \h </w:instrText>
        </w:r>
        <w:r w:rsidR="00CF4F63" w:rsidRPr="00512244">
          <w:rPr>
            <w:rFonts w:ascii="Times New Roman" w:hAnsi="Times New Roman" w:cs="Times New Roman"/>
            <w:noProof/>
            <w:webHidden/>
            <w:sz w:val="22"/>
            <w:szCs w:val="22"/>
          </w:rPr>
        </w:r>
        <w:r w:rsidR="00CF4F63"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18</w:t>
        </w:r>
        <w:r w:rsidR="00CF4F63" w:rsidRPr="00512244">
          <w:rPr>
            <w:rFonts w:ascii="Times New Roman" w:hAnsi="Times New Roman" w:cs="Times New Roman"/>
            <w:noProof/>
            <w:webHidden/>
            <w:sz w:val="22"/>
            <w:szCs w:val="22"/>
          </w:rPr>
          <w:fldChar w:fldCharType="end"/>
        </w:r>
      </w:hyperlink>
    </w:p>
    <w:p w14:paraId="11A42E43" w14:textId="6888BBD0" w:rsidR="00CF4F63" w:rsidRPr="00512244" w:rsidRDefault="00DE120B">
      <w:pPr>
        <w:pStyle w:val="Tabladeilustraciones"/>
        <w:tabs>
          <w:tab w:val="right" w:leader="dot" w:pos="8828"/>
        </w:tabs>
        <w:rPr>
          <w:rFonts w:ascii="Times New Roman" w:hAnsi="Times New Roman" w:cs="Times New Roman"/>
          <w:noProof/>
          <w:sz w:val="22"/>
          <w:szCs w:val="22"/>
        </w:rPr>
      </w:pPr>
      <w:hyperlink w:anchor="_Toc158103858" w:history="1">
        <w:r w:rsidR="00CF4F63" w:rsidRPr="00512244">
          <w:rPr>
            <w:rStyle w:val="Hipervnculo"/>
            <w:rFonts w:ascii="Times New Roman" w:hAnsi="Times New Roman" w:cs="Times New Roman"/>
            <w:noProof/>
            <w:sz w:val="22"/>
            <w:szCs w:val="22"/>
          </w:rPr>
          <w:t xml:space="preserve">13.  </w:t>
        </w:r>
        <w:r w:rsidR="00CF4F63" w:rsidRPr="00512244">
          <w:rPr>
            <w:rStyle w:val="Hipervnculo"/>
            <w:rFonts w:ascii="Times New Roman" w:eastAsia="Times New Roman" w:hAnsi="Times New Roman" w:cs="Times New Roman"/>
            <w:noProof/>
            <w:sz w:val="22"/>
            <w:szCs w:val="22"/>
          </w:rPr>
          <w:t>Aumento interanual en el gasto de personal temporal por entidad</w:t>
        </w:r>
        <w:r w:rsidR="00CF4F63" w:rsidRPr="00512244">
          <w:rPr>
            <w:rFonts w:ascii="Times New Roman" w:hAnsi="Times New Roman" w:cs="Times New Roman"/>
            <w:noProof/>
            <w:webHidden/>
            <w:sz w:val="22"/>
            <w:szCs w:val="22"/>
          </w:rPr>
          <w:tab/>
        </w:r>
        <w:r w:rsidR="00CF4F63" w:rsidRPr="00512244">
          <w:rPr>
            <w:rFonts w:ascii="Times New Roman" w:hAnsi="Times New Roman" w:cs="Times New Roman"/>
            <w:noProof/>
            <w:webHidden/>
            <w:sz w:val="22"/>
            <w:szCs w:val="22"/>
          </w:rPr>
          <w:fldChar w:fldCharType="begin"/>
        </w:r>
        <w:r w:rsidR="00CF4F63" w:rsidRPr="00512244">
          <w:rPr>
            <w:rFonts w:ascii="Times New Roman" w:hAnsi="Times New Roman" w:cs="Times New Roman"/>
            <w:noProof/>
            <w:webHidden/>
            <w:sz w:val="22"/>
            <w:szCs w:val="22"/>
          </w:rPr>
          <w:instrText xml:space="preserve"> PAGEREF _Toc158103858 \h </w:instrText>
        </w:r>
        <w:r w:rsidR="00CF4F63" w:rsidRPr="00512244">
          <w:rPr>
            <w:rFonts w:ascii="Times New Roman" w:hAnsi="Times New Roman" w:cs="Times New Roman"/>
            <w:noProof/>
            <w:webHidden/>
            <w:sz w:val="22"/>
            <w:szCs w:val="22"/>
          </w:rPr>
        </w:r>
        <w:r w:rsidR="00CF4F63"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20</w:t>
        </w:r>
        <w:r w:rsidR="00CF4F63" w:rsidRPr="00512244">
          <w:rPr>
            <w:rFonts w:ascii="Times New Roman" w:hAnsi="Times New Roman" w:cs="Times New Roman"/>
            <w:noProof/>
            <w:webHidden/>
            <w:sz w:val="22"/>
            <w:szCs w:val="22"/>
          </w:rPr>
          <w:fldChar w:fldCharType="end"/>
        </w:r>
      </w:hyperlink>
    </w:p>
    <w:p w14:paraId="628F7C0E" w14:textId="10A5FE09" w:rsidR="00CF4F63" w:rsidRPr="00512244" w:rsidRDefault="00DE120B">
      <w:pPr>
        <w:pStyle w:val="Tabladeilustraciones"/>
        <w:tabs>
          <w:tab w:val="right" w:leader="dot" w:pos="8828"/>
        </w:tabs>
        <w:rPr>
          <w:rFonts w:ascii="Times New Roman" w:hAnsi="Times New Roman" w:cs="Times New Roman"/>
          <w:noProof/>
          <w:sz w:val="22"/>
          <w:szCs w:val="22"/>
        </w:rPr>
      </w:pPr>
      <w:hyperlink w:anchor="_Toc158103859" w:history="1">
        <w:r w:rsidR="00CF4F63" w:rsidRPr="00512244">
          <w:rPr>
            <w:rStyle w:val="Hipervnculo"/>
            <w:rFonts w:ascii="Times New Roman" w:hAnsi="Times New Roman" w:cs="Times New Roman"/>
            <w:noProof/>
            <w:sz w:val="22"/>
            <w:szCs w:val="22"/>
          </w:rPr>
          <w:t xml:space="preserve">14.  </w:t>
        </w:r>
        <w:r w:rsidR="00CF4F63" w:rsidRPr="00512244">
          <w:rPr>
            <w:rStyle w:val="Hipervnculo"/>
            <w:rFonts w:ascii="Times New Roman" w:eastAsia="Times New Roman" w:hAnsi="Times New Roman" w:cs="Times New Roman"/>
            <w:noProof/>
            <w:sz w:val="22"/>
            <w:szCs w:val="22"/>
          </w:rPr>
          <w:t>Gastos no esenciales 2020-2023</w:t>
        </w:r>
        <w:r w:rsidR="00CF4F63" w:rsidRPr="00512244">
          <w:rPr>
            <w:rFonts w:ascii="Times New Roman" w:hAnsi="Times New Roman" w:cs="Times New Roman"/>
            <w:noProof/>
            <w:webHidden/>
            <w:sz w:val="22"/>
            <w:szCs w:val="22"/>
          </w:rPr>
          <w:tab/>
        </w:r>
        <w:r w:rsidR="00CF4F63" w:rsidRPr="00512244">
          <w:rPr>
            <w:rFonts w:ascii="Times New Roman" w:hAnsi="Times New Roman" w:cs="Times New Roman"/>
            <w:noProof/>
            <w:webHidden/>
            <w:sz w:val="22"/>
            <w:szCs w:val="22"/>
          </w:rPr>
          <w:fldChar w:fldCharType="begin"/>
        </w:r>
        <w:r w:rsidR="00CF4F63" w:rsidRPr="00512244">
          <w:rPr>
            <w:rFonts w:ascii="Times New Roman" w:hAnsi="Times New Roman" w:cs="Times New Roman"/>
            <w:noProof/>
            <w:webHidden/>
            <w:sz w:val="22"/>
            <w:szCs w:val="22"/>
          </w:rPr>
          <w:instrText xml:space="preserve"> PAGEREF _Toc158103859 \h </w:instrText>
        </w:r>
        <w:r w:rsidR="00CF4F63" w:rsidRPr="00512244">
          <w:rPr>
            <w:rFonts w:ascii="Times New Roman" w:hAnsi="Times New Roman" w:cs="Times New Roman"/>
            <w:noProof/>
            <w:webHidden/>
            <w:sz w:val="22"/>
            <w:szCs w:val="22"/>
          </w:rPr>
        </w:r>
        <w:r w:rsidR="00CF4F63"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22</w:t>
        </w:r>
        <w:r w:rsidR="00CF4F63" w:rsidRPr="00512244">
          <w:rPr>
            <w:rFonts w:ascii="Times New Roman" w:hAnsi="Times New Roman" w:cs="Times New Roman"/>
            <w:noProof/>
            <w:webHidden/>
            <w:sz w:val="22"/>
            <w:szCs w:val="22"/>
          </w:rPr>
          <w:fldChar w:fldCharType="end"/>
        </w:r>
      </w:hyperlink>
    </w:p>
    <w:p w14:paraId="35971C5F" w14:textId="290B16D9" w:rsidR="00CF4F63" w:rsidRPr="00512244" w:rsidRDefault="00DE120B">
      <w:pPr>
        <w:pStyle w:val="Tabladeilustraciones"/>
        <w:tabs>
          <w:tab w:val="right" w:leader="dot" w:pos="8828"/>
        </w:tabs>
        <w:rPr>
          <w:rFonts w:ascii="Times New Roman" w:hAnsi="Times New Roman" w:cs="Times New Roman"/>
          <w:noProof/>
          <w:sz w:val="22"/>
          <w:szCs w:val="22"/>
        </w:rPr>
      </w:pPr>
      <w:hyperlink w:anchor="_Toc158103860" w:history="1">
        <w:r w:rsidR="00CF4F63" w:rsidRPr="00512244">
          <w:rPr>
            <w:rStyle w:val="Hipervnculo"/>
            <w:rFonts w:ascii="Times New Roman" w:hAnsi="Times New Roman" w:cs="Times New Roman"/>
            <w:noProof/>
            <w:sz w:val="22"/>
            <w:szCs w:val="22"/>
          </w:rPr>
          <w:t xml:space="preserve">15.  </w:t>
        </w:r>
        <w:r w:rsidR="00CF4F63" w:rsidRPr="00512244">
          <w:rPr>
            <w:rStyle w:val="Hipervnculo"/>
            <w:rFonts w:ascii="Times New Roman" w:eastAsia="Times New Roman" w:hAnsi="Times New Roman" w:cs="Times New Roman"/>
            <w:noProof/>
            <w:sz w:val="22"/>
            <w:szCs w:val="22"/>
          </w:rPr>
          <w:t>Ejecución del Gasto social y de los Acuerdos de Paz</w:t>
        </w:r>
        <w:r w:rsidR="00CF4F63" w:rsidRPr="00512244">
          <w:rPr>
            <w:rFonts w:ascii="Times New Roman" w:hAnsi="Times New Roman" w:cs="Times New Roman"/>
            <w:noProof/>
            <w:webHidden/>
            <w:sz w:val="22"/>
            <w:szCs w:val="22"/>
          </w:rPr>
          <w:tab/>
        </w:r>
        <w:r w:rsidR="00CF4F63" w:rsidRPr="00512244">
          <w:rPr>
            <w:rFonts w:ascii="Times New Roman" w:hAnsi="Times New Roman" w:cs="Times New Roman"/>
            <w:noProof/>
            <w:webHidden/>
            <w:sz w:val="22"/>
            <w:szCs w:val="22"/>
          </w:rPr>
          <w:fldChar w:fldCharType="begin"/>
        </w:r>
        <w:r w:rsidR="00CF4F63" w:rsidRPr="00512244">
          <w:rPr>
            <w:rFonts w:ascii="Times New Roman" w:hAnsi="Times New Roman" w:cs="Times New Roman"/>
            <w:noProof/>
            <w:webHidden/>
            <w:sz w:val="22"/>
            <w:szCs w:val="22"/>
          </w:rPr>
          <w:instrText xml:space="preserve"> PAGEREF _Toc158103860 \h </w:instrText>
        </w:r>
        <w:r w:rsidR="00CF4F63" w:rsidRPr="00512244">
          <w:rPr>
            <w:rFonts w:ascii="Times New Roman" w:hAnsi="Times New Roman" w:cs="Times New Roman"/>
            <w:noProof/>
            <w:webHidden/>
            <w:sz w:val="22"/>
            <w:szCs w:val="22"/>
          </w:rPr>
        </w:r>
        <w:r w:rsidR="00CF4F63"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24</w:t>
        </w:r>
        <w:r w:rsidR="00CF4F63" w:rsidRPr="00512244">
          <w:rPr>
            <w:rFonts w:ascii="Times New Roman" w:hAnsi="Times New Roman" w:cs="Times New Roman"/>
            <w:noProof/>
            <w:webHidden/>
            <w:sz w:val="22"/>
            <w:szCs w:val="22"/>
          </w:rPr>
          <w:fldChar w:fldCharType="end"/>
        </w:r>
      </w:hyperlink>
    </w:p>
    <w:p w14:paraId="012848F3" w14:textId="0903CA1C" w:rsidR="00CF4F63" w:rsidRPr="00512244" w:rsidRDefault="00DE120B">
      <w:pPr>
        <w:pStyle w:val="Tabladeilustraciones"/>
        <w:tabs>
          <w:tab w:val="right" w:leader="dot" w:pos="8828"/>
        </w:tabs>
        <w:rPr>
          <w:rFonts w:ascii="Times New Roman" w:hAnsi="Times New Roman" w:cs="Times New Roman"/>
          <w:noProof/>
          <w:sz w:val="22"/>
          <w:szCs w:val="22"/>
        </w:rPr>
      </w:pPr>
      <w:hyperlink w:anchor="_Toc158103861" w:history="1">
        <w:r w:rsidR="00CF4F63" w:rsidRPr="00512244">
          <w:rPr>
            <w:rStyle w:val="Hipervnculo"/>
            <w:rFonts w:ascii="Times New Roman" w:hAnsi="Times New Roman" w:cs="Times New Roman"/>
            <w:noProof/>
            <w:sz w:val="22"/>
            <w:szCs w:val="22"/>
          </w:rPr>
          <w:t xml:space="preserve">16.  </w:t>
        </w:r>
        <w:r w:rsidR="00CF4F63" w:rsidRPr="00512244">
          <w:rPr>
            <w:rStyle w:val="Hipervnculo"/>
            <w:rFonts w:ascii="Times New Roman" w:eastAsia="Times New Roman" w:hAnsi="Times New Roman" w:cs="Times New Roman"/>
            <w:noProof/>
            <w:sz w:val="22"/>
            <w:szCs w:val="22"/>
          </w:rPr>
          <w:t>Ejecución Institucional 2023</w:t>
        </w:r>
        <w:r w:rsidR="00CF4F63" w:rsidRPr="00512244">
          <w:rPr>
            <w:rFonts w:ascii="Times New Roman" w:hAnsi="Times New Roman" w:cs="Times New Roman"/>
            <w:noProof/>
            <w:webHidden/>
            <w:sz w:val="22"/>
            <w:szCs w:val="22"/>
          </w:rPr>
          <w:tab/>
        </w:r>
        <w:r w:rsidR="00CF4F63" w:rsidRPr="00512244">
          <w:rPr>
            <w:rFonts w:ascii="Times New Roman" w:hAnsi="Times New Roman" w:cs="Times New Roman"/>
            <w:noProof/>
            <w:webHidden/>
            <w:sz w:val="22"/>
            <w:szCs w:val="22"/>
          </w:rPr>
          <w:fldChar w:fldCharType="begin"/>
        </w:r>
        <w:r w:rsidR="00CF4F63" w:rsidRPr="00512244">
          <w:rPr>
            <w:rFonts w:ascii="Times New Roman" w:hAnsi="Times New Roman" w:cs="Times New Roman"/>
            <w:noProof/>
            <w:webHidden/>
            <w:sz w:val="22"/>
            <w:szCs w:val="22"/>
          </w:rPr>
          <w:instrText xml:space="preserve"> PAGEREF _Toc158103861 \h </w:instrText>
        </w:r>
        <w:r w:rsidR="00CF4F63" w:rsidRPr="00512244">
          <w:rPr>
            <w:rFonts w:ascii="Times New Roman" w:hAnsi="Times New Roman" w:cs="Times New Roman"/>
            <w:noProof/>
            <w:webHidden/>
            <w:sz w:val="22"/>
            <w:szCs w:val="22"/>
          </w:rPr>
        </w:r>
        <w:r w:rsidR="00CF4F63"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28</w:t>
        </w:r>
        <w:r w:rsidR="00CF4F63" w:rsidRPr="00512244">
          <w:rPr>
            <w:rFonts w:ascii="Times New Roman" w:hAnsi="Times New Roman" w:cs="Times New Roman"/>
            <w:noProof/>
            <w:webHidden/>
            <w:sz w:val="22"/>
            <w:szCs w:val="22"/>
          </w:rPr>
          <w:fldChar w:fldCharType="end"/>
        </w:r>
      </w:hyperlink>
    </w:p>
    <w:p w14:paraId="01833CFE" w14:textId="07FB01A3" w:rsidR="00CF4F63" w:rsidRPr="00512244" w:rsidRDefault="00DE120B">
      <w:pPr>
        <w:pStyle w:val="Tabladeilustraciones"/>
        <w:tabs>
          <w:tab w:val="right" w:leader="dot" w:pos="8828"/>
        </w:tabs>
        <w:rPr>
          <w:rFonts w:ascii="Times New Roman" w:hAnsi="Times New Roman" w:cs="Times New Roman"/>
          <w:noProof/>
          <w:sz w:val="22"/>
          <w:szCs w:val="22"/>
        </w:rPr>
      </w:pPr>
      <w:hyperlink w:anchor="_Toc158103862" w:history="1">
        <w:r w:rsidR="00CF4F63" w:rsidRPr="00512244">
          <w:rPr>
            <w:rStyle w:val="Hipervnculo"/>
            <w:rFonts w:ascii="Times New Roman" w:hAnsi="Times New Roman" w:cs="Times New Roman"/>
            <w:noProof/>
            <w:sz w:val="22"/>
            <w:szCs w:val="22"/>
          </w:rPr>
          <w:t xml:space="preserve">17.  </w:t>
        </w:r>
        <w:r w:rsidR="00CF4F63" w:rsidRPr="00512244">
          <w:rPr>
            <w:rStyle w:val="Hipervnculo"/>
            <w:rFonts w:ascii="Times New Roman" w:eastAsia="Times New Roman" w:hAnsi="Times New Roman" w:cs="Times New Roman"/>
            <w:noProof/>
            <w:sz w:val="22"/>
            <w:szCs w:val="22"/>
            <w:lang w:eastAsia="es-GT"/>
          </w:rPr>
          <w:t>Colocación de Bonos del Tesoro en 2023</w:t>
        </w:r>
        <w:r w:rsidR="00CF4F63" w:rsidRPr="00512244">
          <w:rPr>
            <w:rFonts w:ascii="Times New Roman" w:hAnsi="Times New Roman" w:cs="Times New Roman"/>
            <w:noProof/>
            <w:webHidden/>
            <w:sz w:val="22"/>
            <w:szCs w:val="22"/>
          </w:rPr>
          <w:tab/>
        </w:r>
        <w:r w:rsidR="00CF4F63" w:rsidRPr="00512244">
          <w:rPr>
            <w:rFonts w:ascii="Times New Roman" w:hAnsi="Times New Roman" w:cs="Times New Roman"/>
            <w:noProof/>
            <w:webHidden/>
            <w:sz w:val="22"/>
            <w:szCs w:val="22"/>
          </w:rPr>
          <w:fldChar w:fldCharType="begin"/>
        </w:r>
        <w:r w:rsidR="00CF4F63" w:rsidRPr="00512244">
          <w:rPr>
            <w:rFonts w:ascii="Times New Roman" w:hAnsi="Times New Roman" w:cs="Times New Roman"/>
            <w:noProof/>
            <w:webHidden/>
            <w:sz w:val="22"/>
            <w:szCs w:val="22"/>
          </w:rPr>
          <w:instrText xml:space="preserve"> PAGEREF _Toc158103862 \h </w:instrText>
        </w:r>
        <w:r w:rsidR="00CF4F63" w:rsidRPr="00512244">
          <w:rPr>
            <w:rFonts w:ascii="Times New Roman" w:hAnsi="Times New Roman" w:cs="Times New Roman"/>
            <w:noProof/>
            <w:webHidden/>
            <w:sz w:val="22"/>
            <w:szCs w:val="22"/>
          </w:rPr>
        </w:r>
        <w:r w:rsidR="00CF4F63"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33</w:t>
        </w:r>
        <w:r w:rsidR="00CF4F63" w:rsidRPr="00512244">
          <w:rPr>
            <w:rFonts w:ascii="Times New Roman" w:hAnsi="Times New Roman" w:cs="Times New Roman"/>
            <w:noProof/>
            <w:webHidden/>
            <w:sz w:val="22"/>
            <w:szCs w:val="22"/>
          </w:rPr>
          <w:fldChar w:fldCharType="end"/>
        </w:r>
      </w:hyperlink>
    </w:p>
    <w:p w14:paraId="22C77DEB" w14:textId="4C65CA49" w:rsidR="00CF4F63" w:rsidRPr="00512244" w:rsidRDefault="00DE120B">
      <w:pPr>
        <w:pStyle w:val="Tabladeilustraciones"/>
        <w:tabs>
          <w:tab w:val="right" w:leader="dot" w:pos="8828"/>
        </w:tabs>
        <w:rPr>
          <w:rFonts w:ascii="Times New Roman" w:hAnsi="Times New Roman" w:cs="Times New Roman"/>
          <w:noProof/>
          <w:sz w:val="22"/>
          <w:szCs w:val="22"/>
        </w:rPr>
      </w:pPr>
      <w:hyperlink w:anchor="_Toc158103863" w:history="1">
        <w:r w:rsidR="00CF4F63" w:rsidRPr="00512244">
          <w:rPr>
            <w:rStyle w:val="Hipervnculo"/>
            <w:rFonts w:ascii="Times New Roman" w:hAnsi="Times New Roman" w:cs="Times New Roman"/>
            <w:noProof/>
            <w:sz w:val="22"/>
            <w:szCs w:val="22"/>
          </w:rPr>
          <w:t xml:space="preserve">18.  </w:t>
        </w:r>
        <w:r w:rsidR="00CF4F63" w:rsidRPr="00512244">
          <w:rPr>
            <w:rStyle w:val="Hipervnculo"/>
            <w:rFonts w:ascii="Times New Roman" w:eastAsia="Times New Roman" w:hAnsi="Times New Roman" w:cs="Times New Roman"/>
            <w:noProof/>
            <w:sz w:val="22"/>
            <w:szCs w:val="22"/>
          </w:rPr>
          <w:t>Relación Deuda/ PIB y estructura de la deuda interna y externa</w:t>
        </w:r>
        <w:r w:rsidR="00CF4F63" w:rsidRPr="00512244">
          <w:rPr>
            <w:rFonts w:ascii="Times New Roman" w:hAnsi="Times New Roman" w:cs="Times New Roman"/>
            <w:noProof/>
            <w:webHidden/>
            <w:sz w:val="22"/>
            <w:szCs w:val="22"/>
          </w:rPr>
          <w:tab/>
        </w:r>
        <w:r w:rsidR="00CF4F63" w:rsidRPr="00512244">
          <w:rPr>
            <w:rFonts w:ascii="Times New Roman" w:hAnsi="Times New Roman" w:cs="Times New Roman"/>
            <w:noProof/>
            <w:webHidden/>
            <w:sz w:val="22"/>
            <w:szCs w:val="22"/>
          </w:rPr>
          <w:fldChar w:fldCharType="begin"/>
        </w:r>
        <w:r w:rsidR="00CF4F63" w:rsidRPr="00512244">
          <w:rPr>
            <w:rFonts w:ascii="Times New Roman" w:hAnsi="Times New Roman" w:cs="Times New Roman"/>
            <w:noProof/>
            <w:webHidden/>
            <w:sz w:val="22"/>
            <w:szCs w:val="22"/>
          </w:rPr>
          <w:instrText xml:space="preserve"> PAGEREF _Toc158103863 \h </w:instrText>
        </w:r>
        <w:r w:rsidR="00CF4F63" w:rsidRPr="00512244">
          <w:rPr>
            <w:rFonts w:ascii="Times New Roman" w:hAnsi="Times New Roman" w:cs="Times New Roman"/>
            <w:noProof/>
            <w:webHidden/>
            <w:sz w:val="22"/>
            <w:szCs w:val="22"/>
          </w:rPr>
        </w:r>
        <w:r w:rsidR="00CF4F63"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35</w:t>
        </w:r>
        <w:r w:rsidR="00CF4F63" w:rsidRPr="00512244">
          <w:rPr>
            <w:rFonts w:ascii="Times New Roman" w:hAnsi="Times New Roman" w:cs="Times New Roman"/>
            <w:noProof/>
            <w:webHidden/>
            <w:sz w:val="22"/>
            <w:szCs w:val="22"/>
          </w:rPr>
          <w:fldChar w:fldCharType="end"/>
        </w:r>
      </w:hyperlink>
    </w:p>
    <w:p w14:paraId="5A3674B3" w14:textId="51306975" w:rsidR="00CF4F63" w:rsidRPr="00512244" w:rsidRDefault="00DE120B">
      <w:pPr>
        <w:pStyle w:val="Tabladeilustraciones"/>
        <w:tabs>
          <w:tab w:val="right" w:leader="dot" w:pos="8828"/>
        </w:tabs>
        <w:rPr>
          <w:rFonts w:ascii="Times New Roman" w:hAnsi="Times New Roman" w:cs="Times New Roman"/>
          <w:noProof/>
          <w:sz w:val="22"/>
          <w:szCs w:val="22"/>
        </w:rPr>
      </w:pPr>
      <w:hyperlink w:anchor="_Toc158103864" w:history="1">
        <w:r w:rsidR="00CF4F63" w:rsidRPr="00512244">
          <w:rPr>
            <w:rStyle w:val="Hipervnculo"/>
            <w:rFonts w:ascii="Times New Roman" w:hAnsi="Times New Roman" w:cs="Times New Roman"/>
            <w:noProof/>
            <w:sz w:val="22"/>
            <w:szCs w:val="22"/>
          </w:rPr>
          <w:t xml:space="preserve">19.  </w:t>
        </w:r>
        <w:r w:rsidR="00CF4F63" w:rsidRPr="00512244">
          <w:rPr>
            <w:rStyle w:val="Hipervnculo"/>
            <w:rFonts w:ascii="Times New Roman" w:hAnsi="Times New Roman" w:cs="Times New Roman"/>
            <w:noProof/>
            <w:sz w:val="22"/>
            <w:szCs w:val="22"/>
            <w:lang w:val="es-ES_tradnl" w:eastAsia="es-ES"/>
          </w:rPr>
          <w:t>Impulso Fiscal</w:t>
        </w:r>
        <w:r w:rsidR="00CF4F63" w:rsidRPr="00512244">
          <w:rPr>
            <w:rFonts w:ascii="Times New Roman" w:hAnsi="Times New Roman" w:cs="Times New Roman"/>
            <w:noProof/>
            <w:webHidden/>
            <w:sz w:val="22"/>
            <w:szCs w:val="22"/>
          </w:rPr>
          <w:tab/>
        </w:r>
        <w:r w:rsidR="00CF4F63" w:rsidRPr="00512244">
          <w:rPr>
            <w:rFonts w:ascii="Times New Roman" w:hAnsi="Times New Roman" w:cs="Times New Roman"/>
            <w:noProof/>
            <w:webHidden/>
            <w:sz w:val="22"/>
            <w:szCs w:val="22"/>
          </w:rPr>
          <w:fldChar w:fldCharType="begin"/>
        </w:r>
        <w:r w:rsidR="00CF4F63" w:rsidRPr="00512244">
          <w:rPr>
            <w:rFonts w:ascii="Times New Roman" w:hAnsi="Times New Roman" w:cs="Times New Roman"/>
            <w:noProof/>
            <w:webHidden/>
            <w:sz w:val="22"/>
            <w:szCs w:val="22"/>
          </w:rPr>
          <w:instrText xml:space="preserve"> PAGEREF _Toc158103864 \h </w:instrText>
        </w:r>
        <w:r w:rsidR="00CF4F63" w:rsidRPr="00512244">
          <w:rPr>
            <w:rFonts w:ascii="Times New Roman" w:hAnsi="Times New Roman" w:cs="Times New Roman"/>
            <w:noProof/>
            <w:webHidden/>
            <w:sz w:val="22"/>
            <w:szCs w:val="22"/>
          </w:rPr>
        </w:r>
        <w:r w:rsidR="00CF4F63"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38</w:t>
        </w:r>
        <w:r w:rsidR="00CF4F63" w:rsidRPr="00512244">
          <w:rPr>
            <w:rFonts w:ascii="Times New Roman" w:hAnsi="Times New Roman" w:cs="Times New Roman"/>
            <w:noProof/>
            <w:webHidden/>
            <w:sz w:val="22"/>
            <w:szCs w:val="22"/>
          </w:rPr>
          <w:fldChar w:fldCharType="end"/>
        </w:r>
      </w:hyperlink>
    </w:p>
    <w:p w14:paraId="7627DDCA" w14:textId="4C9B7C9B" w:rsidR="00CF4F63" w:rsidRPr="00512244" w:rsidRDefault="00DE120B">
      <w:pPr>
        <w:pStyle w:val="Tabladeilustraciones"/>
        <w:tabs>
          <w:tab w:val="right" w:leader="dot" w:pos="8828"/>
        </w:tabs>
        <w:rPr>
          <w:rFonts w:ascii="Times New Roman" w:hAnsi="Times New Roman" w:cs="Times New Roman"/>
          <w:noProof/>
          <w:sz w:val="22"/>
          <w:szCs w:val="22"/>
        </w:rPr>
      </w:pPr>
      <w:hyperlink w:anchor="_Toc158103865" w:history="1">
        <w:r w:rsidR="00CF4F63" w:rsidRPr="00512244">
          <w:rPr>
            <w:rStyle w:val="Hipervnculo"/>
            <w:rFonts w:ascii="Times New Roman" w:hAnsi="Times New Roman" w:cs="Times New Roman"/>
            <w:noProof/>
            <w:sz w:val="22"/>
            <w:szCs w:val="22"/>
          </w:rPr>
          <w:t xml:space="preserve">20.  </w:t>
        </w:r>
        <w:r w:rsidR="00CF4F63" w:rsidRPr="00512244">
          <w:rPr>
            <w:rStyle w:val="Hipervnculo"/>
            <w:rFonts w:ascii="Times New Roman" w:hAnsi="Times New Roman" w:cs="Times New Roman"/>
            <w:noProof/>
            <w:sz w:val="22"/>
            <w:szCs w:val="22"/>
            <w:lang w:val="es-ES_tradnl" w:eastAsia="es-ES"/>
          </w:rPr>
          <w:t>Orientación de la Política Fiscal</w:t>
        </w:r>
        <w:r w:rsidR="00CF4F63" w:rsidRPr="00512244">
          <w:rPr>
            <w:rFonts w:ascii="Times New Roman" w:hAnsi="Times New Roman" w:cs="Times New Roman"/>
            <w:noProof/>
            <w:webHidden/>
            <w:sz w:val="22"/>
            <w:szCs w:val="22"/>
          </w:rPr>
          <w:tab/>
        </w:r>
        <w:r w:rsidR="00CF4F63" w:rsidRPr="00512244">
          <w:rPr>
            <w:rFonts w:ascii="Times New Roman" w:hAnsi="Times New Roman" w:cs="Times New Roman"/>
            <w:noProof/>
            <w:webHidden/>
            <w:sz w:val="22"/>
            <w:szCs w:val="22"/>
          </w:rPr>
          <w:fldChar w:fldCharType="begin"/>
        </w:r>
        <w:r w:rsidR="00CF4F63" w:rsidRPr="00512244">
          <w:rPr>
            <w:rFonts w:ascii="Times New Roman" w:hAnsi="Times New Roman" w:cs="Times New Roman"/>
            <w:noProof/>
            <w:webHidden/>
            <w:sz w:val="22"/>
            <w:szCs w:val="22"/>
          </w:rPr>
          <w:instrText xml:space="preserve"> PAGEREF _Toc158103865 \h </w:instrText>
        </w:r>
        <w:r w:rsidR="00CF4F63" w:rsidRPr="00512244">
          <w:rPr>
            <w:rFonts w:ascii="Times New Roman" w:hAnsi="Times New Roman" w:cs="Times New Roman"/>
            <w:noProof/>
            <w:webHidden/>
            <w:sz w:val="22"/>
            <w:szCs w:val="22"/>
          </w:rPr>
        </w:r>
        <w:r w:rsidR="00CF4F63"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38</w:t>
        </w:r>
        <w:r w:rsidR="00CF4F63" w:rsidRPr="00512244">
          <w:rPr>
            <w:rFonts w:ascii="Times New Roman" w:hAnsi="Times New Roman" w:cs="Times New Roman"/>
            <w:noProof/>
            <w:webHidden/>
            <w:sz w:val="22"/>
            <w:szCs w:val="22"/>
          </w:rPr>
          <w:fldChar w:fldCharType="end"/>
        </w:r>
      </w:hyperlink>
    </w:p>
    <w:p w14:paraId="72747FF9" w14:textId="44DD7976" w:rsidR="00CF4F63" w:rsidRPr="00512244" w:rsidRDefault="00DE120B">
      <w:pPr>
        <w:pStyle w:val="Tabladeilustraciones"/>
        <w:tabs>
          <w:tab w:val="right" w:leader="dot" w:pos="8828"/>
        </w:tabs>
        <w:rPr>
          <w:rFonts w:ascii="Times New Roman" w:hAnsi="Times New Roman" w:cs="Times New Roman"/>
          <w:noProof/>
          <w:sz w:val="22"/>
          <w:szCs w:val="22"/>
        </w:rPr>
      </w:pPr>
      <w:hyperlink w:anchor="_Toc158103866" w:history="1">
        <w:r w:rsidR="00CF4F63" w:rsidRPr="00512244">
          <w:rPr>
            <w:rStyle w:val="Hipervnculo"/>
            <w:rFonts w:ascii="Times New Roman" w:hAnsi="Times New Roman" w:cs="Times New Roman"/>
            <w:noProof/>
            <w:sz w:val="22"/>
            <w:szCs w:val="22"/>
          </w:rPr>
          <w:t xml:space="preserve">21.  </w:t>
        </w:r>
        <w:r w:rsidR="00CF4F63" w:rsidRPr="00512244">
          <w:rPr>
            <w:rStyle w:val="Hipervnculo"/>
            <w:rFonts w:ascii="Times New Roman" w:hAnsi="Times New Roman" w:cs="Times New Roman"/>
            <w:noProof/>
            <w:sz w:val="22"/>
            <w:szCs w:val="22"/>
            <w:lang w:val="es-MX"/>
          </w:rPr>
          <w:t>Cobertura de los estados de operaciones conforme al MEFP 2014</w:t>
        </w:r>
        <w:r w:rsidR="00CF4F63" w:rsidRPr="00512244">
          <w:rPr>
            <w:rFonts w:ascii="Times New Roman" w:hAnsi="Times New Roman" w:cs="Times New Roman"/>
            <w:noProof/>
            <w:webHidden/>
            <w:sz w:val="22"/>
            <w:szCs w:val="22"/>
          </w:rPr>
          <w:tab/>
        </w:r>
        <w:r w:rsidR="00CF4F63" w:rsidRPr="00512244">
          <w:rPr>
            <w:rFonts w:ascii="Times New Roman" w:hAnsi="Times New Roman" w:cs="Times New Roman"/>
            <w:noProof/>
            <w:webHidden/>
            <w:sz w:val="22"/>
            <w:szCs w:val="22"/>
          </w:rPr>
          <w:fldChar w:fldCharType="begin"/>
        </w:r>
        <w:r w:rsidR="00CF4F63" w:rsidRPr="00512244">
          <w:rPr>
            <w:rFonts w:ascii="Times New Roman" w:hAnsi="Times New Roman" w:cs="Times New Roman"/>
            <w:noProof/>
            <w:webHidden/>
            <w:sz w:val="22"/>
            <w:szCs w:val="22"/>
          </w:rPr>
          <w:instrText xml:space="preserve"> PAGEREF _Toc158103866 \h </w:instrText>
        </w:r>
        <w:r w:rsidR="00CF4F63" w:rsidRPr="00512244">
          <w:rPr>
            <w:rFonts w:ascii="Times New Roman" w:hAnsi="Times New Roman" w:cs="Times New Roman"/>
            <w:noProof/>
            <w:webHidden/>
            <w:sz w:val="22"/>
            <w:szCs w:val="22"/>
          </w:rPr>
        </w:r>
        <w:r w:rsidR="00CF4F63"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38</w:t>
        </w:r>
        <w:r w:rsidR="00CF4F63" w:rsidRPr="00512244">
          <w:rPr>
            <w:rFonts w:ascii="Times New Roman" w:hAnsi="Times New Roman" w:cs="Times New Roman"/>
            <w:noProof/>
            <w:webHidden/>
            <w:sz w:val="22"/>
            <w:szCs w:val="22"/>
          </w:rPr>
          <w:fldChar w:fldCharType="end"/>
        </w:r>
      </w:hyperlink>
    </w:p>
    <w:p w14:paraId="7A5E5B61" w14:textId="5A1849DF" w:rsidR="00CF4F63" w:rsidRPr="00512244" w:rsidRDefault="00DE120B">
      <w:pPr>
        <w:pStyle w:val="Tabladeilustraciones"/>
        <w:tabs>
          <w:tab w:val="right" w:leader="dot" w:pos="8828"/>
        </w:tabs>
        <w:rPr>
          <w:rFonts w:ascii="Times New Roman" w:hAnsi="Times New Roman" w:cs="Times New Roman"/>
          <w:noProof/>
          <w:sz w:val="22"/>
          <w:szCs w:val="22"/>
        </w:rPr>
      </w:pPr>
      <w:hyperlink w:anchor="_Toc158103867" w:history="1">
        <w:r w:rsidR="00CF4F63" w:rsidRPr="00512244">
          <w:rPr>
            <w:rStyle w:val="Hipervnculo"/>
            <w:rFonts w:ascii="Times New Roman" w:hAnsi="Times New Roman" w:cs="Times New Roman"/>
            <w:noProof/>
            <w:sz w:val="22"/>
            <w:szCs w:val="22"/>
          </w:rPr>
          <w:t xml:space="preserve">22.  </w:t>
        </w:r>
        <w:r w:rsidR="00CF4F63" w:rsidRPr="00512244">
          <w:rPr>
            <w:rStyle w:val="Hipervnculo"/>
            <w:rFonts w:ascii="Times New Roman" w:eastAsia="Times New Roman" w:hAnsi="Times New Roman" w:cs="Times New Roman"/>
            <w:noProof/>
            <w:sz w:val="22"/>
            <w:szCs w:val="22"/>
          </w:rPr>
          <w:t>Perspectivas de crecimiento de la economía mundial</w:t>
        </w:r>
        <w:r w:rsidR="00CF4F63" w:rsidRPr="00512244">
          <w:rPr>
            <w:rFonts w:ascii="Times New Roman" w:hAnsi="Times New Roman" w:cs="Times New Roman"/>
            <w:noProof/>
            <w:webHidden/>
            <w:sz w:val="22"/>
            <w:szCs w:val="22"/>
          </w:rPr>
          <w:tab/>
        </w:r>
        <w:r w:rsidR="00CF4F63" w:rsidRPr="00512244">
          <w:rPr>
            <w:rFonts w:ascii="Times New Roman" w:hAnsi="Times New Roman" w:cs="Times New Roman"/>
            <w:noProof/>
            <w:webHidden/>
            <w:sz w:val="22"/>
            <w:szCs w:val="22"/>
          </w:rPr>
          <w:fldChar w:fldCharType="begin"/>
        </w:r>
        <w:r w:rsidR="00CF4F63" w:rsidRPr="00512244">
          <w:rPr>
            <w:rFonts w:ascii="Times New Roman" w:hAnsi="Times New Roman" w:cs="Times New Roman"/>
            <w:noProof/>
            <w:webHidden/>
            <w:sz w:val="22"/>
            <w:szCs w:val="22"/>
          </w:rPr>
          <w:instrText xml:space="preserve"> PAGEREF _Toc158103867 \h </w:instrText>
        </w:r>
        <w:r w:rsidR="00CF4F63" w:rsidRPr="00512244">
          <w:rPr>
            <w:rFonts w:ascii="Times New Roman" w:hAnsi="Times New Roman" w:cs="Times New Roman"/>
            <w:noProof/>
            <w:webHidden/>
            <w:sz w:val="22"/>
            <w:szCs w:val="22"/>
          </w:rPr>
        </w:r>
        <w:r w:rsidR="00CF4F63"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44</w:t>
        </w:r>
        <w:r w:rsidR="00CF4F63" w:rsidRPr="00512244">
          <w:rPr>
            <w:rFonts w:ascii="Times New Roman" w:hAnsi="Times New Roman" w:cs="Times New Roman"/>
            <w:noProof/>
            <w:webHidden/>
            <w:sz w:val="22"/>
            <w:szCs w:val="22"/>
          </w:rPr>
          <w:fldChar w:fldCharType="end"/>
        </w:r>
      </w:hyperlink>
    </w:p>
    <w:p w14:paraId="10E4960C" w14:textId="7C6EF1D4" w:rsidR="00CF4F63" w:rsidRPr="00512244" w:rsidRDefault="00DE120B">
      <w:pPr>
        <w:pStyle w:val="Tabladeilustraciones"/>
        <w:tabs>
          <w:tab w:val="right" w:leader="dot" w:pos="8828"/>
        </w:tabs>
        <w:rPr>
          <w:rFonts w:ascii="Times New Roman" w:hAnsi="Times New Roman" w:cs="Times New Roman"/>
          <w:noProof/>
          <w:sz w:val="22"/>
          <w:szCs w:val="22"/>
        </w:rPr>
      </w:pPr>
      <w:hyperlink w:anchor="_Toc158103868" w:history="1">
        <w:r w:rsidR="00CF4F63" w:rsidRPr="00512244">
          <w:rPr>
            <w:rStyle w:val="Hipervnculo"/>
            <w:rFonts w:ascii="Times New Roman" w:hAnsi="Times New Roman" w:cs="Times New Roman"/>
            <w:noProof/>
            <w:sz w:val="22"/>
            <w:szCs w:val="22"/>
          </w:rPr>
          <w:t xml:space="preserve">23.  </w:t>
        </w:r>
        <w:r w:rsidR="00CF4F63" w:rsidRPr="00512244">
          <w:rPr>
            <w:rStyle w:val="Hipervnculo"/>
            <w:rFonts w:ascii="Times New Roman" w:eastAsia="Times New Roman" w:hAnsi="Times New Roman" w:cs="Times New Roman"/>
            <w:noProof/>
            <w:sz w:val="22"/>
            <w:szCs w:val="22"/>
          </w:rPr>
          <w:t>Perspectivas de crecimiento para las economías avanzadas y emergentes</w:t>
        </w:r>
        <w:r w:rsidR="00CF4F63" w:rsidRPr="00512244">
          <w:rPr>
            <w:rFonts w:ascii="Times New Roman" w:hAnsi="Times New Roman" w:cs="Times New Roman"/>
            <w:noProof/>
            <w:webHidden/>
            <w:sz w:val="22"/>
            <w:szCs w:val="22"/>
          </w:rPr>
          <w:tab/>
        </w:r>
        <w:r w:rsidR="00CF4F63" w:rsidRPr="00512244">
          <w:rPr>
            <w:rFonts w:ascii="Times New Roman" w:hAnsi="Times New Roman" w:cs="Times New Roman"/>
            <w:noProof/>
            <w:webHidden/>
            <w:sz w:val="22"/>
            <w:szCs w:val="22"/>
          </w:rPr>
          <w:fldChar w:fldCharType="begin"/>
        </w:r>
        <w:r w:rsidR="00CF4F63" w:rsidRPr="00512244">
          <w:rPr>
            <w:rFonts w:ascii="Times New Roman" w:hAnsi="Times New Roman" w:cs="Times New Roman"/>
            <w:noProof/>
            <w:webHidden/>
            <w:sz w:val="22"/>
            <w:szCs w:val="22"/>
          </w:rPr>
          <w:instrText xml:space="preserve"> PAGEREF _Toc158103868 \h </w:instrText>
        </w:r>
        <w:r w:rsidR="00CF4F63" w:rsidRPr="00512244">
          <w:rPr>
            <w:rFonts w:ascii="Times New Roman" w:hAnsi="Times New Roman" w:cs="Times New Roman"/>
            <w:noProof/>
            <w:webHidden/>
            <w:sz w:val="22"/>
            <w:szCs w:val="22"/>
          </w:rPr>
        </w:r>
        <w:r w:rsidR="00CF4F63"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44</w:t>
        </w:r>
        <w:r w:rsidR="00CF4F63" w:rsidRPr="00512244">
          <w:rPr>
            <w:rFonts w:ascii="Times New Roman" w:hAnsi="Times New Roman" w:cs="Times New Roman"/>
            <w:noProof/>
            <w:webHidden/>
            <w:sz w:val="22"/>
            <w:szCs w:val="22"/>
          </w:rPr>
          <w:fldChar w:fldCharType="end"/>
        </w:r>
      </w:hyperlink>
    </w:p>
    <w:p w14:paraId="2C5CFCF0" w14:textId="07BC15D2" w:rsidR="00CF4F63" w:rsidRPr="00512244" w:rsidRDefault="00DE120B">
      <w:pPr>
        <w:pStyle w:val="Tabladeilustraciones"/>
        <w:tabs>
          <w:tab w:val="right" w:leader="dot" w:pos="8828"/>
        </w:tabs>
        <w:rPr>
          <w:rFonts w:ascii="Times New Roman" w:hAnsi="Times New Roman" w:cs="Times New Roman"/>
          <w:noProof/>
          <w:sz w:val="22"/>
          <w:szCs w:val="22"/>
        </w:rPr>
      </w:pPr>
      <w:hyperlink w:anchor="_Toc158103869" w:history="1">
        <w:r w:rsidR="00CF4F63" w:rsidRPr="00512244">
          <w:rPr>
            <w:rStyle w:val="Hipervnculo"/>
            <w:rFonts w:ascii="Times New Roman" w:hAnsi="Times New Roman" w:cs="Times New Roman"/>
            <w:noProof/>
            <w:sz w:val="22"/>
            <w:szCs w:val="22"/>
          </w:rPr>
          <w:t xml:space="preserve">24.  </w:t>
        </w:r>
        <w:r w:rsidR="00CF4F63" w:rsidRPr="00512244">
          <w:rPr>
            <w:rStyle w:val="Hipervnculo"/>
            <w:rFonts w:ascii="Times New Roman" w:eastAsiaTheme="majorEastAsia" w:hAnsi="Times New Roman" w:cs="Times New Roman"/>
            <w:noProof/>
            <w:sz w:val="22"/>
            <w:szCs w:val="22"/>
          </w:rPr>
          <w:t>Perspectivas del volumen del comercio mundial de mercancías en 2023</w:t>
        </w:r>
        <w:r w:rsidR="00CF4F63" w:rsidRPr="00512244">
          <w:rPr>
            <w:rFonts w:ascii="Times New Roman" w:hAnsi="Times New Roman" w:cs="Times New Roman"/>
            <w:noProof/>
            <w:webHidden/>
            <w:sz w:val="22"/>
            <w:szCs w:val="22"/>
          </w:rPr>
          <w:tab/>
        </w:r>
        <w:r w:rsidR="00CF4F63" w:rsidRPr="00512244">
          <w:rPr>
            <w:rFonts w:ascii="Times New Roman" w:hAnsi="Times New Roman" w:cs="Times New Roman"/>
            <w:noProof/>
            <w:webHidden/>
            <w:sz w:val="22"/>
            <w:szCs w:val="22"/>
          </w:rPr>
          <w:fldChar w:fldCharType="begin"/>
        </w:r>
        <w:r w:rsidR="00CF4F63" w:rsidRPr="00512244">
          <w:rPr>
            <w:rFonts w:ascii="Times New Roman" w:hAnsi="Times New Roman" w:cs="Times New Roman"/>
            <w:noProof/>
            <w:webHidden/>
            <w:sz w:val="22"/>
            <w:szCs w:val="22"/>
          </w:rPr>
          <w:instrText xml:space="preserve"> PAGEREF _Toc158103869 \h </w:instrText>
        </w:r>
        <w:r w:rsidR="00CF4F63" w:rsidRPr="00512244">
          <w:rPr>
            <w:rFonts w:ascii="Times New Roman" w:hAnsi="Times New Roman" w:cs="Times New Roman"/>
            <w:noProof/>
            <w:webHidden/>
            <w:sz w:val="22"/>
            <w:szCs w:val="22"/>
          </w:rPr>
        </w:r>
        <w:r w:rsidR="00CF4F63"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46</w:t>
        </w:r>
        <w:r w:rsidR="00CF4F63" w:rsidRPr="00512244">
          <w:rPr>
            <w:rFonts w:ascii="Times New Roman" w:hAnsi="Times New Roman" w:cs="Times New Roman"/>
            <w:noProof/>
            <w:webHidden/>
            <w:sz w:val="22"/>
            <w:szCs w:val="22"/>
          </w:rPr>
          <w:fldChar w:fldCharType="end"/>
        </w:r>
      </w:hyperlink>
    </w:p>
    <w:p w14:paraId="06604DF8" w14:textId="23045E86" w:rsidR="00CF4F63" w:rsidRPr="00512244" w:rsidRDefault="00DE120B">
      <w:pPr>
        <w:pStyle w:val="Tabladeilustraciones"/>
        <w:tabs>
          <w:tab w:val="right" w:leader="dot" w:pos="8828"/>
        </w:tabs>
        <w:rPr>
          <w:rFonts w:ascii="Times New Roman" w:hAnsi="Times New Roman" w:cs="Times New Roman"/>
          <w:noProof/>
          <w:sz w:val="22"/>
          <w:szCs w:val="22"/>
        </w:rPr>
      </w:pPr>
      <w:hyperlink w:anchor="_Toc158103870" w:history="1">
        <w:r w:rsidR="00CF4F63" w:rsidRPr="00512244">
          <w:rPr>
            <w:rStyle w:val="Hipervnculo"/>
            <w:rFonts w:ascii="Times New Roman" w:hAnsi="Times New Roman" w:cs="Times New Roman"/>
            <w:noProof/>
            <w:sz w:val="22"/>
            <w:szCs w:val="22"/>
          </w:rPr>
          <w:t xml:space="preserve">25.  </w:t>
        </w:r>
        <w:r w:rsidR="00CF4F63" w:rsidRPr="00512244">
          <w:rPr>
            <w:rStyle w:val="Hipervnculo"/>
            <w:rFonts w:ascii="Times New Roman" w:eastAsia="AGaramondPro-Regular" w:hAnsi="Times New Roman" w:cs="Times New Roman"/>
            <w:noProof/>
            <w:sz w:val="22"/>
            <w:szCs w:val="22"/>
          </w:rPr>
          <w:t>Pronóstico del precio del barril de crudo de petróleo WTI</w:t>
        </w:r>
        <w:r w:rsidR="00CF4F63" w:rsidRPr="00512244">
          <w:rPr>
            <w:rFonts w:ascii="Times New Roman" w:hAnsi="Times New Roman" w:cs="Times New Roman"/>
            <w:noProof/>
            <w:webHidden/>
            <w:sz w:val="22"/>
            <w:szCs w:val="22"/>
          </w:rPr>
          <w:tab/>
        </w:r>
        <w:r w:rsidR="00CF4F63" w:rsidRPr="00512244">
          <w:rPr>
            <w:rFonts w:ascii="Times New Roman" w:hAnsi="Times New Roman" w:cs="Times New Roman"/>
            <w:noProof/>
            <w:webHidden/>
            <w:sz w:val="22"/>
            <w:szCs w:val="22"/>
          </w:rPr>
          <w:fldChar w:fldCharType="begin"/>
        </w:r>
        <w:r w:rsidR="00CF4F63" w:rsidRPr="00512244">
          <w:rPr>
            <w:rFonts w:ascii="Times New Roman" w:hAnsi="Times New Roman" w:cs="Times New Roman"/>
            <w:noProof/>
            <w:webHidden/>
            <w:sz w:val="22"/>
            <w:szCs w:val="22"/>
          </w:rPr>
          <w:instrText xml:space="preserve"> PAGEREF _Toc158103870 \h </w:instrText>
        </w:r>
        <w:r w:rsidR="00CF4F63" w:rsidRPr="00512244">
          <w:rPr>
            <w:rFonts w:ascii="Times New Roman" w:hAnsi="Times New Roman" w:cs="Times New Roman"/>
            <w:noProof/>
            <w:webHidden/>
            <w:sz w:val="22"/>
            <w:szCs w:val="22"/>
          </w:rPr>
        </w:r>
        <w:r w:rsidR="00CF4F63"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47</w:t>
        </w:r>
        <w:r w:rsidR="00CF4F63" w:rsidRPr="00512244">
          <w:rPr>
            <w:rFonts w:ascii="Times New Roman" w:hAnsi="Times New Roman" w:cs="Times New Roman"/>
            <w:noProof/>
            <w:webHidden/>
            <w:sz w:val="22"/>
            <w:szCs w:val="22"/>
          </w:rPr>
          <w:fldChar w:fldCharType="end"/>
        </w:r>
      </w:hyperlink>
    </w:p>
    <w:p w14:paraId="379BE136" w14:textId="2DDE21F0" w:rsidR="00CF4F63" w:rsidRPr="00512244" w:rsidRDefault="00DE120B">
      <w:pPr>
        <w:pStyle w:val="Tabladeilustraciones"/>
        <w:tabs>
          <w:tab w:val="right" w:leader="dot" w:pos="8828"/>
        </w:tabs>
        <w:rPr>
          <w:rFonts w:ascii="Times New Roman" w:hAnsi="Times New Roman" w:cs="Times New Roman"/>
          <w:noProof/>
          <w:sz w:val="22"/>
          <w:szCs w:val="22"/>
        </w:rPr>
      </w:pPr>
      <w:hyperlink w:anchor="_Toc158103871" w:history="1">
        <w:r w:rsidR="00CF4F63" w:rsidRPr="00512244">
          <w:rPr>
            <w:rStyle w:val="Hipervnculo"/>
            <w:rFonts w:ascii="Times New Roman" w:hAnsi="Times New Roman" w:cs="Times New Roman"/>
            <w:noProof/>
            <w:sz w:val="22"/>
            <w:szCs w:val="22"/>
          </w:rPr>
          <w:t xml:space="preserve">26.  </w:t>
        </w:r>
        <w:r w:rsidR="00CF4F63" w:rsidRPr="00512244">
          <w:rPr>
            <w:rStyle w:val="Hipervnculo"/>
            <w:rFonts w:ascii="Times New Roman" w:eastAsia="AGaramondPro-Regular" w:hAnsi="Times New Roman" w:cs="Times New Roman"/>
            <w:noProof/>
            <w:sz w:val="22"/>
            <w:szCs w:val="22"/>
          </w:rPr>
          <w:t>Pronóstico de la variación interanual de los índices de precios del Banco Mundial</w:t>
        </w:r>
        <w:r w:rsidR="00CF4F63" w:rsidRPr="00512244">
          <w:rPr>
            <w:rFonts w:ascii="Times New Roman" w:hAnsi="Times New Roman" w:cs="Times New Roman"/>
            <w:noProof/>
            <w:webHidden/>
            <w:sz w:val="22"/>
            <w:szCs w:val="22"/>
          </w:rPr>
          <w:tab/>
        </w:r>
        <w:r w:rsidR="00CF4F63" w:rsidRPr="00512244">
          <w:rPr>
            <w:rFonts w:ascii="Times New Roman" w:hAnsi="Times New Roman" w:cs="Times New Roman"/>
            <w:noProof/>
            <w:webHidden/>
            <w:sz w:val="22"/>
            <w:szCs w:val="22"/>
          </w:rPr>
          <w:fldChar w:fldCharType="begin"/>
        </w:r>
        <w:r w:rsidR="00CF4F63" w:rsidRPr="00512244">
          <w:rPr>
            <w:rFonts w:ascii="Times New Roman" w:hAnsi="Times New Roman" w:cs="Times New Roman"/>
            <w:noProof/>
            <w:webHidden/>
            <w:sz w:val="22"/>
            <w:szCs w:val="22"/>
          </w:rPr>
          <w:instrText xml:space="preserve"> PAGEREF _Toc158103871 \h </w:instrText>
        </w:r>
        <w:r w:rsidR="00CF4F63" w:rsidRPr="00512244">
          <w:rPr>
            <w:rFonts w:ascii="Times New Roman" w:hAnsi="Times New Roman" w:cs="Times New Roman"/>
            <w:noProof/>
            <w:webHidden/>
            <w:sz w:val="22"/>
            <w:szCs w:val="22"/>
          </w:rPr>
        </w:r>
        <w:r w:rsidR="00CF4F63"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47</w:t>
        </w:r>
        <w:r w:rsidR="00CF4F63" w:rsidRPr="00512244">
          <w:rPr>
            <w:rFonts w:ascii="Times New Roman" w:hAnsi="Times New Roman" w:cs="Times New Roman"/>
            <w:noProof/>
            <w:webHidden/>
            <w:sz w:val="22"/>
            <w:szCs w:val="22"/>
          </w:rPr>
          <w:fldChar w:fldCharType="end"/>
        </w:r>
      </w:hyperlink>
    </w:p>
    <w:p w14:paraId="721B9E58" w14:textId="586458F1" w:rsidR="00CF4F63" w:rsidRPr="00512244" w:rsidRDefault="00DE120B">
      <w:pPr>
        <w:pStyle w:val="Tabladeilustraciones"/>
        <w:tabs>
          <w:tab w:val="right" w:leader="dot" w:pos="8828"/>
        </w:tabs>
        <w:rPr>
          <w:rFonts w:ascii="Times New Roman" w:hAnsi="Times New Roman" w:cs="Times New Roman"/>
          <w:noProof/>
          <w:sz w:val="22"/>
          <w:szCs w:val="22"/>
        </w:rPr>
      </w:pPr>
      <w:hyperlink w:anchor="_Toc158103872" w:history="1">
        <w:r w:rsidR="00CF4F63" w:rsidRPr="00512244">
          <w:rPr>
            <w:rStyle w:val="Hipervnculo"/>
            <w:rFonts w:ascii="Times New Roman" w:hAnsi="Times New Roman" w:cs="Times New Roman"/>
            <w:noProof/>
            <w:sz w:val="22"/>
            <w:szCs w:val="22"/>
          </w:rPr>
          <w:t xml:space="preserve">27.  </w:t>
        </w:r>
        <w:r w:rsidR="00CF4F63" w:rsidRPr="00512244">
          <w:rPr>
            <w:rStyle w:val="Hipervnculo"/>
            <w:rFonts w:ascii="Times New Roman" w:eastAsia="AGaramondPro-Regular" w:hAnsi="Times New Roman" w:cs="Times New Roman"/>
            <w:noProof/>
            <w:sz w:val="22"/>
            <w:szCs w:val="22"/>
          </w:rPr>
          <w:t>Perspectivas de crecimiento del PIB</w:t>
        </w:r>
        <w:r w:rsidR="00CF4F63" w:rsidRPr="00512244">
          <w:rPr>
            <w:rFonts w:ascii="Times New Roman" w:hAnsi="Times New Roman" w:cs="Times New Roman"/>
            <w:noProof/>
            <w:webHidden/>
            <w:sz w:val="22"/>
            <w:szCs w:val="22"/>
          </w:rPr>
          <w:tab/>
        </w:r>
        <w:r w:rsidR="00CF4F63" w:rsidRPr="00512244">
          <w:rPr>
            <w:rFonts w:ascii="Times New Roman" w:hAnsi="Times New Roman" w:cs="Times New Roman"/>
            <w:noProof/>
            <w:webHidden/>
            <w:sz w:val="22"/>
            <w:szCs w:val="22"/>
          </w:rPr>
          <w:fldChar w:fldCharType="begin"/>
        </w:r>
        <w:r w:rsidR="00CF4F63" w:rsidRPr="00512244">
          <w:rPr>
            <w:rFonts w:ascii="Times New Roman" w:hAnsi="Times New Roman" w:cs="Times New Roman"/>
            <w:noProof/>
            <w:webHidden/>
            <w:sz w:val="22"/>
            <w:szCs w:val="22"/>
          </w:rPr>
          <w:instrText xml:space="preserve"> PAGEREF _Toc158103872 \h </w:instrText>
        </w:r>
        <w:r w:rsidR="00CF4F63" w:rsidRPr="00512244">
          <w:rPr>
            <w:rFonts w:ascii="Times New Roman" w:hAnsi="Times New Roman" w:cs="Times New Roman"/>
            <w:noProof/>
            <w:webHidden/>
            <w:sz w:val="22"/>
            <w:szCs w:val="22"/>
          </w:rPr>
        </w:r>
        <w:r w:rsidR="00CF4F63"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48</w:t>
        </w:r>
        <w:r w:rsidR="00CF4F63" w:rsidRPr="00512244">
          <w:rPr>
            <w:rFonts w:ascii="Times New Roman" w:hAnsi="Times New Roman" w:cs="Times New Roman"/>
            <w:noProof/>
            <w:webHidden/>
            <w:sz w:val="22"/>
            <w:szCs w:val="22"/>
          </w:rPr>
          <w:fldChar w:fldCharType="end"/>
        </w:r>
      </w:hyperlink>
    </w:p>
    <w:p w14:paraId="28968BFC" w14:textId="672AC026" w:rsidR="00CF4F63" w:rsidRPr="00512244" w:rsidRDefault="00DE120B">
      <w:pPr>
        <w:pStyle w:val="Tabladeilustraciones"/>
        <w:tabs>
          <w:tab w:val="right" w:leader="dot" w:pos="8828"/>
        </w:tabs>
        <w:rPr>
          <w:rFonts w:ascii="Times New Roman" w:hAnsi="Times New Roman" w:cs="Times New Roman"/>
          <w:noProof/>
          <w:sz w:val="22"/>
          <w:szCs w:val="22"/>
        </w:rPr>
      </w:pPr>
      <w:hyperlink w:anchor="_Toc158103873" w:history="1">
        <w:r w:rsidR="00CF4F63" w:rsidRPr="00512244">
          <w:rPr>
            <w:rStyle w:val="Hipervnculo"/>
            <w:rFonts w:ascii="Times New Roman" w:hAnsi="Times New Roman" w:cs="Times New Roman"/>
            <w:noProof/>
            <w:sz w:val="22"/>
            <w:szCs w:val="22"/>
          </w:rPr>
          <w:t xml:space="preserve">28.  </w:t>
        </w:r>
        <w:r w:rsidR="00CF4F63" w:rsidRPr="00512244">
          <w:rPr>
            <w:rStyle w:val="Hipervnculo"/>
            <w:rFonts w:ascii="Times New Roman" w:eastAsia="AGaramondPro-Regular" w:hAnsi="Times New Roman" w:cs="Times New Roman"/>
            <w:noProof/>
            <w:sz w:val="22"/>
            <w:szCs w:val="22"/>
          </w:rPr>
          <w:t>Perspectivas de crecimiento de los componentes del gasto del PIB</w:t>
        </w:r>
        <w:r w:rsidR="00CF4F63" w:rsidRPr="00512244">
          <w:rPr>
            <w:rFonts w:ascii="Times New Roman" w:hAnsi="Times New Roman" w:cs="Times New Roman"/>
            <w:noProof/>
            <w:webHidden/>
            <w:sz w:val="22"/>
            <w:szCs w:val="22"/>
          </w:rPr>
          <w:tab/>
        </w:r>
        <w:r w:rsidR="00CF4F63" w:rsidRPr="00512244">
          <w:rPr>
            <w:rFonts w:ascii="Times New Roman" w:hAnsi="Times New Roman" w:cs="Times New Roman"/>
            <w:noProof/>
            <w:webHidden/>
            <w:sz w:val="22"/>
            <w:szCs w:val="22"/>
          </w:rPr>
          <w:fldChar w:fldCharType="begin"/>
        </w:r>
        <w:r w:rsidR="00CF4F63" w:rsidRPr="00512244">
          <w:rPr>
            <w:rFonts w:ascii="Times New Roman" w:hAnsi="Times New Roman" w:cs="Times New Roman"/>
            <w:noProof/>
            <w:webHidden/>
            <w:sz w:val="22"/>
            <w:szCs w:val="22"/>
          </w:rPr>
          <w:instrText xml:space="preserve"> PAGEREF _Toc158103873 \h </w:instrText>
        </w:r>
        <w:r w:rsidR="00CF4F63" w:rsidRPr="00512244">
          <w:rPr>
            <w:rFonts w:ascii="Times New Roman" w:hAnsi="Times New Roman" w:cs="Times New Roman"/>
            <w:noProof/>
            <w:webHidden/>
            <w:sz w:val="22"/>
            <w:szCs w:val="22"/>
          </w:rPr>
        </w:r>
        <w:r w:rsidR="00CF4F63"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48</w:t>
        </w:r>
        <w:r w:rsidR="00CF4F63" w:rsidRPr="00512244">
          <w:rPr>
            <w:rFonts w:ascii="Times New Roman" w:hAnsi="Times New Roman" w:cs="Times New Roman"/>
            <w:noProof/>
            <w:webHidden/>
            <w:sz w:val="22"/>
            <w:szCs w:val="22"/>
          </w:rPr>
          <w:fldChar w:fldCharType="end"/>
        </w:r>
      </w:hyperlink>
    </w:p>
    <w:p w14:paraId="3284F952" w14:textId="05DF9C0F" w:rsidR="00CF4F63" w:rsidRPr="00512244" w:rsidRDefault="00DE120B">
      <w:pPr>
        <w:pStyle w:val="Tabladeilustraciones"/>
        <w:tabs>
          <w:tab w:val="right" w:leader="dot" w:pos="8828"/>
        </w:tabs>
        <w:rPr>
          <w:rFonts w:ascii="Times New Roman" w:hAnsi="Times New Roman" w:cs="Times New Roman"/>
          <w:noProof/>
          <w:sz w:val="22"/>
          <w:szCs w:val="22"/>
        </w:rPr>
      </w:pPr>
      <w:hyperlink w:anchor="_Toc158103874" w:history="1">
        <w:r w:rsidR="00CF4F63" w:rsidRPr="00512244">
          <w:rPr>
            <w:rStyle w:val="Hipervnculo"/>
            <w:rFonts w:ascii="Times New Roman" w:hAnsi="Times New Roman" w:cs="Times New Roman"/>
            <w:noProof/>
            <w:sz w:val="22"/>
            <w:szCs w:val="22"/>
          </w:rPr>
          <w:t xml:space="preserve">29.  </w:t>
        </w:r>
        <w:r w:rsidR="00CF4F63" w:rsidRPr="00512244">
          <w:rPr>
            <w:rStyle w:val="Hipervnculo"/>
            <w:rFonts w:ascii="Times New Roman" w:eastAsia="Times New Roman" w:hAnsi="Times New Roman" w:cs="Times New Roman"/>
            <w:noProof/>
            <w:sz w:val="22"/>
            <w:szCs w:val="22"/>
          </w:rPr>
          <w:t>Perspectivas de crecimiento por actividad económica del PIB</w:t>
        </w:r>
        <w:r w:rsidR="00CF4F63" w:rsidRPr="00512244">
          <w:rPr>
            <w:rFonts w:ascii="Times New Roman" w:hAnsi="Times New Roman" w:cs="Times New Roman"/>
            <w:noProof/>
            <w:webHidden/>
            <w:sz w:val="22"/>
            <w:szCs w:val="22"/>
          </w:rPr>
          <w:tab/>
        </w:r>
        <w:r w:rsidR="00CF4F63" w:rsidRPr="00512244">
          <w:rPr>
            <w:rFonts w:ascii="Times New Roman" w:hAnsi="Times New Roman" w:cs="Times New Roman"/>
            <w:noProof/>
            <w:webHidden/>
            <w:sz w:val="22"/>
            <w:szCs w:val="22"/>
          </w:rPr>
          <w:fldChar w:fldCharType="begin"/>
        </w:r>
        <w:r w:rsidR="00CF4F63" w:rsidRPr="00512244">
          <w:rPr>
            <w:rFonts w:ascii="Times New Roman" w:hAnsi="Times New Roman" w:cs="Times New Roman"/>
            <w:noProof/>
            <w:webHidden/>
            <w:sz w:val="22"/>
            <w:szCs w:val="22"/>
          </w:rPr>
          <w:instrText xml:space="preserve"> PAGEREF _Toc158103874 \h </w:instrText>
        </w:r>
        <w:r w:rsidR="00CF4F63" w:rsidRPr="00512244">
          <w:rPr>
            <w:rFonts w:ascii="Times New Roman" w:hAnsi="Times New Roman" w:cs="Times New Roman"/>
            <w:noProof/>
            <w:webHidden/>
            <w:sz w:val="22"/>
            <w:szCs w:val="22"/>
          </w:rPr>
        </w:r>
        <w:r w:rsidR="00CF4F63"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49</w:t>
        </w:r>
        <w:r w:rsidR="00CF4F63" w:rsidRPr="00512244">
          <w:rPr>
            <w:rFonts w:ascii="Times New Roman" w:hAnsi="Times New Roman" w:cs="Times New Roman"/>
            <w:noProof/>
            <w:webHidden/>
            <w:sz w:val="22"/>
            <w:szCs w:val="22"/>
          </w:rPr>
          <w:fldChar w:fldCharType="end"/>
        </w:r>
      </w:hyperlink>
    </w:p>
    <w:p w14:paraId="325D902A" w14:textId="401F268F" w:rsidR="00CF4F63" w:rsidRPr="00512244" w:rsidRDefault="00DE120B">
      <w:pPr>
        <w:pStyle w:val="Tabladeilustraciones"/>
        <w:tabs>
          <w:tab w:val="right" w:leader="dot" w:pos="8828"/>
        </w:tabs>
        <w:rPr>
          <w:rFonts w:ascii="Times New Roman" w:hAnsi="Times New Roman" w:cs="Times New Roman"/>
          <w:noProof/>
          <w:sz w:val="22"/>
          <w:szCs w:val="22"/>
        </w:rPr>
      </w:pPr>
      <w:hyperlink w:anchor="_Toc158103875" w:history="1">
        <w:r w:rsidR="00CF4F63" w:rsidRPr="00512244">
          <w:rPr>
            <w:rStyle w:val="Hipervnculo"/>
            <w:rFonts w:ascii="Times New Roman" w:hAnsi="Times New Roman" w:cs="Times New Roman"/>
            <w:noProof/>
            <w:sz w:val="22"/>
            <w:szCs w:val="22"/>
          </w:rPr>
          <w:t xml:space="preserve">30.  </w:t>
        </w:r>
        <w:r w:rsidR="00CF4F63" w:rsidRPr="00512244">
          <w:rPr>
            <w:rStyle w:val="Hipervnculo"/>
            <w:rFonts w:ascii="Times New Roman" w:eastAsia="AGaramondPro-Regular" w:hAnsi="Times New Roman" w:cs="Times New Roman"/>
            <w:noProof/>
            <w:sz w:val="22"/>
            <w:szCs w:val="22"/>
          </w:rPr>
          <w:t>Pronóstico de la inflación para el 2024</w:t>
        </w:r>
        <w:r w:rsidR="00CF4F63" w:rsidRPr="00512244">
          <w:rPr>
            <w:rFonts w:ascii="Times New Roman" w:hAnsi="Times New Roman" w:cs="Times New Roman"/>
            <w:noProof/>
            <w:webHidden/>
            <w:sz w:val="22"/>
            <w:szCs w:val="22"/>
          </w:rPr>
          <w:tab/>
        </w:r>
        <w:r w:rsidR="00CF4F63" w:rsidRPr="00512244">
          <w:rPr>
            <w:rFonts w:ascii="Times New Roman" w:hAnsi="Times New Roman" w:cs="Times New Roman"/>
            <w:noProof/>
            <w:webHidden/>
            <w:sz w:val="22"/>
            <w:szCs w:val="22"/>
          </w:rPr>
          <w:fldChar w:fldCharType="begin"/>
        </w:r>
        <w:r w:rsidR="00CF4F63" w:rsidRPr="00512244">
          <w:rPr>
            <w:rFonts w:ascii="Times New Roman" w:hAnsi="Times New Roman" w:cs="Times New Roman"/>
            <w:noProof/>
            <w:webHidden/>
            <w:sz w:val="22"/>
            <w:szCs w:val="22"/>
          </w:rPr>
          <w:instrText xml:space="preserve"> PAGEREF _Toc158103875 \h </w:instrText>
        </w:r>
        <w:r w:rsidR="00CF4F63" w:rsidRPr="00512244">
          <w:rPr>
            <w:rFonts w:ascii="Times New Roman" w:hAnsi="Times New Roman" w:cs="Times New Roman"/>
            <w:noProof/>
            <w:webHidden/>
            <w:sz w:val="22"/>
            <w:szCs w:val="22"/>
          </w:rPr>
        </w:r>
        <w:r w:rsidR="00CF4F63"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50</w:t>
        </w:r>
        <w:r w:rsidR="00CF4F63" w:rsidRPr="00512244">
          <w:rPr>
            <w:rFonts w:ascii="Times New Roman" w:hAnsi="Times New Roman" w:cs="Times New Roman"/>
            <w:noProof/>
            <w:webHidden/>
            <w:sz w:val="22"/>
            <w:szCs w:val="22"/>
          </w:rPr>
          <w:fldChar w:fldCharType="end"/>
        </w:r>
      </w:hyperlink>
    </w:p>
    <w:p w14:paraId="4A7058C6" w14:textId="40D39F39" w:rsidR="00CF4F63" w:rsidRPr="00512244" w:rsidRDefault="00DE120B">
      <w:pPr>
        <w:pStyle w:val="Tabladeilustraciones"/>
        <w:tabs>
          <w:tab w:val="right" w:leader="dot" w:pos="8828"/>
        </w:tabs>
        <w:rPr>
          <w:rFonts w:ascii="Times New Roman" w:hAnsi="Times New Roman" w:cs="Times New Roman"/>
          <w:noProof/>
          <w:sz w:val="22"/>
          <w:szCs w:val="22"/>
        </w:rPr>
      </w:pPr>
      <w:hyperlink w:anchor="_Toc158103876" w:history="1">
        <w:r w:rsidR="00CF4F63" w:rsidRPr="00512244">
          <w:rPr>
            <w:rStyle w:val="Hipervnculo"/>
            <w:rFonts w:ascii="Times New Roman" w:hAnsi="Times New Roman" w:cs="Times New Roman"/>
            <w:noProof/>
            <w:sz w:val="22"/>
            <w:szCs w:val="22"/>
          </w:rPr>
          <w:t xml:space="preserve">31.  </w:t>
        </w:r>
        <w:r w:rsidR="00CF4F63" w:rsidRPr="00512244">
          <w:rPr>
            <w:rStyle w:val="Hipervnculo"/>
            <w:rFonts w:ascii="Times New Roman" w:eastAsia="AGaramondPro-Regular" w:hAnsi="Times New Roman" w:cs="Times New Roman"/>
            <w:noProof/>
            <w:sz w:val="22"/>
            <w:szCs w:val="22"/>
          </w:rPr>
          <w:t>Pronóstico de crecimiento de las principales variables monetarias para el 2024</w:t>
        </w:r>
        <w:r w:rsidR="00CF4F63" w:rsidRPr="00512244">
          <w:rPr>
            <w:rFonts w:ascii="Times New Roman" w:hAnsi="Times New Roman" w:cs="Times New Roman"/>
            <w:noProof/>
            <w:webHidden/>
            <w:sz w:val="22"/>
            <w:szCs w:val="22"/>
          </w:rPr>
          <w:tab/>
        </w:r>
        <w:r w:rsidR="00CF4F63" w:rsidRPr="00512244">
          <w:rPr>
            <w:rFonts w:ascii="Times New Roman" w:hAnsi="Times New Roman" w:cs="Times New Roman"/>
            <w:noProof/>
            <w:webHidden/>
            <w:sz w:val="22"/>
            <w:szCs w:val="22"/>
          </w:rPr>
          <w:fldChar w:fldCharType="begin"/>
        </w:r>
        <w:r w:rsidR="00CF4F63" w:rsidRPr="00512244">
          <w:rPr>
            <w:rFonts w:ascii="Times New Roman" w:hAnsi="Times New Roman" w:cs="Times New Roman"/>
            <w:noProof/>
            <w:webHidden/>
            <w:sz w:val="22"/>
            <w:szCs w:val="22"/>
          </w:rPr>
          <w:instrText xml:space="preserve"> PAGEREF _Toc158103876 \h </w:instrText>
        </w:r>
        <w:r w:rsidR="00CF4F63" w:rsidRPr="00512244">
          <w:rPr>
            <w:rFonts w:ascii="Times New Roman" w:hAnsi="Times New Roman" w:cs="Times New Roman"/>
            <w:noProof/>
            <w:webHidden/>
            <w:sz w:val="22"/>
            <w:szCs w:val="22"/>
          </w:rPr>
        </w:r>
        <w:r w:rsidR="00CF4F63"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50</w:t>
        </w:r>
        <w:r w:rsidR="00CF4F63" w:rsidRPr="00512244">
          <w:rPr>
            <w:rFonts w:ascii="Times New Roman" w:hAnsi="Times New Roman" w:cs="Times New Roman"/>
            <w:noProof/>
            <w:webHidden/>
            <w:sz w:val="22"/>
            <w:szCs w:val="22"/>
          </w:rPr>
          <w:fldChar w:fldCharType="end"/>
        </w:r>
      </w:hyperlink>
    </w:p>
    <w:p w14:paraId="530A82A3" w14:textId="64609F7A" w:rsidR="00CF4F63" w:rsidRPr="00512244" w:rsidRDefault="00DE120B">
      <w:pPr>
        <w:pStyle w:val="Tabladeilustraciones"/>
        <w:tabs>
          <w:tab w:val="right" w:leader="dot" w:pos="8828"/>
        </w:tabs>
        <w:rPr>
          <w:rFonts w:ascii="Times New Roman" w:hAnsi="Times New Roman" w:cs="Times New Roman"/>
          <w:noProof/>
          <w:sz w:val="22"/>
          <w:szCs w:val="22"/>
        </w:rPr>
      </w:pPr>
      <w:hyperlink w:anchor="_Toc158103877" w:history="1">
        <w:r w:rsidR="00CF4F63" w:rsidRPr="00512244">
          <w:rPr>
            <w:rStyle w:val="Hipervnculo"/>
            <w:rFonts w:ascii="Times New Roman" w:hAnsi="Times New Roman" w:cs="Times New Roman"/>
            <w:noProof/>
            <w:sz w:val="22"/>
            <w:szCs w:val="22"/>
          </w:rPr>
          <w:t xml:space="preserve">32.  </w:t>
        </w:r>
        <w:r w:rsidR="00CF4F63" w:rsidRPr="00512244">
          <w:rPr>
            <w:rStyle w:val="Hipervnculo"/>
            <w:rFonts w:ascii="Times New Roman" w:eastAsia="AGaramondPro-Regular" w:hAnsi="Times New Roman" w:cs="Times New Roman"/>
            <w:noProof/>
            <w:sz w:val="22"/>
            <w:szCs w:val="22"/>
          </w:rPr>
          <w:t>Pronóstico de las variables del sector externo</w:t>
        </w:r>
        <w:r w:rsidR="00CF4F63" w:rsidRPr="00512244">
          <w:rPr>
            <w:rFonts w:ascii="Times New Roman" w:hAnsi="Times New Roman" w:cs="Times New Roman"/>
            <w:noProof/>
            <w:webHidden/>
            <w:sz w:val="22"/>
            <w:szCs w:val="22"/>
          </w:rPr>
          <w:tab/>
        </w:r>
        <w:r w:rsidR="00CF4F63" w:rsidRPr="00512244">
          <w:rPr>
            <w:rFonts w:ascii="Times New Roman" w:hAnsi="Times New Roman" w:cs="Times New Roman"/>
            <w:noProof/>
            <w:webHidden/>
            <w:sz w:val="22"/>
            <w:szCs w:val="22"/>
          </w:rPr>
          <w:fldChar w:fldCharType="begin"/>
        </w:r>
        <w:r w:rsidR="00CF4F63" w:rsidRPr="00512244">
          <w:rPr>
            <w:rFonts w:ascii="Times New Roman" w:hAnsi="Times New Roman" w:cs="Times New Roman"/>
            <w:noProof/>
            <w:webHidden/>
            <w:sz w:val="22"/>
            <w:szCs w:val="22"/>
          </w:rPr>
          <w:instrText xml:space="preserve"> PAGEREF _Toc158103877 \h </w:instrText>
        </w:r>
        <w:r w:rsidR="00CF4F63" w:rsidRPr="00512244">
          <w:rPr>
            <w:rFonts w:ascii="Times New Roman" w:hAnsi="Times New Roman" w:cs="Times New Roman"/>
            <w:noProof/>
            <w:webHidden/>
            <w:sz w:val="22"/>
            <w:szCs w:val="22"/>
          </w:rPr>
        </w:r>
        <w:r w:rsidR="00CF4F63"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50</w:t>
        </w:r>
        <w:r w:rsidR="00CF4F63" w:rsidRPr="00512244">
          <w:rPr>
            <w:rFonts w:ascii="Times New Roman" w:hAnsi="Times New Roman" w:cs="Times New Roman"/>
            <w:noProof/>
            <w:webHidden/>
            <w:sz w:val="22"/>
            <w:szCs w:val="22"/>
          </w:rPr>
          <w:fldChar w:fldCharType="end"/>
        </w:r>
      </w:hyperlink>
    </w:p>
    <w:p w14:paraId="554297D5" w14:textId="5AB9A70C" w:rsidR="00CF4F63" w:rsidRPr="00512244" w:rsidRDefault="00DE120B">
      <w:pPr>
        <w:pStyle w:val="Tabladeilustraciones"/>
        <w:tabs>
          <w:tab w:val="right" w:leader="dot" w:pos="8828"/>
        </w:tabs>
        <w:rPr>
          <w:rFonts w:ascii="Times New Roman" w:hAnsi="Times New Roman" w:cs="Times New Roman"/>
          <w:noProof/>
          <w:sz w:val="22"/>
          <w:szCs w:val="22"/>
        </w:rPr>
      </w:pPr>
      <w:hyperlink w:anchor="_Toc158103878" w:history="1">
        <w:r w:rsidR="00CF4F63" w:rsidRPr="00512244">
          <w:rPr>
            <w:rStyle w:val="Hipervnculo"/>
            <w:rFonts w:ascii="Times New Roman" w:hAnsi="Times New Roman" w:cs="Times New Roman"/>
            <w:noProof/>
            <w:sz w:val="22"/>
            <w:szCs w:val="22"/>
          </w:rPr>
          <w:t xml:space="preserve">33.  </w:t>
        </w:r>
        <w:r w:rsidR="00CF4F63" w:rsidRPr="00512244">
          <w:rPr>
            <w:rStyle w:val="Hipervnculo"/>
            <w:rFonts w:ascii="Times New Roman" w:eastAsia="Times New Roman" w:hAnsi="Times New Roman" w:cs="Times New Roman"/>
            <w:noProof/>
            <w:sz w:val="22"/>
            <w:szCs w:val="22"/>
          </w:rPr>
          <w:t>Determinación del Presupuesto Inicial</w:t>
        </w:r>
        <w:r w:rsidR="00CF4F63" w:rsidRPr="00512244">
          <w:rPr>
            <w:rFonts w:ascii="Times New Roman" w:hAnsi="Times New Roman" w:cs="Times New Roman"/>
            <w:noProof/>
            <w:webHidden/>
            <w:sz w:val="22"/>
            <w:szCs w:val="22"/>
          </w:rPr>
          <w:tab/>
        </w:r>
        <w:r w:rsidR="00CF4F63" w:rsidRPr="00512244">
          <w:rPr>
            <w:rFonts w:ascii="Times New Roman" w:hAnsi="Times New Roman" w:cs="Times New Roman"/>
            <w:noProof/>
            <w:webHidden/>
            <w:sz w:val="22"/>
            <w:szCs w:val="22"/>
          </w:rPr>
          <w:fldChar w:fldCharType="begin"/>
        </w:r>
        <w:r w:rsidR="00CF4F63" w:rsidRPr="00512244">
          <w:rPr>
            <w:rFonts w:ascii="Times New Roman" w:hAnsi="Times New Roman" w:cs="Times New Roman"/>
            <w:noProof/>
            <w:webHidden/>
            <w:sz w:val="22"/>
            <w:szCs w:val="22"/>
          </w:rPr>
          <w:instrText xml:space="preserve"> PAGEREF _Toc158103878 \h </w:instrText>
        </w:r>
        <w:r w:rsidR="00CF4F63" w:rsidRPr="00512244">
          <w:rPr>
            <w:rFonts w:ascii="Times New Roman" w:hAnsi="Times New Roman" w:cs="Times New Roman"/>
            <w:noProof/>
            <w:webHidden/>
            <w:sz w:val="22"/>
            <w:szCs w:val="22"/>
          </w:rPr>
        </w:r>
        <w:r w:rsidR="00CF4F63"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52</w:t>
        </w:r>
        <w:r w:rsidR="00CF4F63" w:rsidRPr="00512244">
          <w:rPr>
            <w:rFonts w:ascii="Times New Roman" w:hAnsi="Times New Roman" w:cs="Times New Roman"/>
            <w:noProof/>
            <w:webHidden/>
            <w:sz w:val="22"/>
            <w:szCs w:val="22"/>
          </w:rPr>
          <w:fldChar w:fldCharType="end"/>
        </w:r>
      </w:hyperlink>
    </w:p>
    <w:p w14:paraId="76C7A071" w14:textId="044FFE37" w:rsidR="00CF4F63" w:rsidRPr="00512244" w:rsidRDefault="00DE120B">
      <w:pPr>
        <w:pStyle w:val="Tabladeilustraciones"/>
        <w:tabs>
          <w:tab w:val="right" w:leader="dot" w:pos="8828"/>
        </w:tabs>
        <w:rPr>
          <w:rFonts w:ascii="Times New Roman" w:hAnsi="Times New Roman" w:cs="Times New Roman"/>
          <w:noProof/>
          <w:sz w:val="22"/>
          <w:szCs w:val="22"/>
        </w:rPr>
      </w:pPr>
      <w:hyperlink w:anchor="_Toc158103879" w:history="1">
        <w:r w:rsidR="00CF4F63" w:rsidRPr="00512244">
          <w:rPr>
            <w:rStyle w:val="Hipervnculo"/>
            <w:rFonts w:ascii="Times New Roman" w:hAnsi="Times New Roman" w:cs="Times New Roman"/>
            <w:noProof/>
            <w:sz w:val="22"/>
            <w:szCs w:val="22"/>
          </w:rPr>
          <w:t xml:space="preserve">34.  </w:t>
        </w:r>
        <w:r w:rsidR="00CF4F63" w:rsidRPr="00512244">
          <w:rPr>
            <w:rStyle w:val="Hipervnculo"/>
            <w:rFonts w:ascii="Times New Roman" w:eastAsia="Times New Roman" w:hAnsi="Times New Roman" w:cs="Times New Roman"/>
            <w:noProof/>
            <w:sz w:val="22"/>
            <w:szCs w:val="22"/>
          </w:rPr>
          <w:t>Proyecto de Presupuesto, Dictamen de Comisión de Finanzas, Decreto 18-2023 y Presupuesto Inicial 2024 por tipo de gasto</w:t>
        </w:r>
        <w:r w:rsidR="00CF4F63" w:rsidRPr="00512244">
          <w:rPr>
            <w:rFonts w:ascii="Times New Roman" w:hAnsi="Times New Roman" w:cs="Times New Roman"/>
            <w:noProof/>
            <w:webHidden/>
            <w:sz w:val="22"/>
            <w:szCs w:val="22"/>
          </w:rPr>
          <w:tab/>
        </w:r>
        <w:r w:rsidR="00CF4F63" w:rsidRPr="00512244">
          <w:rPr>
            <w:rFonts w:ascii="Times New Roman" w:hAnsi="Times New Roman" w:cs="Times New Roman"/>
            <w:noProof/>
            <w:webHidden/>
            <w:sz w:val="22"/>
            <w:szCs w:val="22"/>
          </w:rPr>
          <w:fldChar w:fldCharType="begin"/>
        </w:r>
        <w:r w:rsidR="00CF4F63" w:rsidRPr="00512244">
          <w:rPr>
            <w:rFonts w:ascii="Times New Roman" w:hAnsi="Times New Roman" w:cs="Times New Roman"/>
            <w:noProof/>
            <w:webHidden/>
            <w:sz w:val="22"/>
            <w:szCs w:val="22"/>
          </w:rPr>
          <w:instrText xml:space="preserve"> PAGEREF _Toc158103879 \h </w:instrText>
        </w:r>
        <w:r w:rsidR="00CF4F63" w:rsidRPr="00512244">
          <w:rPr>
            <w:rFonts w:ascii="Times New Roman" w:hAnsi="Times New Roman" w:cs="Times New Roman"/>
            <w:noProof/>
            <w:webHidden/>
            <w:sz w:val="22"/>
            <w:szCs w:val="22"/>
          </w:rPr>
        </w:r>
        <w:r w:rsidR="00CF4F63"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54</w:t>
        </w:r>
        <w:r w:rsidR="00CF4F63" w:rsidRPr="00512244">
          <w:rPr>
            <w:rFonts w:ascii="Times New Roman" w:hAnsi="Times New Roman" w:cs="Times New Roman"/>
            <w:noProof/>
            <w:webHidden/>
            <w:sz w:val="22"/>
            <w:szCs w:val="22"/>
          </w:rPr>
          <w:fldChar w:fldCharType="end"/>
        </w:r>
      </w:hyperlink>
    </w:p>
    <w:p w14:paraId="6362F5A0" w14:textId="025B4397" w:rsidR="00CF4F63" w:rsidRPr="00512244" w:rsidRDefault="00DE120B">
      <w:pPr>
        <w:pStyle w:val="Tabladeilustraciones"/>
        <w:tabs>
          <w:tab w:val="right" w:leader="dot" w:pos="8828"/>
        </w:tabs>
        <w:rPr>
          <w:rFonts w:ascii="Times New Roman" w:hAnsi="Times New Roman" w:cs="Times New Roman"/>
          <w:noProof/>
          <w:sz w:val="22"/>
          <w:szCs w:val="22"/>
        </w:rPr>
      </w:pPr>
      <w:hyperlink w:anchor="_Toc158103880" w:history="1">
        <w:r w:rsidR="00CF4F63" w:rsidRPr="00512244">
          <w:rPr>
            <w:rStyle w:val="Hipervnculo"/>
            <w:rFonts w:ascii="Times New Roman" w:hAnsi="Times New Roman" w:cs="Times New Roman"/>
            <w:noProof/>
            <w:sz w:val="22"/>
            <w:szCs w:val="22"/>
          </w:rPr>
          <w:t xml:space="preserve">35.  </w:t>
        </w:r>
        <w:r w:rsidR="00CF4F63" w:rsidRPr="00512244">
          <w:rPr>
            <w:rStyle w:val="Hipervnculo"/>
            <w:rFonts w:ascii="Times New Roman" w:eastAsia="Times New Roman" w:hAnsi="Times New Roman" w:cs="Times New Roman"/>
            <w:noProof/>
            <w:sz w:val="22"/>
            <w:szCs w:val="22"/>
          </w:rPr>
          <w:t>Precio spot del crudo WTI</w:t>
        </w:r>
        <w:r w:rsidR="00CF4F63" w:rsidRPr="00512244">
          <w:rPr>
            <w:rFonts w:ascii="Times New Roman" w:hAnsi="Times New Roman" w:cs="Times New Roman"/>
            <w:noProof/>
            <w:webHidden/>
            <w:sz w:val="22"/>
            <w:szCs w:val="22"/>
          </w:rPr>
          <w:tab/>
        </w:r>
        <w:r w:rsidR="00CF4F63" w:rsidRPr="00512244">
          <w:rPr>
            <w:rFonts w:ascii="Times New Roman" w:hAnsi="Times New Roman" w:cs="Times New Roman"/>
            <w:noProof/>
            <w:webHidden/>
            <w:sz w:val="22"/>
            <w:szCs w:val="22"/>
          </w:rPr>
          <w:fldChar w:fldCharType="begin"/>
        </w:r>
        <w:r w:rsidR="00CF4F63" w:rsidRPr="00512244">
          <w:rPr>
            <w:rFonts w:ascii="Times New Roman" w:hAnsi="Times New Roman" w:cs="Times New Roman"/>
            <w:noProof/>
            <w:webHidden/>
            <w:sz w:val="22"/>
            <w:szCs w:val="22"/>
          </w:rPr>
          <w:instrText xml:space="preserve"> PAGEREF _Toc158103880 \h </w:instrText>
        </w:r>
        <w:r w:rsidR="00CF4F63" w:rsidRPr="00512244">
          <w:rPr>
            <w:rFonts w:ascii="Times New Roman" w:hAnsi="Times New Roman" w:cs="Times New Roman"/>
            <w:noProof/>
            <w:webHidden/>
            <w:sz w:val="22"/>
            <w:szCs w:val="22"/>
          </w:rPr>
        </w:r>
        <w:r w:rsidR="00CF4F63"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58</w:t>
        </w:r>
        <w:r w:rsidR="00CF4F63" w:rsidRPr="00512244">
          <w:rPr>
            <w:rFonts w:ascii="Times New Roman" w:hAnsi="Times New Roman" w:cs="Times New Roman"/>
            <w:noProof/>
            <w:webHidden/>
            <w:sz w:val="22"/>
            <w:szCs w:val="22"/>
          </w:rPr>
          <w:fldChar w:fldCharType="end"/>
        </w:r>
      </w:hyperlink>
    </w:p>
    <w:p w14:paraId="6675EE96" w14:textId="6EB35476" w:rsidR="00CF4F63" w:rsidRPr="00512244" w:rsidRDefault="00DE120B">
      <w:pPr>
        <w:pStyle w:val="Tabladeilustraciones"/>
        <w:tabs>
          <w:tab w:val="right" w:leader="dot" w:pos="8828"/>
        </w:tabs>
        <w:rPr>
          <w:rFonts w:ascii="Times New Roman" w:hAnsi="Times New Roman" w:cs="Times New Roman"/>
          <w:noProof/>
          <w:sz w:val="22"/>
          <w:szCs w:val="22"/>
        </w:rPr>
      </w:pPr>
      <w:hyperlink w:anchor="_Toc158103881" w:history="1">
        <w:r w:rsidR="00CF4F63" w:rsidRPr="00512244">
          <w:rPr>
            <w:rStyle w:val="Hipervnculo"/>
            <w:rFonts w:ascii="Times New Roman" w:hAnsi="Times New Roman" w:cs="Times New Roman"/>
            <w:noProof/>
            <w:sz w:val="22"/>
            <w:szCs w:val="22"/>
          </w:rPr>
          <w:t xml:space="preserve">36.  </w:t>
        </w:r>
        <w:r w:rsidR="00CF4F63" w:rsidRPr="00512244">
          <w:rPr>
            <w:rStyle w:val="Hipervnculo"/>
            <w:rFonts w:ascii="Times New Roman" w:eastAsia="Times New Roman" w:hAnsi="Times New Roman" w:cs="Times New Roman"/>
            <w:noProof/>
            <w:sz w:val="22"/>
            <w:szCs w:val="22"/>
          </w:rPr>
          <w:t>Precio de futuros de maíz y trigo</w:t>
        </w:r>
        <w:r w:rsidR="00CF4F63" w:rsidRPr="00512244">
          <w:rPr>
            <w:rFonts w:ascii="Times New Roman" w:hAnsi="Times New Roman" w:cs="Times New Roman"/>
            <w:noProof/>
            <w:webHidden/>
            <w:sz w:val="22"/>
            <w:szCs w:val="22"/>
          </w:rPr>
          <w:tab/>
        </w:r>
        <w:r w:rsidR="00CF4F63" w:rsidRPr="00512244">
          <w:rPr>
            <w:rFonts w:ascii="Times New Roman" w:hAnsi="Times New Roman" w:cs="Times New Roman"/>
            <w:noProof/>
            <w:webHidden/>
            <w:sz w:val="22"/>
            <w:szCs w:val="22"/>
          </w:rPr>
          <w:fldChar w:fldCharType="begin"/>
        </w:r>
        <w:r w:rsidR="00CF4F63" w:rsidRPr="00512244">
          <w:rPr>
            <w:rFonts w:ascii="Times New Roman" w:hAnsi="Times New Roman" w:cs="Times New Roman"/>
            <w:noProof/>
            <w:webHidden/>
            <w:sz w:val="22"/>
            <w:szCs w:val="22"/>
          </w:rPr>
          <w:instrText xml:space="preserve"> PAGEREF _Toc158103881 \h </w:instrText>
        </w:r>
        <w:r w:rsidR="00CF4F63" w:rsidRPr="00512244">
          <w:rPr>
            <w:rFonts w:ascii="Times New Roman" w:hAnsi="Times New Roman" w:cs="Times New Roman"/>
            <w:noProof/>
            <w:webHidden/>
            <w:sz w:val="22"/>
            <w:szCs w:val="22"/>
          </w:rPr>
        </w:r>
        <w:r w:rsidR="00CF4F63"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58</w:t>
        </w:r>
        <w:r w:rsidR="00CF4F63" w:rsidRPr="00512244">
          <w:rPr>
            <w:rFonts w:ascii="Times New Roman" w:hAnsi="Times New Roman" w:cs="Times New Roman"/>
            <w:noProof/>
            <w:webHidden/>
            <w:sz w:val="22"/>
            <w:szCs w:val="22"/>
          </w:rPr>
          <w:fldChar w:fldCharType="end"/>
        </w:r>
      </w:hyperlink>
    </w:p>
    <w:p w14:paraId="554EED2C" w14:textId="7D8D0E09" w:rsidR="00CF4F63" w:rsidRPr="00512244" w:rsidRDefault="00DE120B">
      <w:pPr>
        <w:pStyle w:val="Tabladeilustraciones"/>
        <w:tabs>
          <w:tab w:val="right" w:leader="dot" w:pos="8828"/>
        </w:tabs>
        <w:rPr>
          <w:rFonts w:ascii="Times New Roman" w:hAnsi="Times New Roman" w:cs="Times New Roman"/>
          <w:noProof/>
          <w:sz w:val="22"/>
          <w:szCs w:val="22"/>
        </w:rPr>
      </w:pPr>
      <w:hyperlink w:anchor="_Toc158103882" w:history="1">
        <w:r w:rsidR="00CF4F63" w:rsidRPr="00512244">
          <w:rPr>
            <w:rStyle w:val="Hipervnculo"/>
            <w:rFonts w:ascii="Times New Roman" w:eastAsia="Times New Roman" w:hAnsi="Times New Roman" w:cs="Times New Roman"/>
            <w:noProof/>
            <w:sz w:val="22"/>
            <w:szCs w:val="22"/>
          </w:rPr>
          <w:t>37.</w:t>
        </w:r>
        <w:r w:rsidR="00CF4F63" w:rsidRPr="00512244">
          <w:rPr>
            <w:rStyle w:val="Hipervnculo"/>
            <w:rFonts w:ascii="Times New Roman" w:eastAsiaTheme="majorEastAsia" w:hAnsi="Times New Roman" w:cs="Times New Roman"/>
            <w:noProof/>
            <w:sz w:val="22"/>
            <w:szCs w:val="22"/>
          </w:rPr>
          <w:t xml:space="preserve"> </w:t>
        </w:r>
        <w:r w:rsidR="00CF4F63" w:rsidRPr="00512244">
          <w:rPr>
            <w:rStyle w:val="Hipervnculo"/>
            <w:rFonts w:ascii="Times New Roman" w:eastAsia="Times New Roman" w:hAnsi="Times New Roman" w:cs="Times New Roman"/>
            <w:noProof/>
            <w:sz w:val="22"/>
            <w:szCs w:val="22"/>
          </w:rPr>
          <w:t>IMAE y demanda de energía</w:t>
        </w:r>
        <w:r w:rsidR="00CF4F63" w:rsidRPr="00512244">
          <w:rPr>
            <w:rFonts w:ascii="Times New Roman" w:hAnsi="Times New Roman" w:cs="Times New Roman"/>
            <w:noProof/>
            <w:webHidden/>
            <w:sz w:val="22"/>
            <w:szCs w:val="22"/>
          </w:rPr>
          <w:tab/>
        </w:r>
        <w:r w:rsidR="00CF4F63" w:rsidRPr="00512244">
          <w:rPr>
            <w:rFonts w:ascii="Times New Roman" w:hAnsi="Times New Roman" w:cs="Times New Roman"/>
            <w:noProof/>
            <w:webHidden/>
            <w:sz w:val="22"/>
            <w:szCs w:val="22"/>
          </w:rPr>
          <w:fldChar w:fldCharType="begin"/>
        </w:r>
        <w:r w:rsidR="00CF4F63" w:rsidRPr="00512244">
          <w:rPr>
            <w:rFonts w:ascii="Times New Roman" w:hAnsi="Times New Roman" w:cs="Times New Roman"/>
            <w:noProof/>
            <w:webHidden/>
            <w:sz w:val="22"/>
            <w:szCs w:val="22"/>
          </w:rPr>
          <w:instrText xml:space="preserve"> PAGEREF _Toc158103882 \h </w:instrText>
        </w:r>
        <w:r w:rsidR="00CF4F63" w:rsidRPr="00512244">
          <w:rPr>
            <w:rFonts w:ascii="Times New Roman" w:hAnsi="Times New Roman" w:cs="Times New Roman"/>
            <w:noProof/>
            <w:webHidden/>
            <w:sz w:val="22"/>
            <w:szCs w:val="22"/>
          </w:rPr>
        </w:r>
        <w:r w:rsidR="00CF4F63"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60</w:t>
        </w:r>
        <w:r w:rsidR="00CF4F63" w:rsidRPr="00512244">
          <w:rPr>
            <w:rFonts w:ascii="Times New Roman" w:hAnsi="Times New Roman" w:cs="Times New Roman"/>
            <w:noProof/>
            <w:webHidden/>
            <w:sz w:val="22"/>
            <w:szCs w:val="22"/>
          </w:rPr>
          <w:fldChar w:fldCharType="end"/>
        </w:r>
      </w:hyperlink>
    </w:p>
    <w:p w14:paraId="4FED946A" w14:textId="37CF9BA8" w:rsidR="00CF4F63" w:rsidRPr="00512244" w:rsidRDefault="00DE120B">
      <w:pPr>
        <w:pStyle w:val="Tabladeilustraciones"/>
        <w:tabs>
          <w:tab w:val="right" w:leader="dot" w:pos="8828"/>
        </w:tabs>
        <w:rPr>
          <w:rFonts w:ascii="Times New Roman" w:hAnsi="Times New Roman" w:cs="Times New Roman"/>
          <w:noProof/>
          <w:sz w:val="22"/>
          <w:szCs w:val="22"/>
        </w:rPr>
      </w:pPr>
      <w:hyperlink w:anchor="_Toc158103883" w:history="1">
        <w:r w:rsidR="00CF4F63" w:rsidRPr="00512244">
          <w:rPr>
            <w:rStyle w:val="Hipervnculo"/>
            <w:rFonts w:ascii="Times New Roman" w:eastAsia="Times New Roman" w:hAnsi="Times New Roman" w:cs="Times New Roman"/>
            <w:noProof/>
            <w:sz w:val="22"/>
            <w:szCs w:val="22"/>
          </w:rPr>
          <w:t>38. Ritmo inflacionario</w:t>
        </w:r>
        <w:r w:rsidR="00CF4F63" w:rsidRPr="00512244">
          <w:rPr>
            <w:rFonts w:ascii="Times New Roman" w:hAnsi="Times New Roman" w:cs="Times New Roman"/>
            <w:noProof/>
            <w:webHidden/>
            <w:sz w:val="22"/>
            <w:szCs w:val="22"/>
          </w:rPr>
          <w:tab/>
        </w:r>
        <w:r w:rsidR="00CF4F63" w:rsidRPr="00512244">
          <w:rPr>
            <w:rFonts w:ascii="Times New Roman" w:hAnsi="Times New Roman" w:cs="Times New Roman"/>
            <w:noProof/>
            <w:webHidden/>
            <w:sz w:val="22"/>
            <w:szCs w:val="22"/>
          </w:rPr>
          <w:fldChar w:fldCharType="begin"/>
        </w:r>
        <w:r w:rsidR="00CF4F63" w:rsidRPr="00512244">
          <w:rPr>
            <w:rFonts w:ascii="Times New Roman" w:hAnsi="Times New Roman" w:cs="Times New Roman"/>
            <w:noProof/>
            <w:webHidden/>
            <w:sz w:val="22"/>
            <w:szCs w:val="22"/>
          </w:rPr>
          <w:instrText xml:space="preserve"> PAGEREF _Toc158103883 \h </w:instrText>
        </w:r>
        <w:r w:rsidR="00CF4F63" w:rsidRPr="00512244">
          <w:rPr>
            <w:rFonts w:ascii="Times New Roman" w:hAnsi="Times New Roman" w:cs="Times New Roman"/>
            <w:noProof/>
            <w:webHidden/>
            <w:sz w:val="22"/>
            <w:szCs w:val="22"/>
          </w:rPr>
        </w:r>
        <w:r w:rsidR="00CF4F63"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60</w:t>
        </w:r>
        <w:r w:rsidR="00CF4F63" w:rsidRPr="00512244">
          <w:rPr>
            <w:rFonts w:ascii="Times New Roman" w:hAnsi="Times New Roman" w:cs="Times New Roman"/>
            <w:noProof/>
            <w:webHidden/>
            <w:sz w:val="22"/>
            <w:szCs w:val="22"/>
          </w:rPr>
          <w:fldChar w:fldCharType="end"/>
        </w:r>
      </w:hyperlink>
    </w:p>
    <w:p w14:paraId="686381C5" w14:textId="56DC9A01" w:rsidR="00CF4F63" w:rsidRPr="00512244" w:rsidRDefault="00DE120B">
      <w:pPr>
        <w:pStyle w:val="Tabladeilustraciones"/>
        <w:tabs>
          <w:tab w:val="right" w:leader="dot" w:pos="8828"/>
        </w:tabs>
        <w:rPr>
          <w:rFonts w:ascii="Times New Roman" w:hAnsi="Times New Roman" w:cs="Times New Roman"/>
          <w:noProof/>
          <w:sz w:val="22"/>
          <w:szCs w:val="22"/>
        </w:rPr>
      </w:pPr>
      <w:hyperlink w:anchor="_Toc158103884" w:history="1">
        <w:r w:rsidR="00CF4F63" w:rsidRPr="00512244">
          <w:rPr>
            <w:rStyle w:val="Hipervnculo"/>
            <w:rFonts w:ascii="Times New Roman" w:eastAsia="Times New Roman" w:hAnsi="Times New Roman" w:cs="Times New Roman"/>
            <w:noProof/>
            <w:sz w:val="22"/>
            <w:szCs w:val="22"/>
          </w:rPr>
          <w:t xml:space="preserve">39. </w:t>
        </w:r>
        <w:r w:rsidR="00CF4F63" w:rsidRPr="00512244">
          <w:rPr>
            <w:rStyle w:val="Hipervnculo"/>
            <w:rFonts w:ascii="Times New Roman" w:eastAsia="Times New Roman" w:hAnsi="Times New Roman" w:cs="Times New Roman"/>
            <w:noProof/>
            <w:sz w:val="22"/>
            <w:szCs w:val="22"/>
            <w:lang w:val="es-MX" w:eastAsia="es-ES"/>
          </w:rPr>
          <w:t>Importaciones CIF y Exportaciones FOB</w:t>
        </w:r>
        <w:r w:rsidR="00CF4F63" w:rsidRPr="00512244">
          <w:rPr>
            <w:rFonts w:ascii="Times New Roman" w:hAnsi="Times New Roman" w:cs="Times New Roman"/>
            <w:noProof/>
            <w:webHidden/>
            <w:sz w:val="22"/>
            <w:szCs w:val="22"/>
          </w:rPr>
          <w:tab/>
        </w:r>
        <w:r w:rsidR="00CF4F63" w:rsidRPr="00512244">
          <w:rPr>
            <w:rFonts w:ascii="Times New Roman" w:hAnsi="Times New Roman" w:cs="Times New Roman"/>
            <w:noProof/>
            <w:webHidden/>
            <w:sz w:val="22"/>
            <w:szCs w:val="22"/>
          </w:rPr>
          <w:fldChar w:fldCharType="begin"/>
        </w:r>
        <w:r w:rsidR="00CF4F63" w:rsidRPr="00512244">
          <w:rPr>
            <w:rFonts w:ascii="Times New Roman" w:hAnsi="Times New Roman" w:cs="Times New Roman"/>
            <w:noProof/>
            <w:webHidden/>
            <w:sz w:val="22"/>
            <w:szCs w:val="22"/>
          </w:rPr>
          <w:instrText xml:space="preserve"> PAGEREF _Toc158103884 \h </w:instrText>
        </w:r>
        <w:r w:rsidR="00CF4F63" w:rsidRPr="00512244">
          <w:rPr>
            <w:rFonts w:ascii="Times New Roman" w:hAnsi="Times New Roman" w:cs="Times New Roman"/>
            <w:noProof/>
            <w:webHidden/>
            <w:sz w:val="22"/>
            <w:szCs w:val="22"/>
          </w:rPr>
        </w:r>
        <w:r w:rsidR="00CF4F63"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61</w:t>
        </w:r>
        <w:r w:rsidR="00CF4F63" w:rsidRPr="00512244">
          <w:rPr>
            <w:rFonts w:ascii="Times New Roman" w:hAnsi="Times New Roman" w:cs="Times New Roman"/>
            <w:noProof/>
            <w:webHidden/>
            <w:sz w:val="22"/>
            <w:szCs w:val="22"/>
          </w:rPr>
          <w:fldChar w:fldCharType="end"/>
        </w:r>
      </w:hyperlink>
    </w:p>
    <w:p w14:paraId="4C76458C" w14:textId="56A8848C" w:rsidR="00CF4F63" w:rsidRPr="00512244" w:rsidRDefault="00DE120B">
      <w:pPr>
        <w:pStyle w:val="Tabladeilustraciones"/>
        <w:tabs>
          <w:tab w:val="right" w:leader="dot" w:pos="8828"/>
        </w:tabs>
        <w:rPr>
          <w:rFonts w:ascii="Times New Roman" w:hAnsi="Times New Roman" w:cs="Times New Roman"/>
          <w:noProof/>
          <w:sz w:val="22"/>
          <w:szCs w:val="22"/>
        </w:rPr>
      </w:pPr>
      <w:hyperlink w:anchor="_Toc158103885" w:history="1">
        <w:r w:rsidR="00CF4F63" w:rsidRPr="00512244">
          <w:rPr>
            <w:rStyle w:val="Hipervnculo"/>
            <w:rFonts w:ascii="Times New Roman" w:eastAsia="Times New Roman" w:hAnsi="Times New Roman" w:cs="Times New Roman"/>
            <w:noProof/>
            <w:sz w:val="22"/>
            <w:szCs w:val="22"/>
          </w:rPr>
          <w:t xml:space="preserve">40. </w:t>
        </w:r>
        <w:r w:rsidR="00CF4F63" w:rsidRPr="00512244">
          <w:rPr>
            <w:rStyle w:val="Hipervnculo"/>
            <w:rFonts w:ascii="Times New Roman" w:eastAsia="Times New Roman" w:hAnsi="Times New Roman" w:cs="Times New Roman"/>
            <w:noProof/>
            <w:sz w:val="22"/>
            <w:szCs w:val="22"/>
            <w:lang w:val="es-MX" w:eastAsia="es-ES"/>
          </w:rPr>
          <w:t>Remesas Familiares</w:t>
        </w:r>
        <w:r w:rsidR="00CF4F63" w:rsidRPr="00512244">
          <w:rPr>
            <w:rFonts w:ascii="Times New Roman" w:hAnsi="Times New Roman" w:cs="Times New Roman"/>
            <w:noProof/>
            <w:webHidden/>
            <w:sz w:val="22"/>
            <w:szCs w:val="22"/>
          </w:rPr>
          <w:tab/>
        </w:r>
        <w:r w:rsidR="00CF4F63" w:rsidRPr="00512244">
          <w:rPr>
            <w:rFonts w:ascii="Times New Roman" w:hAnsi="Times New Roman" w:cs="Times New Roman"/>
            <w:noProof/>
            <w:webHidden/>
            <w:sz w:val="22"/>
            <w:szCs w:val="22"/>
          </w:rPr>
          <w:fldChar w:fldCharType="begin"/>
        </w:r>
        <w:r w:rsidR="00CF4F63" w:rsidRPr="00512244">
          <w:rPr>
            <w:rFonts w:ascii="Times New Roman" w:hAnsi="Times New Roman" w:cs="Times New Roman"/>
            <w:noProof/>
            <w:webHidden/>
            <w:sz w:val="22"/>
            <w:szCs w:val="22"/>
          </w:rPr>
          <w:instrText xml:space="preserve"> PAGEREF _Toc158103885 \h </w:instrText>
        </w:r>
        <w:r w:rsidR="00CF4F63" w:rsidRPr="00512244">
          <w:rPr>
            <w:rFonts w:ascii="Times New Roman" w:hAnsi="Times New Roman" w:cs="Times New Roman"/>
            <w:noProof/>
            <w:webHidden/>
            <w:sz w:val="22"/>
            <w:szCs w:val="22"/>
          </w:rPr>
        </w:r>
        <w:r w:rsidR="00CF4F63"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61</w:t>
        </w:r>
        <w:r w:rsidR="00CF4F63" w:rsidRPr="00512244">
          <w:rPr>
            <w:rFonts w:ascii="Times New Roman" w:hAnsi="Times New Roman" w:cs="Times New Roman"/>
            <w:noProof/>
            <w:webHidden/>
            <w:sz w:val="22"/>
            <w:szCs w:val="22"/>
          </w:rPr>
          <w:fldChar w:fldCharType="end"/>
        </w:r>
      </w:hyperlink>
    </w:p>
    <w:p w14:paraId="7056E3AC" w14:textId="6FE8FBF1" w:rsidR="00CF4F63" w:rsidRPr="00512244" w:rsidRDefault="00DE120B">
      <w:pPr>
        <w:pStyle w:val="Tabladeilustraciones"/>
        <w:tabs>
          <w:tab w:val="right" w:leader="dot" w:pos="8828"/>
        </w:tabs>
        <w:rPr>
          <w:rFonts w:ascii="Times New Roman" w:hAnsi="Times New Roman" w:cs="Times New Roman"/>
          <w:noProof/>
          <w:sz w:val="22"/>
          <w:szCs w:val="22"/>
        </w:rPr>
      </w:pPr>
      <w:hyperlink w:anchor="_Toc158103886" w:history="1">
        <w:r w:rsidR="00CF4F63" w:rsidRPr="00512244">
          <w:rPr>
            <w:rStyle w:val="Hipervnculo"/>
            <w:rFonts w:ascii="Times New Roman" w:eastAsia="Times New Roman" w:hAnsi="Times New Roman" w:cs="Times New Roman"/>
            <w:noProof/>
            <w:sz w:val="22"/>
            <w:szCs w:val="22"/>
          </w:rPr>
          <w:t xml:space="preserve">41. </w:t>
        </w:r>
        <w:r w:rsidR="00CF4F63" w:rsidRPr="00512244">
          <w:rPr>
            <w:rStyle w:val="Hipervnculo"/>
            <w:rFonts w:ascii="Times New Roman" w:eastAsia="Times New Roman" w:hAnsi="Times New Roman" w:cs="Times New Roman"/>
            <w:noProof/>
            <w:sz w:val="22"/>
            <w:szCs w:val="22"/>
            <w:lang w:val="es-MX" w:eastAsia="es-ES"/>
          </w:rPr>
          <w:t>Tipo de cambio de referencia</w:t>
        </w:r>
        <w:r w:rsidR="00CF4F63" w:rsidRPr="00512244">
          <w:rPr>
            <w:rFonts w:ascii="Times New Roman" w:hAnsi="Times New Roman" w:cs="Times New Roman"/>
            <w:noProof/>
            <w:webHidden/>
            <w:sz w:val="22"/>
            <w:szCs w:val="22"/>
          </w:rPr>
          <w:tab/>
        </w:r>
        <w:r w:rsidR="00CF4F63" w:rsidRPr="00512244">
          <w:rPr>
            <w:rFonts w:ascii="Times New Roman" w:hAnsi="Times New Roman" w:cs="Times New Roman"/>
            <w:noProof/>
            <w:webHidden/>
            <w:sz w:val="22"/>
            <w:szCs w:val="22"/>
          </w:rPr>
          <w:fldChar w:fldCharType="begin"/>
        </w:r>
        <w:r w:rsidR="00CF4F63" w:rsidRPr="00512244">
          <w:rPr>
            <w:rFonts w:ascii="Times New Roman" w:hAnsi="Times New Roman" w:cs="Times New Roman"/>
            <w:noProof/>
            <w:webHidden/>
            <w:sz w:val="22"/>
            <w:szCs w:val="22"/>
          </w:rPr>
          <w:instrText xml:space="preserve"> PAGEREF _Toc158103886 \h </w:instrText>
        </w:r>
        <w:r w:rsidR="00CF4F63" w:rsidRPr="00512244">
          <w:rPr>
            <w:rFonts w:ascii="Times New Roman" w:hAnsi="Times New Roman" w:cs="Times New Roman"/>
            <w:noProof/>
            <w:webHidden/>
            <w:sz w:val="22"/>
            <w:szCs w:val="22"/>
          </w:rPr>
        </w:r>
        <w:r w:rsidR="00CF4F63"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62</w:t>
        </w:r>
        <w:r w:rsidR="00CF4F63" w:rsidRPr="00512244">
          <w:rPr>
            <w:rFonts w:ascii="Times New Roman" w:hAnsi="Times New Roman" w:cs="Times New Roman"/>
            <w:noProof/>
            <w:webHidden/>
            <w:sz w:val="22"/>
            <w:szCs w:val="22"/>
          </w:rPr>
          <w:fldChar w:fldCharType="end"/>
        </w:r>
      </w:hyperlink>
    </w:p>
    <w:p w14:paraId="50693931" w14:textId="679D1BB0" w:rsidR="00CF4F63" w:rsidRPr="00512244" w:rsidRDefault="00DE120B">
      <w:pPr>
        <w:pStyle w:val="Tabladeilustraciones"/>
        <w:tabs>
          <w:tab w:val="right" w:leader="dot" w:pos="8828"/>
        </w:tabs>
        <w:rPr>
          <w:rFonts w:ascii="Times New Roman" w:hAnsi="Times New Roman" w:cs="Times New Roman"/>
          <w:noProof/>
          <w:sz w:val="22"/>
          <w:szCs w:val="22"/>
        </w:rPr>
      </w:pPr>
      <w:hyperlink w:anchor="_Toc158103887" w:history="1">
        <w:r w:rsidR="00CF4F63" w:rsidRPr="00512244">
          <w:rPr>
            <w:rStyle w:val="Hipervnculo"/>
            <w:rFonts w:ascii="Times New Roman" w:eastAsia="Times New Roman" w:hAnsi="Times New Roman" w:cs="Times New Roman"/>
            <w:noProof/>
            <w:sz w:val="22"/>
            <w:szCs w:val="22"/>
          </w:rPr>
          <w:t>42.</w:t>
        </w:r>
        <w:r w:rsidR="00CF4F63" w:rsidRPr="00512244">
          <w:rPr>
            <w:rStyle w:val="Hipervnculo"/>
            <w:rFonts w:ascii="Times New Roman" w:eastAsia="Times New Roman" w:hAnsi="Times New Roman" w:cs="Times New Roman"/>
            <w:noProof/>
            <w:sz w:val="22"/>
            <w:szCs w:val="22"/>
            <w:lang w:val="es-MX" w:eastAsia="es-ES"/>
          </w:rPr>
          <w:t xml:space="preserve"> Tasa líder</w:t>
        </w:r>
        <w:r w:rsidR="00CF4F63" w:rsidRPr="00512244">
          <w:rPr>
            <w:rFonts w:ascii="Times New Roman" w:hAnsi="Times New Roman" w:cs="Times New Roman"/>
            <w:noProof/>
            <w:webHidden/>
            <w:sz w:val="22"/>
            <w:szCs w:val="22"/>
          </w:rPr>
          <w:tab/>
        </w:r>
        <w:r w:rsidR="00CF4F63" w:rsidRPr="00512244">
          <w:rPr>
            <w:rFonts w:ascii="Times New Roman" w:hAnsi="Times New Roman" w:cs="Times New Roman"/>
            <w:noProof/>
            <w:webHidden/>
            <w:sz w:val="22"/>
            <w:szCs w:val="22"/>
          </w:rPr>
          <w:fldChar w:fldCharType="begin"/>
        </w:r>
        <w:r w:rsidR="00CF4F63" w:rsidRPr="00512244">
          <w:rPr>
            <w:rFonts w:ascii="Times New Roman" w:hAnsi="Times New Roman" w:cs="Times New Roman"/>
            <w:noProof/>
            <w:webHidden/>
            <w:sz w:val="22"/>
            <w:szCs w:val="22"/>
          </w:rPr>
          <w:instrText xml:space="preserve"> PAGEREF _Toc158103887 \h </w:instrText>
        </w:r>
        <w:r w:rsidR="00CF4F63" w:rsidRPr="00512244">
          <w:rPr>
            <w:rFonts w:ascii="Times New Roman" w:hAnsi="Times New Roman" w:cs="Times New Roman"/>
            <w:noProof/>
            <w:webHidden/>
            <w:sz w:val="22"/>
            <w:szCs w:val="22"/>
          </w:rPr>
        </w:r>
        <w:r w:rsidR="00CF4F63"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62</w:t>
        </w:r>
        <w:r w:rsidR="00CF4F63" w:rsidRPr="00512244">
          <w:rPr>
            <w:rFonts w:ascii="Times New Roman" w:hAnsi="Times New Roman" w:cs="Times New Roman"/>
            <w:noProof/>
            <w:webHidden/>
            <w:sz w:val="22"/>
            <w:szCs w:val="22"/>
          </w:rPr>
          <w:fldChar w:fldCharType="end"/>
        </w:r>
      </w:hyperlink>
    </w:p>
    <w:p w14:paraId="6C9F25AF" w14:textId="20E703AE" w:rsidR="00EC5879" w:rsidRDefault="00CF4F63" w:rsidP="00CF4F63">
      <w:pPr>
        <w:rPr>
          <w:rFonts w:ascii="Times New Roman" w:eastAsia="Times New Roman" w:hAnsi="Times New Roman" w:cs="Times New Roman"/>
          <w:sz w:val="22"/>
          <w:szCs w:val="22"/>
        </w:rPr>
      </w:pPr>
      <w:r w:rsidRPr="00EC5879">
        <w:rPr>
          <w:rFonts w:ascii="Times New Roman" w:eastAsia="Times New Roman" w:hAnsi="Times New Roman" w:cs="Times New Roman"/>
          <w:sz w:val="22"/>
          <w:szCs w:val="22"/>
        </w:rPr>
        <w:fldChar w:fldCharType="end"/>
      </w:r>
    </w:p>
    <w:p w14:paraId="5984FE0E" w14:textId="5E1342BD" w:rsidR="00AF7AEE" w:rsidRDefault="00AF7AEE" w:rsidP="00CF4F63">
      <w:pPr>
        <w:rPr>
          <w:rFonts w:ascii="Times New Roman" w:eastAsia="Times New Roman" w:hAnsi="Times New Roman" w:cs="Times New Roman"/>
          <w:sz w:val="22"/>
          <w:szCs w:val="22"/>
        </w:rPr>
      </w:pPr>
    </w:p>
    <w:p w14:paraId="23F43CD4" w14:textId="6BCE67A1" w:rsidR="00AF7AEE" w:rsidRDefault="00AF7AEE" w:rsidP="00CF4F63">
      <w:pPr>
        <w:rPr>
          <w:rFonts w:ascii="Times New Roman" w:eastAsia="Times New Roman" w:hAnsi="Times New Roman" w:cs="Times New Roman"/>
          <w:sz w:val="22"/>
          <w:szCs w:val="22"/>
        </w:rPr>
      </w:pPr>
    </w:p>
    <w:p w14:paraId="686A8ACA" w14:textId="5A5B5899" w:rsidR="00AF7AEE" w:rsidRDefault="00AF7AEE" w:rsidP="00CF4F63">
      <w:pPr>
        <w:rPr>
          <w:rFonts w:ascii="Times New Roman" w:eastAsia="Times New Roman" w:hAnsi="Times New Roman" w:cs="Times New Roman"/>
          <w:sz w:val="22"/>
          <w:szCs w:val="22"/>
        </w:rPr>
      </w:pPr>
    </w:p>
    <w:p w14:paraId="7D62D107" w14:textId="77777777" w:rsidR="00AF7AEE" w:rsidRDefault="00AF7AEE" w:rsidP="00CF4F63">
      <w:pPr>
        <w:rPr>
          <w:rFonts w:ascii="Times New Roman" w:eastAsia="Times New Roman" w:hAnsi="Times New Roman" w:cs="Times New Roman"/>
          <w:sz w:val="22"/>
          <w:szCs w:val="22"/>
        </w:rPr>
      </w:pPr>
    </w:p>
    <w:p w14:paraId="02BC2CD6" w14:textId="77777777" w:rsidR="00EB0485" w:rsidRDefault="00EC5879" w:rsidP="00EC5879">
      <w:pPr>
        <w:jc w:val="center"/>
        <w:rPr>
          <w:rFonts w:ascii="Times New Roman" w:eastAsia="Times New Roman" w:hAnsi="Times New Roman" w:cs="Times New Roman"/>
          <w:b/>
          <w:bCs/>
        </w:rPr>
      </w:pPr>
      <w:r w:rsidRPr="00EC5879">
        <w:rPr>
          <w:rFonts w:ascii="Times New Roman" w:eastAsia="Times New Roman" w:hAnsi="Times New Roman" w:cs="Times New Roman"/>
          <w:b/>
          <w:bCs/>
        </w:rPr>
        <w:t>Contenido en tablas</w:t>
      </w:r>
    </w:p>
    <w:p w14:paraId="2558D015" w14:textId="4965923B" w:rsidR="00512244" w:rsidRPr="00512244" w:rsidRDefault="00CF4F63">
      <w:pPr>
        <w:pStyle w:val="Tabladeilustraciones"/>
        <w:tabs>
          <w:tab w:val="right" w:leader="dot" w:pos="8828"/>
        </w:tabs>
        <w:rPr>
          <w:rFonts w:ascii="Times New Roman" w:hAnsi="Times New Roman" w:cs="Times New Roman"/>
          <w:noProof/>
          <w:sz w:val="22"/>
          <w:szCs w:val="22"/>
          <w:lang w:eastAsia="es-GT"/>
        </w:rPr>
      </w:pPr>
      <w:r w:rsidRPr="00512244">
        <w:rPr>
          <w:rFonts w:ascii="Times New Roman" w:eastAsia="Times New Roman" w:hAnsi="Times New Roman" w:cs="Times New Roman"/>
          <w:b/>
          <w:bCs/>
          <w:sz w:val="22"/>
          <w:szCs w:val="22"/>
        </w:rPr>
        <w:fldChar w:fldCharType="begin"/>
      </w:r>
      <w:r w:rsidRPr="00512244">
        <w:rPr>
          <w:rFonts w:ascii="Times New Roman" w:eastAsia="Times New Roman" w:hAnsi="Times New Roman" w:cs="Times New Roman"/>
          <w:b/>
          <w:bCs/>
          <w:sz w:val="22"/>
          <w:szCs w:val="22"/>
        </w:rPr>
        <w:instrText xml:space="preserve"> TOC \h \z \c "Tabla" </w:instrText>
      </w:r>
      <w:r w:rsidRPr="00512244">
        <w:rPr>
          <w:rFonts w:ascii="Times New Roman" w:eastAsia="Times New Roman" w:hAnsi="Times New Roman" w:cs="Times New Roman"/>
          <w:b/>
          <w:bCs/>
          <w:sz w:val="22"/>
          <w:szCs w:val="22"/>
        </w:rPr>
        <w:fldChar w:fldCharType="separate"/>
      </w:r>
      <w:hyperlink w:anchor="_Toc160196916" w:history="1">
        <w:r w:rsidR="00512244" w:rsidRPr="00512244">
          <w:rPr>
            <w:rStyle w:val="Hipervnculo"/>
            <w:rFonts w:ascii="Times New Roman" w:hAnsi="Times New Roman" w:cs="Times New Roman"/>
            <w:noProof/>
            <w:sz w:val="22"/>
            <w:szCs w:val="22"/>
          </w:rPr>
          <w:t xml:space="preserve">Tabla 1.  </w:t>
        </w:r>
        <w:r w:rsidR="00512244" w:rsidRPr="00512244">
          <w:rPr>
            <w:rStyle w:val="Hipervnculo"/>
            <w:rFonts w:ascii="Times New Roman" w:eastAsia="Times New Roman" w:hAnsi="Times New Roman" w:cs="Times New Roman"/>
            <w:noProof/>
            <w:sz w:val="22"/>
            <w:szCs w:val="22"/>
          </w:rPr>
          <w:t>Transferencias al Tribunal Supremo Electoral</w:t>
        </w:r>
        <w:r w:rsidR="00512244" w:rsidRPr="00512244">
          <w:rPr>
            <w:rFonts w:ascii="Times New Roman" w:hAnsi="Times New Roman" w:cs="Times New Roman"/>
            <w:noProof/>
            <w:webHidden/>
            <w:sz w:val="22"/>
            <w:szCs w:val="22"/>
          </w:rPr>
          <w:tab/>
        </w:r>
        <w:r w:rsidR="00512244" w:rsidRPr="00512244">
          <w:rPr>
            <w:rFonts w:ascii="Times New Roman" w:hAnsi="Times New Roman" w:cs="Times New Roman"/>
            <w:noProof/>
            <w:webHidden/>
            <w:sz w:val="22"/>
            <w:szCs w:val="22"/>
          </w:rPr>
          <w:fldChar w:fldCharType="begin"/>
        </w:r>
        <w:r w:rsidR="00512244" w:rsidRPr="00512244">
          <w:rPr>
            <w:rFonts w:ascii="Times New Roman" w:hAnsi="Times New Roman" w:cs="Times New Roman"/>
            <w:noProof/>
            <w:webHidden/>
            <w:sz w:val="22"/>
            <w:szCs w:val="22"/>
          </w:rPr>
          <w:instrText xml:space="preserve"> PAGEREF _Toc160196916 \h </w:instrText>
        </w:r>
        <w:r w:rsidR="00512244" w:rsidRPr="00512244">
          <w:rPr>
            <w:rFonts w:ascii="Times New Roman" w:hAnsi="Times New Roman" w:cs="Times New Roman"/>
            <w:noProof/>
            <w:webHidden/>
            <w:sz w:val="22"/>
            <w:szCs w:val="22"/>
          </w:rPr>
        </w:r>
        <w:r w:rsidR="00512244"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17</w:t>
        </w:r>
        <w:r w:rsidR="00512244" w:rsidRPr="00512244">
          <w:rPr>
            <w:rFonts w:ascii="Times New Roman" w:hAnsi="Times New Roman" w:cs="Times New Roman"/>
            <w:noProof/>
            <w:webHidden/>
            <w:sz w:val="22"/>
            <w:szCs w:val="22"/>
          </w:rPr>
          <w:fldChar w:fldCharType="end"/>
        </w:r>
      </w:hyperlink>
    </w:p>
    <w:p w14:paraId="5B337CCF" w14:textId="338C37D7" w:rsidR="00512244" w:rsidRPr="00512244" w:rsidRDefault="00512244">
      <w:pPr>
        <w:pStyle w:val="Tabladeilustraciones"/>
        <w:tabs>
          <w:tab w:val="right" w:leader="dot" w:pos="8828"/>
        </w:tabs>
        <w:rPr>
          <w:rFonts w:ascii="Times New Roman" w:hAnsi="Times New Roman" w:cs="Times New Roman"/>
          <w:noProof/>
          <w:sz w:val="22"/>
          <w:szCs w:val="22"/>
          <w:lang w:eastAsia="es-GT"/>
        </w:rPr>
      </w:pPr>
      <w:hyperlink w:anchor="_Toc160196917" w:history="1">
        <w:r w:rsidRPr="00512244">
          <w:rPr>
            <w:rStyle w:val="Hipervnculo"/>
            <w:rFonts w:ascii="Times New Roman" w:hAnsi="Times New Roman" w:cs="Times New Roman"/>
            <w:noProof/>
            <w:sz w:val="22"/>
            <w:szCs w:val="22"/>
          </w:rPr>
          <w:t xml:space="preserve">Tabla 2.  </w:t>
        </w:r>
        <w:r w:rsidRPr="00512244">
          <w:rPr>
            <w:rStyle w:val="Hipervnculo"/>
            <w:rFonts w:ascii="Times New Roman" w:eastAsia="Times New Roman" w:hAnsi="Times New Roman" w:cs="Times New Roman"/>
            <w:noProof/>
            <w:sz w:val="22"/>
            <w:szCs w:val="22"/>
          </w:rPr>
          <w:t>Ejecución del Gasto social y de los Acuerdos de Paz</w:t>
        </w:r>
        <w:r w:rsidRPr="00512244">
          <w:rPr>
            <w:rFonts w:ascii="Times New Roman" w:hAnsi="Times New Roman" w:cs="Times New Roman"/>
            <w:noProof/>
            <w:webHidden/>
            <w:sz w:val="22"/>
            <w:szCs w:val="22"/>
          </w:rPr>
          <w:tab/>
        </w:r>
        <w:r w:rsidRPr="00512244">
          <w:rPr>
            <w:rFonts w:ascii="Times New Roman" w:hAnsi="Times New Roman" w:cs="Times New Roman"/>
            <w:noProof/>
            <w:webHidden/>
            <w:sz w:val="22"/>
            <w:szCs w:val="22"/>
          </w:rPr>
          <w:fldChar w:fldCharType="begin"/>
        </w:r>
        <w:r w:rsidRPr="00512244">
          <w:rPr>
            <w:rFonts w:ascii="Times New Roman" w:hAnsi="Times New Roman" w:cs="Times New Roman"/>
            <w:noProof/>
            <w:webHidden/>
            <w:sz w:val="22"/>
            <w:szCs w:val="22"/>
          </w:rPr>
          <w:instrText xml:space="preserve"> PAGEREF _Toc160196917 \h </w:instrText>
        </w:r>
        <w:r w:rsidRPr="00512244">
          <w:rPr>
            <w:rFonts w:ascii="Times New Roman" w:hAnsi="Times New Roman" w:cs="Times New Roman"/>
            <w:noProof/>
            <w:webHidden/>
            <w:sz w:val="22"/>
            <w:szCs w:val="22"/>
          </w:rPr>
        </w:r>
        <w:r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23</w:t>
        </w:r>
        <w:r w:rsidRPr="00512244">
          <w:rPr>
            <w:rFonts w:ascii="Times New Roman" w:hAnsi="Times New Roman" w:cs="Times New Roman"/>
            <w:noProof/>
            <w:webHidden/>
            <w:sz w:val="22"/>
            <w:szCs w:val="22"/>
          </w:rPr>
          <w:fldChar w:fldCharType="end"/>
        </w:r>
      </w:hyperlink>
    </w:p>
    <w:p w14:paraId="61480077" w14:textId="2E223B9E" w:rsidR="00512244" w:rsidRPr="00512244" w:rsidRDefault="00512244">
      <w:pPr>
        <w:pStyle w:val="Tabladeilustraciones"/>
        <w:tabs>
          <w:tab w:val="right" w:leader="dot" w:pos="8828"/>
        </w:tabs>
        <w:rPr>
          <w:rFonts w:ascii="Times New Roman" w:hAnsi="Times New Roman" w:cs="Times New Roman"/>
          <w:noProof/>
          <w:sz w:val="22"/>
          <w:szCs w:val="22"/>
          <w:lang w:eastAsia="es-GT"/>
        </w:rPr>
      </w:pPr>
      <w:hyperlink w:anchor="_Toc160196918" w:history="1">
        <w:r w:rsidRPr="00512244">
          <w:rPr>
            <w:rStyle w:val="Hipervnculo"/>
            <w:rFonts w:ascii="Times New Roman" w:hAnsi="Times New Roman" w:cs="Times New Roman"/>
            <w:noProof/>
            <w:sz w:val="22"/>
            <w:szCs w:val="22"/>
          </w:rPr>
          <w:t xml:space="preserve">Tabla 3.  </w:t>
        </w:r>
        <w:r w:rsidRPr="00512244">
          <w:rPr>
            <w:rStyle w:val="Hipervnculo"/>
            <w:rFonts w:ascii="Times New Roman" w:eastAsia="Times New Roman" w:hAnsi="Times New Roman" w:cs="Times New Roman"/>
            <w:bCs/>
            <w:noProof/>
            <w:sz w:val="22"/>
            <w:szCs w:val="22"/>
            <w:lang w:val="es-ES_tradnl" w:eastAsia="es-ES"/>
          </w:rPr>
          <w:t>Ampliaciones Presupuestarias aprobadas en 2023</w:t>
        </w:r>
        <w:r w:rsidRPr="00512244">
          <w:rPr>
            <w:rFonts w:ascii="Times New Roman" w:hAnsi="Times New Roman" w:cs="Times New Roman"/>
            <w:noProof/>
            <w:webHidden/>
            <w:sz w:val="22"/>
            <w:szCs w:val="22"/>
          </w:rPr>
          <w:tab/>
        </w:r>
        <w:r w:rsidRPr="00512244">
          <w:rPr>
            <w:rFonts w:ascii="Times New Roman" w:hAnsi="Times New Roman" w:cs="Times New Roman"/>
            <w:noProof/>
            <w:webHidden/>
            <w:sz w:val="22"/>
            <w:szCs w:val="22"/>
          </w:rPr>
          <w:fldChar w:fldCharType="begin"/>
        </w:r>
        <w:r w:rsidRPr="00512244">
          <w:rPr>
            <w:rFonts w:ascii="Times New Roman" w:hAnsi="Times New Roman" w:cs="Times New Roman"/>
            <w:noProof/>
            <w:webHidden/>
            <w:sz w:val="22"/>
            <w:szCs w:val="22"/>
          </w:rPr>
          <w:instrText xml:space="preserve"> PAGEREF _Toc160196918 \h </w:instrText>
        </w:r>
        <w:r w:rsidRPr="00512244">
          <w:rPr>
            <w:rFonts w:ascii="Times New Roman" w:hAnsi="Times New Roman" w:cs="Times New Roman"/>
            <w:noProof/>
            <w:webHidden/>
            <w:sz w:val="22"/>
            <w:szCs w:val="22"/>
          </w:rPr>
        </w:r>
        <w:r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25</w:t>
        </w:r>
        <w:r w:rsidRPr="00512244">
          <w:rPr>
            <w:rFonts w:ascii="Times New Roman" w:hAnsi="Times New Roman" w:cs="Times New Roman"/>
            <w:noProof/>
            <w:webHidden/>
            <w:sz w:val="22"/>
            <w:szCs w:val="22"/>
          </w:rPr>
          <w:fldChar w:fldCharType="end"/>
        </w:r>
      </w:hyperlink>
    </w:p>
    <w:p w14:paraId="2246CB52" w14:textId="6641BA6D" w:rsidR="00512244" w:rsidRPr="00512244" w:rsidRDefault="00512244">
      <w:pPr>
        <w:pStyle w:val="Tabladeilustraciones"/>
        <w:tabs>
          <w:tab w:val="right" w:leader="dot" w:pos="8828"/>
        </w:tabs>
        <w:rPr>
          <w:rFonts w:ascii="Times New Roman" w:hAnsi="Times New Roman" w:cs="Times New Roman"/>
          <w:noProof/>
          <w:sz w:val="22"/>
          <w:szCs w:val="22"/>
          <w:lang w:eastAsia="es-GT"/>
        </w:rPr>
      </w:pPr>
      <w:hyperlink r:id="rId11" w:anchor="_Toc160196919" w:history="1">
        <w:r w:rsidRPr="00512244">
          <w:rPr>
            <w:rStyle w:val="Hipervnculo"/>
            <w:rFonts w:ascii="Times New Roman" w:hAnsi="Times New Roman" w:cs="Times New Roman"/>
            <w:noProof/>
            <w:sz w:val="22"/>
            <w:szCs w:val="22"/>
          </w:rPr>
          <w:t>Tabla 4.  Seguimiento de Programas de Infraestructura Estratégica</w:t>
        </w:r>
        <w:r w:rsidRPr="00512244">
          <w:rPr>
            <w:rFonts w:ascii="Times New Roman" w:hAnsi="Times New Roman" w:cs="Times New Roman"/>
            <w:noProof/>
            <w:webHidden/>
            <w:sz w:val="22"/>
            <w:szCs w:val="22"/>
          </w:rPr>
          <w:tab/>
        </w:r>
        <w:r w:rsidRPr="00512244">
          <w:rPr>
            <w:rFonts w:ascii="Times New Roman" w:hAnsi="Times New Roman" w:cs="Times New Roman"/>
            <w:noProof/>
            <w:webHidden/>
            <w:sz w:val="22"/>
            <w:szCs w:val="22"/>
          </w:rPr>
          <w:fldChar w:fldCharType="begin"/>
        </w:r>
        <w:r w:rsidRPr="00512244">
          <w:rPr>
            <w:rFonts w:ascii="Times New Roman" w:hAnsi="Times New Roman" w:cs="Times New Roman"/>
            <w:noProof/>
            <w:webHidden/>
            <w:sz w:val="22"/>
            <w:szCs w:val="22"/>
          </w:rPr>
          <w:instrText xml:space="preserve"> PAGEREF _Toc160196919 \h </w:instrText>
        </w:r>
        <w:r w:rsidRPr="00512244">
          <w:rPr>
            <w:rFonts w:ascii="Times New Roman" w:hAnsi="Times New Roman" w:cs="Times New Roman"/>
            <w:noProof/>
            <w:webHidden/>
            <w:sz w:val="22"/>
            <w:szCs w:val="22"/>
          </w:rPr>
        </w:r>
        <w:r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29</w:t>
        </w:r>
        <w:r w:rsidRPr="00512244">
          <w:rPr>
            <w:rFonts w:ascii="Times New Roman" w:hAnsi="Times New Roman" w:cs="Times New Roman"/>
            <w:noProof/>
            <w:webHidden/>
            <w:sz w:val="22"/>
            <w:szCs w:val="22"/>
          </w:rPr>
          <w:fldChar w:fldCharType="end"/>
        </w:r>
      </w:hyperlink>
    </w:p>
    <w:p w14:paraId="10F2C675" w14:textId="62509852" w:rsidR="00512244" w:rsidRPr="00512244" w:rsidRDefault="00512244">
      <w:pPr>
        <w:pStyle w:val="Tabladeilustraciones"/>
        <w:tabs>
          <w:tab w:val="right" w:leader="dot" w:pos="8828"/>
        </w:tabs>
        <w:rPr>
          <w:rFonts w:ascii="Times New Roman" w:hAnsi="Times New Roman" w:cs="Times New Roman"/>
          <w:noProof/>
          <w:sz w:val="22"/>
          <w:szCs w:val="22"/>
          <w:lang w:eastAsia="es-GT"/>
        </w:rPr>
      </w:pPr>
      <w:hyperlink w:anchor="_Toc160196920" w:history="1">
        <w:r w:rsidRPr="00512244">
          <w:rPr>
            <w:rStyle w:val="Hipervnculo"/>
            <w:rFonts w:ascii="Times New Roman" w:hAnsi="Times New Roman" w:cs="Times New Roman"/>
            <w:noProof/>
            <w:sz w:val="22"/>
            <w:szCs w:val="22"/>
          </w:rPr>
          <w:t xml:space="preserve">Tabla 5.  </w:t>
        </w:r>
        <w:r w:rsidRPr="00512244">
          <w:rPr>
            <w:rStyle w:val="Hipervnculo"/>
            <w:rFonts w:ascii="Times New Roman" w:eastAsia="Times New Roman" w:hAnsi="Times New Roman" w:cs="Times New Roman"/>
            <w:noProof/>
            <w:sz w:val="22"/>
            <w:szCs w:val="22"/>
            <w:lang w:val="es-ES_tradnl" w:eastAsia="es-ES"/>
          </w:rPr>
          <w:t>Seguimiento de Programas en atención a las declaratorias de Estados de Calamidad</w:t>
        </w:r>
        <w:r w:rsidRPr="00512244">
          <w:rPr>
            <w:rFonts w:ascii="Times New Roman" w:hAnsi="Times New Roman" w:cs="Times New Roman"/>
            <w:noProof/>
            <w:webHidden/>
            <w:sz w:val="22"/>
            <w:szCs w:val="22"/>
          </w:rPr>
          <w:tab/>
        </w:r>
        <w:r w:rsidRPr="00512244">
          <w:rPr>
            <w:rFonts w:ascii="Times New Roman" w:hAnsi="Times New Roman" w:cs="Times New Roman"/>
            <w:noProof/>
            <w:webHidden/>
            <w:sz w:val="22"/>
            <w:szCs w:val="22"/>
          </w:rPr>
          <w:fldChar w:fldCharType="begin"/>
        </w:r>
        <w:r w:rsidRPr="00512244">
          <w:rPr>
            <w:rFonts w:ascii="Times New Roman" w:hAnsi="Times New Roman" w:cs="Times New Roman"/>
            <w:noProof/>
            <w:webHidden/>
            <w:sz w:val="22"/>
            <w:szCs w:val="22"/>
          </w:rPr>
          <w:instrText xml:space="preserve"> PAGEREF _Toc160196920 \h </w:instrText>
        </w:r>
        <w:r w:rsidRPr="00512244">
          <w:rPr>
            <w:rFonts w:ascii="Times New Roman" w:hAnsi="Times New Roman" w:cs="Times New Roman"/>
            <w:noProof/>
            <w:webHidden/>
            <w:sz w:val="22"/>
            <w:szCs w:val="22"/>
          </w:rPr>
        </w:r>
        <w:r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31</w:t>
        </w:r>
        <w:r w:rsidRPr="00512244">
          <w:rPr>
            <w:rFonts w:ascii="Times New Roman" w:hAnsi="Times New Roman" w:cs="Times New Roman"/>
            <w:noProof/>
            <w:webHidden/>
            <w:sz w:val="22"/>
            <w:szCs w:val="22"/>
          </w:rPr>
          <w:fldChar w:fldCharType="end"/>
        </w:r>
      </w:hyperlink>
    </w:p>
    <w:p w14:paraId="4CB43CC9" w14:textId="4928CA74" w:rsidR="00512244" w:rsidRPr="00512244" w:rsidRDefault="00512244">
      <w:pPr>
        <w:pStyle w:val="Tabladeilustraciones"/>
        <w:tabs>
          <w:tab w:val="right" w:leader="dot" w:pos="8828"/>
        </w:tabs>
        <w:rPr>
          <w:rFonts w:ascii="Times New Roman" w:hAnsi="Times New Roman" w:cs="Times New Roman"/>
          <w:noProof/>
          <w:sz w:val="22"/>
          <w:szCs w:val="22"/>
          <w:lang w:eastAsia="es-GT"/>
        </w:rPr>
      </w:pPr>
      <w:hyperlink w:anchor="_Toc160196921" w:history="1">
        <w:r w:rsidRPr="00512244">
          <w:rPr>
            <w:rStyle w:val="Hipervnculo"/>
            <w:rFonts w:ascii="Times New Roman" w:hAnsi="Times New Roman" w:cs="Times New Roman"/>
            <w:noProof/>
            <w:sz w:val="22"/>
            <w:szCs w:val="22"/>
          </w:rPr>
          <w:t xml:space="preserve">Tabla 6.  </w:t>
        </w:r>
        <w:r w:rsidRPr="00512244">
          <w:rPr>
            <w:rStyle w:val="Hipervnculo"/>
            <w:rFonts w:ascii="Times New Roman" w:eastAsia="Times New Roman" w:hAnsi="Times New Roman" w:cs="Times New Roman"/>
            <w:noProof/>
            <w:sz w:val="22"/>
            <w:szCs w:val="22"/>
          </w:rPr>
          <w:t>Situación Financiera Resumida</w:t>
        </w:r>
        <w:r w:rsidRPr="00512244">
          <w:rPr>
            <w:rFonts w:ascii="Times New Roman" w:hAnsi="Times New Roman" w:cs="Times New Roman"/>
            <w:noProof/>
            <w:webHidden/>
            <w:sz w:val="22"/>
            <w:szCs w:val="22"/>
          </w:rPr>
          <w:tab/>
        </w:r>
        <w:r w:rsidRPr="00512244">
          <w:rPr>
            <w:rFonts w:ascii="Times New Roman" w:hAnsi="Times New Roman" w:cs="Times New Roman"/>
            <w:noProof/>
            <w:webHidden/>
            <w:sz w:val="22"/>
            <w:szCs w:val="22"/>
          </w:rPr>
          <w:fldChar w:fldCharType="begin"/>
        </w:r>
        <w:r w:rsidRPr="00512244">
          <w:rPr>
            <w:rFonts w:ascii="Times New Roman" w:hAnsi="Times New Roman" w:cs="Times New Roman"/>
            <w:noProof/>
            <w:webHidden/>
            <w:sz w:val="22"/>
            <w:szCs w:val="22"/>
          </w:rPr>
          <w:instrText xml:space="preserve"> PAGEREF _Toc160196921 \h </w:instrText>
        </w:r>
        <w:r w:rsidRPr="00512244">
          <w:rPr>
            <w:rFonts w:ascii="Times New Roman" w:hAnsi="Times New Roman" w:cs="Times New Roman"/>
            <w:noProof/>
            <w:webHidden/>
            <w:sz w:val="22"/>
            <w:szCs w:val="22"/>
          </w:rPr>
        </w:r>
        <w:r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32</w:t>
        </w:r>
        <w:r w:rsidRPr="00512244">
          <w:rPr>
            <w:rFonts w:ascii="Times New Roman" w:hAnsi="Times New Roman" w:cs="Times New Roman"/>
            <w:noProof/>
            <w:webHidden/>
            <w:sz w:val="22"/>
            <w:szCs w:val="22"/>
          </w:rPr>
          <w:fldChar w:fldCharType="end"/>
        </w:r>
      </w:hyperlink>
    </w:p>
    <w:p w14:paraId="398CD365" w14:textId="3831FFAC" w:rsidR="00512244" w:rsidRPr="00512244" w:rsidRDefault="00512244">
      <w:pPr>
        <w:pStyle w:val="Tabladeilustraciones"/>
        <w:tabs>
          <w:tab w:val="right" w:leader="dot" w:pos="8828"/>
        </w:tabs>
        <w:rPr>
          <w:rFonts w:ascii="Times New Roman" w:hAnsi="Times New Roman" w:cs="Times New Roman"/>
          <w:noProof/>
          <w:sz w:val="22"/>
          <w:szCs w:val="22"/>
          <w:lang w:eastAsia="es-GT"/>
        </w:rPr>
      </w:pPr>
      <w:hyperlink w:anchor="_Toc160196922" w:history="1">
        <w:r w:rsidRPr="00512244">
          <w:rPr>
            <w:rStyle w:val="Hipervnculo"/>
            <w:rFonts w:ascii="Times New Roman" w:hAnsi="Times New Roman" w:cs="Times New Roman"/>
            <w:noProof/>
            <w:sz w:val="22"/>
            <w:szCs w:val="22"/>
          </w:rPr>
          <w:t xml:space="preserve">Tabla 7.  </w:t>
        </w:r>
        <w:r w:rsidRPr="00512244">
          <w:rPr>
            <w:rStyle w:val="Hipervnculo"/>
            <w:rFonts w:ascii="Times New Roman" w:eastAsia="Times New Roman" w:hAnsi="Times New Roman" w:cs="Times New Roman"/>
            <w:noProof/>
            <w:sz w:val="22"/>
            <w:szCs w:val="22"/>
          </w:rPr>
          <w:t>Desembolsos de Préstamos por Organismo y Destino 2023</w:t>
        </w:r>
        <w:r w:rsidRPr="00512244">
          <w:rPr>
            <w:rFonts w:ascii="Times New Roman" w:hAnsi="Times New Roman" w:cs="Times New Roman"/>
            <w:noProof/>
            <w:webHidden/>
            <w:sz w:val="22"/>
            <w:szCs w:val="22"/>
          </w:rPr>
          <w:tab/>
        </w:r>
        <w:r w:rsidRPr="00512244">
          <w:rPr>
            <w:rFonts w:ascii="Times New Roman" w:hAnsi="Times New Roman" w:cs="Times New Roman"/>
            <w:noProof/>
            <w:webHidden/>
            <w:sz w:val="22"/>
            <w:szCs w:val="22"/>
          </w:rPr>
          <w:fldChar w:fldCharType="begin"/>
        </w:r>
        <w:r w:rsidRPr="00512244">
          <w:rPr>
            <w:rFonts w:ascii="Times New Roman" w:hAnsi="Times New Roman" w:cs="Times New Roman"/>
            <w:noProof/>
            <w:webHidden/>
            <w:sz w:val="22"/>
            <w:szCs w:val="22"/>
          </w:rPr>
          <w:instrText xml:space="preserve"> PAGEREF _Toc160196922 \h </w:instrText>
        </w:r>
        <w:r w:rsidRPr="00512244">
          <w:rPr>
            <w:rFonts w:ascii="Times New Roman" w:hAnsi="Times New Roman" w:cs="Times New Roman"/>
            <w:noProof/>
            <w:webHidden/>
            <w:sz w:val="22"/>
            <w:szCs w:val="22"/>
          </w:rPr>
        </w:r>
        <w:r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34</w:t>
        </w:r>
        <w:r w:rsidRPr="00512244">
          <w:rPr>
            <w:rFonts w:ascii="Times New Roman" w:hAnsi="Times New Roman" w:cs="Times New Roman"/>
            <w:noProof/>
            <w:webHidden/>
            <w:sz w:val="22"/>
            <w:szCs w:val="22"/>
          </w:rPr>
          <w:fldChar w:fldCharType="end"/>
        </w:r>
      </w:hyperlink>
    </w:p>
    <w:p w14:paraId="6A96A481" w14:textId="7CD2FF6B" w:rsidR="00512244" w:rsidRPr="00512244" w:rsidRDefault="00512244">
      <w:pPr>
        <w:pStyle w:val="Tabladeilustraciones"/>
        <w:tabs>
          <w:tab w:val="right" w:leader="dot" w:pos="8828"/>
        </w:tabs>
        <w:rPr>
          <w:rFonts w:ascii="Times New Roman" w:hAnsi="Times New Roman" w:cs="Times New Roman"/>
          <w:noProof/>
          <w:sz w:val="22"/>
          <w:szCs w:val="22"/>
          <w:lang w:eastAsia="es-GT"/>
        </w:rPr>
      </w:pPr>
      <w:hyperlink w:anchor="_Toc160196923" w:history="1">
        <w:r w:rsidRPr="00512244">
          <w:rPr>
            <w:rStyle w:val="Hipervnculo"/>
            <w:rFonts w:ascii="Times New Roman" w:hAnsi="Times New Roman" w:cs="Times New Roman"/>
            <w:noProof/>
            <w:sz w:val="22"/>
            <w:szCs w:val="22"/>
          </w:rPr>
          <w:t xml:space="preserve">Tabla 8.  </w:t>
        </w:r>
        <w:r w:rsidRPr="00512244">
          <w:rPr>
            <w:rStyle w:val="Hipervnculo"/>
            <w:rFonts w:ascii="Times New Roman" w:eastAsia="Times New Roman" w:hAnsi="Times New Roman" w:cs="Times New Roman"/>
            <w:bCs/>
            <w:noProof/>
            <w:sz w:val="22"/>
            <w:szCs w:val="22"/>
          </w:rPr>
          <w:t>Metas de Política Fiscal para el período 2023-2027</w:t>
        </w:r>
        <w:r w:rsidRPr="00512244">
          <w:rPr>
            <w:rFonts w:ascii="Times New Roman" w:hAnsi="Times New Roman" w:cs="Times New Roman"/>
            <w:noProof/>
            <w:webHidden/>
            <w:sz w:val="22"/>
            <w:szCs w:val="22"/>
          </w:rPr>
          <w:tab/>
        </w:r>
        <w:r w:rsidRPr="00512244">
          <w:rPr>
            <w:rFonts w:ascii="Times New Roman" w:hAnsi="Times New Roman" w:cs="Times New Roman"/>
            <w:noProof/>
            <w:webHidden/>
            <w:sz w:val="22"/>
            <w:szCs w:val="22"/>
          </w:rPr>
          <w:fldChar w:fldCharType="begin"/>
        </w:r>
        <w:r w:rsidRPr="00512244">
          <w:rPr>
            <w:rFonts w:ascii="Times New Roman" w:hAnsi="Times New Roman" w:cs="Times New Roman"/>
            <w:noProof/>
            <w:webHidden/>
            <w:sz w:val="22"/>
            <w:szCs w:val="22"/>
          </w:rPr>
          <w:instrText xml:space="preserve"> PAGEREF _Toc160196923 \h </w:instrText>
        </w:r>
        <w:r w:rsidRPr="00512244">
          <w:rPr>
            <w:rFonts w:ascii="Times New Roman" w:hAnsi="Times New Roman" w:cs="Times New Roman"/>
            <w:noProof/>
            <w:webHidden/>
            <w:sz w:val="22"/>
            <w:szCs w:val="22"/>
          </w:rPr>
        </w:r>
        <w:r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36</w:t>
        </w:r>
        <w:r w:rsidRPr="00512244">
          <w:rPr>
            <w:rFonts w:ascii="Times New Roman" w:hAnsi="Times New Roman" w:cs="Times New Roman"/>
            <w:noProof/>
            <w:webHidden/>
            <w:sz w:val="22"/>
            <w:szCs w:val="22"/>
          </w:rPr>
          <w:fldChar w:fldCharType="end"/>
        </w:r>
      </w:hyperlink>
    </w:p>
    <w:p w14:paraId="3031C866" w14:textId="49D149D3" w:rsidR="00512244" w:rsidRPr="00512244" w:rsidRDefault="00512244">
      <w:pPr>
        <w:pStyle w:val="Tabladeilustraciones"/>
        <w:tabs>
          <w:tab w:val="right" w:leader="dot" w:pos="8828"/>
        </w:tabs>
        <w:rPr>
          <w:rFonts w:ascii="Times New Roman" w:hAnsi="Times New Roman" w:cs="Times New Roman"/>
          <w:noProof/>
          <w:sz w:val="22"/>
          <w:szCs w:val="22"/>
          <w:lang w:eastAsia="es-GT"/>
        </w:rPr>
      </w:pPr>
      <w:hyperlink w:anchor="_Toc160196924" w:history="1">
        <w:r w:rsidRPr="00512244">
          <w:rPr>
            <w:rStyle w:val="Hipervnculo"/>
            <w:rFonts w:ascii="Times New Roman" w:hAnsi="Times New Roman" w:cs="Times New Roman"/>
            <w:noProof/>
            <w:sz w:val="22"/>
            <w:szCs w:val="22"/>
          </w:rPr>
          <w:t xml:space="preserve">Tabla 9.  </w:t>
        </w:r>
        <w:r w:rsidRPr="00512244">
          <w:rPr>
            <w:rStyle w:val="Hipervnculo"/>
            <w:rFonts w:ascii="Times New Roman" w:hAnsi="Times New Roman" w:cs="Times New Roman"/>
            <w:bCs/>
            <w:noProof/>
            <w:sz w:val="22"/>
            <w:szCs w:val="22"/>
          </w:rPr>
          <w:t>Estado de operaciones del Gobierno Central Presupuestario</w:t>
        </w:r>
        <w:r w:rsidRPr="00512244">
          <w:rPr>
            <w:rFonts w:ascii="Times New Roman" w:hAnsi="Times New Roman" w:cs="Times New Roman"/>
            <w:noProof/>
            <w:webHidden/>
            <w:sz w:val="22"/>
            <w:szCs w:val="22"/>
          </w:rPr>
          <w:tab/>
        </w:r>
        <w:r w:rsidRPr="00512244">
          <w:rPr>
            <w:rFonts w:ascii="Times New Roman" w:hAnsi="Times New Roman" w:cs="Times New Roman"/>
            <w:noProof/>
            <w:webHidden/>
            <w:sz w:val="22"/>
            <w:szCs w:val="22"/>
          </w:rPr>
          <w:fldChar w:fldCharType="begin"/>
        </w:r>
        <w:r w:rsidRPr="00512244">
          <w:rPr>
            <w:rFonts w:ascii="Times New Roman" w:hAnsi="Times New Roman" w:cs="Times New Roman"/>
            <w:noProof/>
            <w:webHidden/>
            <w:sz w:val="22"/>
            <w:szCs w:val="22"/>
          </w:rPr>
          <w:instrText xml:space="preserve"> PAGEREF _Toc160196924 \h </w:instrText>
        </w:r>
        <w:r w:rsidRPr="00512244">
          <w:rPr>
            <w:rFonts w:ascii="Times New Roman" w:hAnsi="Times New Roman" w:cs="Times New Roman"/>
            <w:noProof/>
            <w:webHidden/>
            <w:sz w:val="22"/>
            <w:szCs w:val="22"/>
          </w:rPr>
        </w:r>
        <w:r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39</w:t>
        </w:r>
        <w:r w:rsidRPr="00512244">
          <w:rPr>
            <w:rFonts w:ascii="Times New Roman" w:hAnsi="Times New Roman" w:cs="Times New Roman"/>
            <w:noProof/>
            <w:webHidden/>
            <w:sz w:val="22"/>
            <w:szCs w:val="22"/>
          </w:rPr>
          <w:fldChar w:fldCharType="end"/>
        </w:r>
      </w:hyperlink>
    </w:p>
    <w:p w14:paraId="00E1BB3D" w14:textId="058AA2B7" w:rsidR="00512244" w:rsidRPr="00512244" w:rsidRDefault="00512244">
      <w:pPr>
        <w:pStyle w:val="Tabladeilustraciones"/>
        <w:tabs>
          <w:tab w:val="right" w:leader="dot" w:pos="8828"/>
        </w:tabs>
        <w:rPr>
          <w:rFonts w:ascii="Times New Roman" w:hAnsi="Times New Roman" w:cs="Times New Roman"/>
          <w:noProof/>
          <w:sz w:val="22"/>
          <w:szCs w:val="22"/>
          <w:lang w:eastAsia="es-GT"/>
        </w:rPr>
      </w:pPr>
      <w:hyperlink w:anchor="_Toc160196925" w:history="1">
        <w:r w:rsidRPr="00512244">
          <w:rPr>
            <w:rStyle w:val="Hipervnculo"/>
            <w:rFonts w:ascii="Times New Roman" w:hAnsi="Times New Roman" w:cs="Times New Roman"/>
            <w:noProof/>
            <w:sz w:val="22"/>
            <w:szCs w:val="22"/>
          </w:rPr>
          <w:t xml:space="preserve">Tabla 10.  </w:t>
        </w:r>
        <w:r w:rsidRPr="00512244">
          <w:rPr>
            <w:rStyle w:val="Hipervnculo"/>
            <w:rFonts w:ascii="Times New Roman" w:hAnsi="Times New Roman" w:cs="Times New Roman"/>
            <w:bCs/>
            <w:noProof/>
            <w:sz w:val="22"/>
            <w:szCs w:val="22"/>
          </w:rPr>
          <w:t>Estado de operaciones del Gobierno General Consolidado</w:t>
        </w:r>
        <w:r w:rsidRPr="00512244">
          <w:rPr>
            <w:rFonts w:ascii="Times New Roman" w:hAnsi="Times New Roman" w:cs="Times New Roman"/>
            <w:noProof/>
            <w:webHidden/>
            <w:sz w:val="22"/>
            <w:szCs w:val="22"/>
          </w:rPr>
          <w:tab/>
        </w:r>
        <w:r w:rsidRPr="00512244">
          <w:rPr>
            <w:rFonts w:ascii="Times New Roman" w:hAnsi="Times New Roman" w:cs="Times New Roman"/>
            <w:noProof/>
            <w:webHidden/>
            <w:sz w:val="22"/>
            <w:szCs w:val="22"/>
          </w:rPr>
          <w:fldChar w:fldCharType="begin"/>
        </w:r>
        <w:r w:rsidRPr="00512244">
          <w:rPr>
            <w:rFonts w:ascii="Times New Roman" w:hAnsi="Times New Roman" w:cs="Times New Roman"/>
            <w:noProof/>
            <w:webHidden/>
            <w:sz w:val="22"/>
            <w:szCs w:val="22"/>
          </w:rPr>
          <w:instrText xml:space="preserve"> PAGEREF _Toc160196925 \h </w:instrText>
        </w:r>
        <w:r w:rsidRPr="00512244">
          <w:rPr>
            <w:rFonts w:ascii="Times New Roman" w:hAnsi="Times New Roman" w:cs="Times New Roman"/>
            <w:noProof/>
            <w:webHidden/>
            <w:sz w:val="22"/>
            <w:szCs w:val="22"/>
          </w:rPr>
        </w:r>
        <w:r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41</w:t>
        </w:r>
        <w:r w:rsidRPr="00512244">
          <w:rPr>
            <w:rFonts w:ascii="Times New Roman" w:hAnsi="Times New Roman" w:cs="Times New Roman"/>
            <w:noProof/>
            <w:webHidden/>
            <w:sz w:val="22"/>
            <w:szCs w:val="22"/>
          </w:rPr>
          <w:fldChar w:fldCharType="end"/>
        </w:r>
      </w:hyperlink>
    </w:p>
    <w:p w14:paraId="6ED8BFE4" w14:textId="7C98D747" w:rsidR="00512244" w:rsidRPr="00512244" w:rsidRDefault="00512244">
      <w:pPr>
        <w:pStyle w:val="Tabladeilustraciones"/>
        <w:tabs>
          <w:tab w:val="right" w:leader="dot" w:pos="8828"/>
        </w:tabs>
        <w:rPr>
          <w:rFonts w:ascii="Times New Roman" w:hAnsi="Times New Roman" w:cs="Times New Roman"/>
          <w:noProof/>
          <w:sz w:val="22"/>
          <w:szCs w:val="22"/>
          <w:lang w:eastAsia="es-GT"/>
        </w:rPr>
      </w:pPr>
      <w:hyperlink w:anchor="_Toc160196926" w:history="1">
        <w:r w:rsidRPr="00512244">
          <w:rPr>
            <w:rStyle w:val="Hipervnculo"/>
            <w:rFonts w:ascii="Times New Roman" w:hAnsi="Times New Roman" w:cs="Times New Roman"/>
            <w:noProof/>
            <w:sz w:val="22"/>
            <w:szCs w:val="22"/>
          </w:rPr>
          <w:t xml:space="preserve">Tabla 11.  </w:t>
        </w:r>
        <w:r w:rsidRPr="00512244">
          <w:rPr>
            <w:rStyle w:val="Hipervnculo"/>
            <w:rFonts w:ascii="Times New Roman" w:hAnsi="Times New Roman" w:cs="Times New Roman"/>
            <w:bCs/>
            <w:noProof/>
            <w:sz w:val="22"/>
            <w:szCs w:val="22"/>
          </w:rPr>
          <w:t>Estado de operaciones del Sector Público No Financiero</w:t>
        </w:r>
        <w:r w:rsidRPr="00512244">
          <w:rPr>
            <w:rFonts w:ascii="Times New Roman" w:hAnsi="Times New Roman" w:cs="Times New Roman"/>
            <w:noProof/>
            <w:webHidden/>
            <w:sz w:val="22"/>
            <w:szCs w:val="22"/>
          </w:rPr>
          <w:tab/>
        </w:r>
        <w:r w:rsidRPr="00512244">
          <w:rPr>
            <w:rFonts w:ascii="Times New Roman" w:hAnsi="Times New Roman" w:cs="Times New Roman"/>
            <w:noProof/>
            <w:webHidden/>
            <w:sz w:val="22"/>
            <w:szCs w:val="22"/>
          </w:rPr>
          <w:fldChar w:fldCharType="begin"/>
        </w:r>
        <w:r w:rsidRPr="00512244">
          <w:rPr>
            <w:rFonts w:ascii="Times New Roman" w:hAnsi="Times New Roman" w:cs="Times New Roman"/>
            <w:noProof/>
            <w:webHidden/>
            <w:sz w:val="22"/>
            <w:szCs w:val="22"/>
          </w:rPr>
          <w:instrText xml:space="preserve"> PAGEREF _Toc160196926 \h </w:instrText>
        </w:r>
        <w:r w:rsidRPr="00512244">
          <w:rPr>
            <w:rFonts w:ascii="Times New Roman" w:hAnsi="Times New Roman" w:cs="Times New Roman"/>
            <w:noProof/>
            <w:webHidden/>
            <w:sz w:val="22"/>
            <w:szCs w:val="22"/>
          </w:rPr>
        </w:r>
        <w:r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43</w:t>
        </w:r>
        <w:r w:rsidRPr="00512244">
          <w:rPr>
            <w:rFonts w:ascii="Times New Roman" w:hAnsi="Times New Roman" w:cs="Times New Roman"/>
            <w:noProof/>
            <w:webHidden/>
            <w:sz w:val="22"/>
            <w:szCs w:val="22"/>
          </w:rPr>
          <w:fldChar w:fldCharType="end"/>
        </w:r>
      </w:hyperlink>
    </w:p>
    <w:p w14:paraId="0C467888" w14:textId="0A327D51" w:rsidR="00512244" w:rsidRPr="00512244" w:rsidRDefault="00512244">
      <w:pPr>
        <w:pStyle w:val="Tabladeilustraciones"/>
        <w:tabs>
          <w:tab w:val="right" w:leader="dot" w:pos="8828"/>
        </w:tabs>
        <w:rPr>
          <w:rFonts w:ascii="Times New Roman" w:hAnsi="Times New Roman" w:cs="Times New Roman"/>
          <w:noProof/>
          <w:sz w:val="22"/>
          <w:szCs w:val="22"/>
          <w:lang w:eastAsia="es-GT"/>
        </w:rPr>
      </w:pPr>
      <w:hyperlink w:anchor="_Toc160196927" w:history="1">
        <w:r w:rsidRPr="00512244">
          <w:rPr>
            <w:rStyle w:val="Hipervnculo"/>
            <w:rFonts w:ascii="Times New Roman" w:hAnsi="Times New Roman" w:cs="Times New Roman"/>
            <w:noProof/>
            <w:sz w:val="22"/>
            <w:szCs w:val="22"/>
          </w:rPr>
          <w:t>Tabla 12.  Evolución de las estimaciones de cierre 2024 según el FMI</w:t>
        </w:r>
        <w:r w:rsidRPr="00512244">
          <w:rPr>
            <w:rFonts w:ascii="Times New Roman" w:hAnsi="Times New Roman" w:cs="Times New Roman"/>
            <w:noProof/>
            <w:webHidden/>
            <w:sz w:val="22"/>
            <w:szCs w:val="22"/>
          </w:rPr>
          <w:tab/>
        </w:r>
        <w:r w:rsidRPr="00512244">
          <w:rPr>
            <w:rFonts w:ascii="Times New Roman" w:hAnsi="Times New Roman" w:cs="Times New Roman"/>
            <w:noProof/>
            <w:webHidden/>
            <w:sz w:val="22"/>
            <w:szCs w:val="22"/>
          </w:rPr>
          <w:fldChar w:fldCharType="begin"/>
        </w:r>
        <w:r w:rsidRPr="00512244">
          <w:rPr>
            <w:rFonts w:ascii="Times New Roman" w:hAnsi="Times New Roman" w:cs="Times New Roman"/>
            <w:noProof/>
            <w:webHidden/>
            <w:sz w:val="22"/>
            <w:szCs w:val="22"/>
          </w:rPr>
          <w:instrText xml:space="preserve"> PAGEREF _Toc160196927 \h </w:instrText>
        </w:r>
        <w:r w:rsidRPr="00512244">
          <w:rPr>
            <w:rFonts w:ascii="Times New Roman" w:hAnsi="Times New Roman" w:cs="Times New Roman"/>
            <w:noProof/>
            <w:webHidden/>
            <w:sz w:val="22"/>
            <w:szCs w:val="22"/>
          </w:rPr>
        </w:r>
        <w:r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45</w:t>
        </w:r>
        <w:r w:rsidRPr="00512244">
          <w:rPr>
            <w:rFonts w:ascii="Times New Roman" w:hAnsi="Times New Roman" w:cs="Times New Roman"/>
            <w:noProof/>
            <w:webHidden/>
            <w:sz w:val="22"/>
            <w:szCs w:val="22"/>
          </w:rPr>
          <w:fldChar w:fldCharType="end"/>
        </w:r>
      </w:hyperlink>
    </w:p>
    <w:p w14:paraId="068AAB3D" w14:textId="2DD7F33D" w:rsidR="00512244" w:rsidRPr="00512244" w:rsidRDefault="00512244">
      <w:pPr>
        <w:pStyle w:val="Tabladeilustraciones"/>
        <w:tabs>
          <w:tab w:val="right" w:leader="dot" w:pos="8828"/>
        </w:tabs>
        <w:rPr>
          <w:rFonts w:ascii="Times New Roman" w:hAnsi="Times New Roman" w:cs="Times New Roman"/>
          <w:noProof/>
          <w:sz w:val="22"/>
          <w:szCs w:val="22"/>
          <w:lang w:eastAsia="es-GT"/>
        </w:rPr>
      </w:pPr>
      <w:hyperlink w:anchor="_Toc160196928" w:history="1">
        <w:r w:rsidRPr="00512244">
          <w:rPr>
            <w:rStyle w:val="Hipervnculo"/>
            <w:rFonts w:ascii="Times New Roman" w:hAnsi="Times New Roman" w:cs="Times New Roman"/>
            <w:noProof/>
            <w:sz w:val="22"/>
            <w:szCs w:val="22"/>
          </w:rPr>
          <w:t xml:space="preserve">Tabla 13.  </w:t>
        </w:r>
        <w:r w:rsidRPr="00512244">
          <w:rPr>
            <w:rStyle w:val="Hipervnculo"/>
            <w:rFonts w:ascii="Times New Roman" w:eastAsia="Times New Roman" w:hAnsi="Times New Roman" w:cs="Times New Roman"/>
            <w:bCs/>
            <w:noProof/>
            <w:sz w:val="22"/>
            <w:szCs w:val="22"/>
          </w:rPr>
          <w:t>Evolución de perspectivas de 2024</w:t>
        </w:r>
        <w:r w:rsidRPr="00512244">
          <w:rPr>
            <w:rFonts w:ascii="Times New Roman" w:hAnsi="Times New Roman" w:cs="Times New Roman"/>
            <w:noProof/>
            <w:webHidden/>
            <w:sz w:val="22"/>
            <w:szCs w:val="22"/>
          </w:rPr>
          <w:tab/>
        </w:r>
        <w:r w:rsidRPr="00512244">
          <w:rPr>
            <w:rFonts w:ascii="Times New Roman" w:hAnsi="Times New Roman" w:cs="Times New Roman"/>
            <w:noProof/>
            <w:webHidden/>
            <w:sz w:val="22"/>
            <w:szCs w:val="22"/>
          </w:rPr>
          <w:fldChar w:fldCharType="begin"/>
        </w:r>
        <w:r w:rsidRPr="00512244">
          <w:rPr>
            <w:rFonts w:ascii="Times New Roman" w:hAnsi="Times New Roman" w:cs="Times New Roman"/>
            <w:noProof/>
            <w:webHidden/>
            <w:sz w:val="22"/>
            <w:szCs w:val="22"/>
          </w:rPr>
          <w:instrText xml:space="preserve"> PAGEREF _Toc160196928 \h </w:instrText>
        </w:r>
        <w:r w:rsidRPr="00512244">
          <w:rPr>
            <w:rFonts w:ascii="Times New Roman" w:hAnsi="Times New Roman" w:cs="Times New Roman"/>
            <w:noProof/>
            <w:webHidden/>
            <w:sz w:val="22"/>
            <w:szCs w:val="22"/>
          </w:rPr>
        </w:r>
        <w:r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51</w:t>
        </w:r>
        <w:r w:rsidRPr="00512244">
          <w:rPr>
            <w:rFonts w:ascii="Times New Roman" w:hAnsi="Times New Roman" w:cs="Times New Roman"/>
            <w:noProof/>
            <w:webHidden/>
            <w:sz w:val="22"/>
            <w:szCs w:val="22"/>
          </w:rPr>
          <w:fldChar w:fldCharType="end"/>
        </w:r>
      </w:hyperlink>
    </w:p>
    <w:p w14:paraId="10D7EE9F" w14:textId="6CF86218" w:rsidR="00512244" w:rsidRPr="00512244" w:rsidRDefault="00512244">
      <w:pPr>
        <w:pStyle w:val="Tabladeilustraciones"/>
        <w:tabs>
          <w:tab w:val="right" w:leader="dot" w:pos="8828"/>
        </w:tabs>
        <w:rPr>
          <w:rFonts w:ascii="Times New Roman" w:hAnsi="Times New Roman" w:cs="Times New Roman"/>
          <w:noProof/>
          <w:sz w:val="22"/>
          <w:szCs w:val="22"/>
          <w:lang w:eastAsia="es-GT"/>
        </w:rPr>
      </w:pPr>
      <w:hyperlink w:anchor="_Toc160196929" w:history="1">
        <w:r w:rsidRPr="00512244">
          <w:rPr>
            <w:rStyle w:val="Hipervnculo"/>
            <w:rFonts w:ascii="Times New Roman" w:hAnsi="Times New Roman" w:cs="Times New Roman"/>
            <w:noProof/>
            <w:sz w:val="22"/>
            <w:szCs w:val="22"/>
          </w:rPr>
          <w:t xml:space="preserve">Tabla 14.  </w:t>
        </w:r>
        <w:r w:rsidRPr="00512244">
          <w:rPr>
            <w:rStyle w:val="Hipervnculo"/>
            <w:rFonts w:ascii="Times New Roman" w:eastAsia="Times New Roman" w:hAnsi="Times New Roman" w:cs="Times New Roman"/>
            <w:noProof/>
            <w:sz w:val="22"/>
            <w:szCs w:val="22"/>
          </w:rPr>
          <w:t>Proyectos de presupuesto 2004-2024</w:t>
        </w:r>
        <w:r w:rsidRPr="00512244">
          <w:rPr>
            <w:rFonts w:ascii="Times New Roman" w:hAnsi="Times New Roman" w:cs="Times New Roman"/>
            <w:noProof/>
            <w:webHidden/>
            <w:sz w:val="22"/>
            <w:szCs w:val="22"/>
          </w:rPr>
          <w:tab/>
        </w:r>
        <w:r w:rsidRPr="00512244">
          <w:rPr>
            <w:rFonts w:ascii="Times New Roman" w:hAnsi="Times New Roman" w:cs="Times New Roman"/>
            <w:noProof/>
            <w:webHidden/>
            <w:sz w:val="22"/>
            <w:szCs w:val="22"/>
          </w:rPr>
          <w:fldChar w:fldCharType="begin"/>
        </w:r>
        <w:r w:rsidRPr="00512244">
          <w:rPr>
            <w:rFonts w:ascii="Times New Roman" w:hAnsi="Times New Roman" w:cs="Times New Roman"/>
            <w:noProof/>
            <w:webHidden/>
            <w:sz w:val="22"/>
            <w:szCs w:val="22"/>
          </w:rPr>
          <w:instrText xml:space="preserve"> PAGEREF _Toc160196929 \h </w:instrText>
        </w:r>
        <w:r w:rsidRPr="00512244">
          <w:rPr>
            <w:rFonts w:ascii="Times New Roman" w:hAnsi="Times New Roman" w:cs="Times New Roman"/>
            <w:noProof/>
            <w:webHidden/>
            <w:sz w:val="22"/>
            <w:szCs w:val="22"/>
          </w:rPr>
        </w:r>
        <w:r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53</w:t>
        </w:r>
        <w:r w:rsidRPr="00512244">
          <w:rPr>
            <w:rFonts w:ascii="Times New Roman" w:hAnsi="Times New Roman" w:cs="Times New Roman"/>
            <w:noProof/>
            <w:webHidden/>
            <w:sz w:val="22"/>
            <w:szCs w:val="22"/>
          </w:rPr>
          <w:fldChar w:fldCharType="end"/>
        </w:r>
      </w:hyperlink>
    </w:p>
    <w:p w14:paraId="46EA0AB9" w14:textId="74AD737A" w:rsidR="00512244" w:rsidRPr="00512244" w:rsidRDefault="00512244">
      <w:pPr>
        <w:pStyle w:val="Tabladeilustraciones"/>
        <w:tabs>
          <w:tab w:val="right" w:leader="dot" w:pos="8828"/>
        </w:tabs>
        <w:rPr>
          <w:rFonts w:ascii="Times New Roman" w:hAnsi="Times New Roman" w:cs="Times New Roman"/>
          <w:noProof/>
          <w:sz w:val="22"/>
          <w:szCs w:val="22"/>
          <w:lang w:eastAsia="es-GT"/>
        </w:rPr>
      </w:pPr>
      <w:hyperlink w:anchor="_Toc160196930" w:history="1">
        <w:r w:rsidRPr="00512244">
          <w:rPr>
            <w:rStyle w:val="Hipervnculo"/>
            <w:rFonts w:ascii="Times New Roman" w:hAnsi="Times New Roman" w:cs="Times New Roman"/>
            <w:noProof/>
            <w:sz w:val="22"/>
            <w:szCs w:val="22"/>
          </w:rPr>
          <w:t xml:space="preserve">Tabla 15.  </w:t>
        </w:r>
        <w:r w:rsidRPr="00512244">
          <w:rPr>
            <w:rStyle w:val="Hipervnculo"/>
            <w:rFonts w:ascii="Times New Roman" w:eastAsia="Times New Roman" w:hAnsi="Times New Roman" w:cs="Times New Roman"/>
            <w:noProof/>
            <w:sz w:val="22"/>
            <w:szCs w:val="22"/>
          </w:rPr>
          <w:t>Situación Financiera Presupuesto Vigente 2024</w:t>
        </w:r>
        <w:r w:rsidRPr="00512244">
          <w:rPr>
            <w:rFonts w:ascii="Times New Roman" w:hAnsi="Times New Roman" w:cs="Times New Roman"/>
            <w:noProof/>
            <w:webHidden/>
            <w:sz w:val="22"/>
            <w:szCs w:val="22"/>
          </w:rPr>
          <w:tab/>
        </w:r>
        <w:r w:rsidRPr="00512244">
          <w:rPr>
            <w:rFonts w:ascii="Times New Roman" w:hAnsi="Times New Roman" w:cs="Times New Roman"/>
            <w:noProof/>
            <w:webHidden/>
            <w:sz w:val="22"/>
            <w:szCs w:val="22"/>
          </w:rPr>
          <w:fldChar w:fldCharType="begin"/>
        </w:r>
        <w:r w:rsidRPr="00512244">
          <w:rPr>
            <w:rFonts w:ascii="Times New Roman" w:hAnsi="Times New Roman" w:cs="Times New Roman"/>
            <w:noProof/>
            <w:webHidden/>
            <w:sz w:val="22"/>
            <w:szCs w:val="22"/>
          </w:rPr>
          <w:instrText xml:space="preserve"> PAGEREF _Toc160196930 \h </w:instrText>
        </w:r>
        <w:r w:rsidRPr="00512244">
          <w:rPr>
            <w:rFonts w:ascii="Times New Roman" w:hAnsi="Times New Roman" w:cs="Times New Roman"/>
            <w:noProof/>
            <w:webHidden/>
            <w:sz w:val="22"/>
            <w:szCs w:val="22"/>
          </w:rPr>
        </w:r>
        <w:r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55</w:t>
        </w:r>
        <w:r w:rsidRPr="00512244">
          <w:rPr>
            <w:rFonts w:ascii="Times New Roman" w:hAnsi="Times New Roman" w:cs="Times New Roman"/>
            <w:noProof/>
            <w:webHidden/>
            <w:sz w:val="22"/>
            <w:szCs w:val="22"/>
          </w:rPr>
          <w:fldChar w:fldCharType="end"/>
        </w:r>
      </w:hyperlink>
    </w:p>
    <w:p w14:paraId="1BAA478E" w14:textId="0D4227AD" w:rsidR="00512244" w:rsidRPr="00512244" w:rsidRDefault="00512244">
      <w:pPr>
        <w:pStyle w:val="Tabladeilustraciones"/>
        <w:tabs>
          <w:tab w:val="right" w:leader="dot" w:pos="8828"/>
        </w:tabs>
        <w:rPr>
          <w:rFonts w:ascii="Times New Roman" w:hAnsi="Times New Roman" w:cs="Times New Roman"/>
          <w:noProof/>
          <w:sz w:val="22"/>
          <w:szCs w:val="22"/>
          <w:lang w:eastAsia="es-GT"/>
        </w:rPr>
      </w:pPr>
      <w:hyperlink w:anchor="_Toc160196931" w:history="1">
        <w:r w:rsidRPr="00512244">
          <w:rPr>
            <w:rStyle w:val="Hipervnculo"/>
            <w:rFonts w:ascii="Times New Roman" w:hAnsi="Times New Roman" w:cs="Times New Roman"/>
            <w:noProof/>
            <w:sz w:val="22"/>
            <w:szCs w:val="22"/>
          </w:rPr>
          <w:t xml:space="preserve">Tabla 18.  </w:t>
        </w:r>
        <w:r w:rsidRPr="00512244">
          <w:rPr>
            <w:rStyle w:val="Hipervnculo"/>
            <w:rFonts w:ascii="Times New Roman" w:eastAsia="Times New Roman" w:hAnsi="Times New Roman" w:cs="Times New Roman"/>
            <w:noProof/>
            <w:sz w:val="22"/>
            <w:szCs w:val="22"/>
            <w:lang w:val="es-ES_tradnl" w:eastAsia="es-ES"/>
          </w:rPr>
          <w:t>Evolución de las estimaciones de cierre 2023 según el FMI</w:t>
        </w:r>
        <w:r w:rsidRPr="00512244">
          <w:rPr>
            <w:rFonts w:ascii="Times New Roman" w:hAnsi="Times New Roman" w:cs="Times New Roman"/>
            <w:noProof/>
            <w:webHidden/>
            <w:sz w:val="22"/>
            <w:szCs w:val="22"/>
          </w:rPr>
          <w:tab/>
        </w:r>
        <w:r w:rsidRPr="00512244">
          <w:rPr>
            <w:rFonts w:ascii="Times New Roman" w:hAnsi="Times New Roman" w:cs="Times New Roman"/>
            <w:noProof/>
            <w:webHidden/>
            <w:sz w:val="22"/>
            <w:szCs w:val="22"/>
          </w:rPr>
          <w:fldChar w:fldCharType="begin"/>
        </w:r>
        <w:r w:rsidRPr="00512244">
          <w:rPr>
            <w:rFonts w:ascii="Times New Roman" w:hAnsi="Times New Roman" w:cs="Times New Roman"/>
            <w:noProof/>
            <w:webHidden/>
            <w:sz w:val="22"/>
            <w:szCs w:val="22"/>
          </w:rPr>
          <w:instrText xml:space="preserve"> PAGEREF _Toc160196931 \h </w:instrText>
        </w:r>
        <w:r w:rsidRPr="00512244">
          <w:rPr>
            <w:rFonts w:ascii="Times New Roman" w:hAnsi="Times New Roman" w:cs="Times New Roman"/>
            <w:noProof/>
            <w:webHidden/>
            <w:sz w:val="22"/>
            <w:szCs w:val="22"/>
          </w:rPr>
        </w:r>
        <w:r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57</w:t>
        </w:r>
        <w:r w:rsidRPr="00512244">
          <w:rPr>
            <w:rFonts w:ascii="Times New Roman" w:hAnsi="Times New Roman" w:cs="Times New Roman"/>
            <w:noProof/>
            <w:webHidden/>
            <w:sz w:val="22"/>
            <w:szCs w:val="22"/>
          </w:rPr>
          <w:fldChar w:fldCharType="end"/>
        </w:r>
      </w:hyperlink>
    </w:p>
    <w:p w14:paraId="6E87DF16" w14:textId="0AE5349D" w:rsidR="00512244" w:rsidRPr="00512244" w:rsidRDefault="00512244">
      <w:pPr>
        <w:pStyle w:val="Tabladeilustraciones"/>
        <w:tabs>
          <w:tab w:val="right" w:leader="dot" w:pos="8828"/>
        </w:tabs>
        <w:rPr>
          <w:rFonts w:ascii="Times New Roman" w:hAnsi="Times New Roman" w:cs="Times New Roman"/>
          <w:noProof/>
          <w:sz w:val="22"/>
          <w:szCs w:val="22"/>
          <w:lang w:eastAsia="es-GT"/>
        </w:rPr>
      </w:pPr>
      <w:hyperlink w:anchor="_Toc160196932" w:history="1">
        <w:r w:rsidRPr="00512244">
          <w:rPr>
            <w:rStyle w:val="Hipervnculo"/>
            <w:rFonts w:ascii="Times New Roman" w:hAnsi="Times New Roman" w:cs="Times New Roman"/>
            <w:noProof/>
            <w:sz w:val="22"/>
            <w:szCs w:val="22"/>
          </w:rPr>
          <w:t>Tabla 19.  Principales indicadores Macroeconómicos y Fiscales de la región</w:t>
        </w:r>
        <w:r w:rsidRPr="00512244">
          <w:rPr>
            <w:rFonts w:ascii="Times New Roman" w:hAnsi="Times New Roman" w:cs="Times New Roman"/>
            <w:noProof/>
            <w:webHidden/>
            <w:sz w:val="22"/>
            <w:szCs w:val="22"/>
          </w:rPr>
          <w:tab/>
        </w:r>
        <w:r w:rsidRPr="00512244">
          <w:rPr>
            <w:rFonts w:ascii="Times New Roman" w:hAnsi="Times New Roman" w:cs="Times New Roman"/>
            <w:noProof/>
            <w:webHidden/>
            <w:sz w:val="22"/>
            <w:szCs w:val="22"/>
          </w:rPr>
          <w:fldChar w:fldCharType="begin"/>
        </w:r>
        <w:r w:rsidRPr="00512244">
          <w:rPr>
            <w:rFonts w:ascii="Times New Roman" w:hAnsi="Times New Roman" w:cs="Times New Roman"/>
            <w:noProof/>
            <w:webHidden/>
            <w:sz w:val="22"/>
            <w:szCs w:val="22"/>
          </w:rPr>
          <w:instrText xml:space="preserve"> PAGEREF _Toc160196932 \h </w:instrText>
        </w:r>
        <w:r w:rsidRPr="00512244">
          <w:rPr>
            <w:rFonts w:ascii="Times New Roman" w:hAnsi="Times New Roman" w:cs="Times New Roman"/>
            <w:noProof/>
            <w:webHidden/>
            <w:sz w:val="22"/>
            <w:szCs w:val="22"/>
          </w:rPr>
        </w:r>
        <w:r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59</w:t>
        </w:r>
        <w:r w:rsidRPr="00512244">
          <w:rPr>
            <w:rFonts w:ascii="Times New Roman" w:hAnsi="Times New Roman" w:cs="Times New Roman"/>
            <w:noProof/>
            <w:webHidden/>
            <w:sz w:val="22"/>
            <w:szCs w:val="22"/>
          </w:rPr>
          <w:fldChar w:fldCharType="end"/>
        </w:r>
      </w:hyperlink>
    </w:p>
    <w:p w14:paraId="6D863A49" w14:textId="6BAF1D32" w:rsidR="00512244" w:rsidRPr="00512244" w:rsidRDefault="00512244">
      <w:pPr>
        <w:pStyle w:val="Tabladeilustraciones"/>
        <w:tabs>
          <w:tab w:val="right" w:leader="dot" w:pos="8828"/>
        </w:tabs>
        <w:rPr>
          <w:rFonts w:ascii="Times New Roman" w:hAnsi="Times New Roman" w:cs="Times New Roman"/>
          <w:noProof/>
          <w:sz w:val="22"/>
          <w:szCs w:val="22"/>
          <w:lang w:eastAsia="es-GT"/>
        </w:rPr>
      </w:pPr>
      <w:hyperlink w:anchor="_Toc160196933" w:history="1">
        <w:r w:rsidRPr="00512244">
          <w:rPr>
            <w:rStyle w:val="Hipervnculo"/>
            <w:rFonts w:ascii="Times New Roman" w:hAnsi="Times New Roman" w:cs="Times New Roman"/>
            <w:noProof/>
            <w:sz w:val="22"/>
            <w:szCs w:val="22"/>
          </w:rPr>
          <w:t xml:space="preserve">Tabla 20.  </w:t>
        </w:r>
        <w:r w:rsidRPr="00512244">
          <w:rPr>
            <w:rStyle w:val="Hipervnculo"/>
            <w:rFonts w:ascii="Times New Roman" w:eastAsia="Times New Roman" w:hAnsi="Times New Roman" w:cs="Times New Roman"/>
            <w:bCs/>
            <w:noProof/>
            <w:sz w:val="22"/>
            <w:szCs w:val="22"/>
          </w:rPr>
          <w:t>Evolución de perspectivas de 2023</w:t>
        </w:r>
        <w:r w:rsidRPr="00512244">
          <w:rPr>
            <w:rFonts w:ascii="Times New Roman" w:hAnsi="Times New Roman" w:cs="Times New Roman"/>
            <w:noProof/>
            <w:webHidden/>
            <w:sz w:val="22"/>
            <w:szCs w:val="22"/>
          </w:rPr>
          <w:tab/>
        </w:r>
        <w:r w:rsidRPr="00512244">
          <w:rPr>
            <w:rFonts w:ascii="Times New Roman" w:hAnsi="Times New Roman" w:cs="Times New Roman"/>
            <w:noProof/>
            <w:webHidden/>
            <w:sz w:val="22"/>
            <w:szCs w:val="22"/>
          </w:rPr>
          <w:fldChar w:fldCharType="begin"/>
        </w:r>
        <w:r w:rsidRPr="00512244">
          <w:rPr>
            <w:rFonts w:ascii="Times New Roman" w:hAnsi="Times New Roman" w:cs="Times New Roman"/>
            <w:noProof/>
            <w:webHidden/>
            <w:sz w:val="22"/>
            <w:szCs w:val="22"/>
          </w:rPr>
          <w:instrText xml:space="preserve"> PAGEREF _Toc160196933 \h </w:instrText>
        </w:r>
        <w:r w:rsidRPr="00512244">
          <w:rPr>
            <w:rFonts w:ascii="Times New Roman" w:hAnsi="Times New Roman" w:cs="Times New Roman"/>
            <w:noProof/>
            <w:webHidden/>
            <w:sz w:val="22"/>
            <w:szCs w:val="22"/>
          </w:rPr>
        </w:r>
        <w:r w:rsidRPr="00512244">
          <w:rPr>
            <w:rFonts w:ascii="Times New Roman" w:hAnsi="Times New Roman" w:cs="Times New Roman"/>
            <w:noProof/>
            <w:webHidden/>
            <w:sz w:val="22"/>
            <w:szCs w:val="22"/>
          </w:rPr>
          <w:fldChar w:fldCharType="separate"/>
        </w:r>
        <w:r w:rsidR="00C015DC">
          <w:rPr>
            <w:rFonts w:ascii="Times New Roman" w:hAnsi="Times New Roman" w:cs="Times New Roman"/>
            <w:noProof/>
            <w:webHidden/>
            <w:sz w:val="22"/>
            <w:szCs w:val="22"/>
          </w:rPr>
          <w:t>62</w:t>
        </w:r>
        <w:r w:rsidRPr="00512244">
          <w:rPr>
            <w:rFonts w:ascii="Times New Roman" w:hAnsi="Times New Roman" w:cs="Times New Roman"/>
            <w:noProof/>
            <w:webHidden/>
            <w:sz w:val="22"/>
            <w:szCs w:val="22"/>
          </w:rPr>
          <w:fldChar w:fldCharType="end"/>
        </w:r>
      </w:hyperlink>
    </w:p>
    <w:p w14:paraId="58D88363" w14:textId="517706EB" w:rsidR="00CF4F63" w:rsidRDefault="00CF4F63" w:rsidP="00CF4F63">
      <w:pPr>
        <w:rPr>
          <w:rFonts w:ascii="Times New Roman" w:eastAsia="Times New Roman" w:hAnsi="Times New Roman" w:cs="Times New Roman"/>
          <w:sz w:val="22"/>
          <w:szCs w:val="22"/>
        </w:rPr>
      </w:pPr>
      <w:r w:rsidRPr="00512244">
        <w:rPr>
          <w:rFonts w:ascii="Times New Roman" w:eastAsia="Times New Roman" w:hAnsi="Times New Roman" w:cs="Times New Roman"/>
          <w:sz w:val="22"/>
          <w:szCs w:val="22"/>
        </w:rPr>
        <w:fldChar w:fldCharType="end"/>
      </w:r>
    </w:p>
    <w:p w14:paraId="2850B35B" w14:textId="3AFD74D6" w:rsidR="00EC5879" w:rsidRDefault="00EC5879" w:rsidP="00CF4F63">
      <w:pPr>
        <w:rPr>
          <w:rFonts w:ascii="Times New Roman" w:eastAsia="Times New Roman" w:hAnsi="Times New Roman" w:cs="Times New Roman"/>
          <w:sz w:val="22"/>
          <w:szCs w:val="22"/>
        </w:rPr>
      </w:pPr>
    </w:p>
    <w:p w14:paraId="559CDFE5" w14:textId="77777777" w:rsidR="00AF7AEE" w:rsidRDefault="00AF7AEE" w:rsidP="00AF7AEE">
      <w:pPr>
        <w:rPr>
          <w:rFonts w:ascii="Times New Roman" w:eastAsia="Times New Roman" w:hAnsi="Times New Roman" w:cs="Times New Roman"/>
          <w:b/>
          <w:bCs/>
        </w:rPr>
        <w:sectPr w:rsidR="00AF7AEE" w:rsidSect="00EB0485">
          <w:headerReference w:type="default" r:id="rId12"/>
          <w:headerReference w:type="first" r:id="rId13"/>
          <w:footerReference w:type="first" r:id="rId14"/>
          <w:pgSz w:w="12240" w:h="15840" w:code="1"/>
          <w:pgMar w:top="1418" w:right="1701" w:bottom="1418" w:left="1701" w:header="709" w:footer="709" w:gutter="0"/>
          <w:pgNumType w:start="0"/>
          <w:cols w:space="708"/>
          <w:docGrid w:linePitch="360"/>
        </w:sectPr>
      </w:pPr>
    </w:p>
    <w:p w14:paraId="1CED7A16" w14:textId="05354B01" w:rsidR="001A4AC4" w:rsidRPr="001F7A6E" w:rsidRDefault="001A4AC4" w:rsidP="000656CC">
      <w:pPr>
        <w:pStyle w:val="Ttulo1"/>
        <w:spacing w:before="0"/>
        <w:contextualSpacing/>
        <w:jc w:val="center"/>
        <w:rPr>
          <w:rFonts w:ascii="Times New Roman" w:eastAsia="Times New Roman" w:hAnsi="Times New Roman"/>
          <w:b/>
          <w:bCs/>
          <w:color w:val="auto"/>
          <w:sz w:val="24"/>
          <w:szCs w:val="24"/>
        </w:rPr>
      </w:pPr>
      <w:bookmarkStart w:id="3" w:name="_Toc160196842"/>
      <w:r w:rsidRPr="001F7A6E">
        <w:rPr>
          <w:rFonts w:ascii="Times New Roman" w:eastAsia="Times New Roman" w:hAnsi="Times New Roman"/>
          <w:b/>
          <w:bCs/>
          <w:color w:val="auto"/>
          <w:sz w:val="24"/>
          <w:szCs w:val="24"/>
        </w:rPr>
        <w:lastRenderedPageBreak/>
        <w:t>Introducción</w:t>
      </w:r>
      <w:bookmarkEnd w:id="1"/>
      <w:bookmarkEnd w:id="3"/>
    </w:p>
    <w:p w14:paraId="5D714C72" w14:textId="77777777" w:rsidR="001A4AC4" w:rsidRPr="004A66F0" w:rsidRDefault="001A4AC4" w:rsidP="000656CC">
      <w:pPr>
        <w:contextualSpacing/>
        <w:rPr>
          <w:rFonts w:ascii="Arial" w:eastAsia="Times New Roman" w:hAnsi="Arial" w:cs="Arial"/>
          <w:sz w:val="22"/>
          <w:szCs w:val="22"/>
        </w:rPr>
      </w:pPr>
    </w:p>
    <w:p w14:paraId="517E1316" w14:textId="22451313" w:rsidR="009B3C00" w:rsidRPr="009B3C00" w:rsidRDefault="0092425F" w:rsidP="000656CC">
      <w:pPr>
        <w:jc w:val="both"/>
        <w:rPr>
          <w:rFonts w:ascii="Times New Roman" w:eastAsiaTheme="majorEastAsia" w:hAnsi="Times New Roman" w:cs="Times New Roman"/>
          <w:sz w:val="22"/>
          <w:szCs w:val="22"/>
        </w:rPr>
      </w:pPr>
      <w:r>
        <w:rPr>
          <w:rFonts w:ascii="Times New Roman" w:eastAsia="Times New Roman" w:hAnsi="Times New Roman" w:cs="Times New Roman"/>
          <w:sz w:val="22"/>
          <w:szCs w:val="22"/>
        </w:rPr>
        <w:t>Luego</w:t>
      </w:r>
      <w:r w:rsidR="009B3C00" w:rsidRPr="009B3C00">
        <w:rPr>
          <w:rFonts w:ascii="Times New Roman" w:eastAsiaTheme="majorEastAsia" w:hAnsi="Times New Roman" w:cs="Times New Roman"/>
          <w:sz w:val="22"/>
          <w:szCs w:val="22"/>
        </w:rPr>
        <w:t xml:space="preserve"> de la pandemia </w:t>
      </w:r>
      <w:r>
        <w:rPr>
          <w:rFonts w:ascii="Times New Roman" w:eastAsiaTheme="majorEastAsia" w:hAnsi="Times New Roman" w:cs="Times New Roman"/>
          <w:sz w:val="22"/>
          <w:szCs w:val="22"/>
        </w:rPr>
        <w:t xml:space="preserve">del </w:t>
      </w:r>
      <w:r w:rsidR="009B3C00" w:rsidRPr="009B3C00">
        <w:rPr>
          <w:rFonts w:ascii="Times New Roman" w:eastAsiaTheme="majorEastAsia" w:hAnsi="Times New Roman" w:cs="Times New Roman"/>
          <w:sz w:val="22"/>
          <w:szCs w:val="22"/>
        </w:rPr>
        <w:t>COVID-19</w:t>
      </w:r>
      <w:r w:rsidR="00FF3AB8">
        <w:rPr>
          <w:rFonts w:ascii="Times New Roman" w:eastAsiaTheme="majorEastAsia" w:hAnsi="Times New Roman" w:cs="Times New Roman"/>
          <w:sz w:val="22"/>
          <w:szCs w:val="22"/>
        </w:rPr>
        <w:t xml:space="preserve"> </w:t>
      </w:r>
      <w:r w:rsidR="009B3C00" w:rsidRPr="009B3C00">
        <w:rPr>
          <w:rFonts w:ascii="Times New Roman" w:eastAsiaTheme="majorEastAsia" w:hAnsi="Times New Roman" w:cs="Times New Roman"/>
          <w:sz w:val="22"/>
          <w:szCs w:val="22"/>
        </w:rPr>
        <w:t>y del conflicto bélico entre Rusia y Ucrania, la recuperación económica mundial ha sido lenta y desigual entre los países. En el</w:t>
      </w:r>
      <w:r w:rsidR="00E93115">
        <w:rPr>
          <w:rFonts w:ascii="Times New Roman" w:eastAsiaTheme="majorEastAsia" w:hAnsi="Times New Roman" w:cs="Times New Roman"/>
          <w:sz w:val="22"/>
          <w:szCs w:val="22"/>
        </w:rPr>
        <w:t xml:space="preserve"> año</w:t>
      </w:r>
      <w:r w:rsidR="009B3C00" w:rsidRPr="009B3C00">
        <w:rPr>
          <w:rFonts w:ascii="Times New Roman" w:eastAsiaTheme="majorEastAsia" w:hAnsi="Times New Roman" w:cs="Times New Roman"/>
          <w:sz w:val="22"/>
          <w:szCs w:val="22"/>
        </w:rPr>
        <w:t xml:space="preserve"> 2023 la economía mundial mostró resiliencia, siendo impulsada por la </w:t>
      </w:r>
      <w:r w:rsidR="009B3C00" w:rsidRPr="009B3C00">
        <w:rPr>
          <w:rFonts w:ascii="Times New Roman" w:eastAsia="Times New Roman" w:hAnsi="Times New Roman" w:cs="Times New Roman"/>
          <w:sz w:val="22"/>
          <w:szCs w:val="22"/>
        </w:rPr>
        <w:t>normalización</w:t>
      </w:r>
      <w:r w:rsidR="009B3C00" w:rsidRPr="009B3C00">
        <w:rPr>
          <w:rFonts w:ascii="Times New Roman" w:eastAsiaTheme="majorEastAsia" w:hAnsi="Times New Roman" w:cs="Times New Roman"/>
          <w:sz w:val="22"/>
          <w:szCs w:val="22"/>
        </w:rPr>
        <w:t xml:space="preserve"> de las economías </w:t>
      </w:r>
      <w:r w:rsidR="00B46A63">
        <w:rPr>
          <w:rFonts w:ascii="Times New Roman" w:eastAsiaTheme="majorEastAsia" w:hAnsi="Times New Roman" w:cs="Times New Roman"/>
          <w:sz w:val="22"/>
          <w:szCs w:val="22"/>
        </w:rPr>
        <w:t>y</w:t>
      </w:r>
      <w:r w:rsidR="009B3C00" w:rsidRPr="009B3C00">
        <w:rPr>
          <w:rFonts w:ascii="Times New Roman" w:eastAsiaTheme="majorEastAsia" w:hAnsi="Times New Roman" w:cs="Times New Roman"/>
          <w:sz w:val="22"/>
          <w:szCs w:val="22"/>
        </w:rPr>
        <w:t xml:space="preserve"> una inflación que empezó a disminuir en la mayoría de las economías. No obstante, existen factores que frenan la recuperación, entre l</w:t>
      </w:r>
      <w:r w:rsidR="00E73F44">
        <w:rPr>
          <w:rFonts w:ascii="Times New Roman" w:eastAsiaTheme="majorEastAsia" w:hAnsi="Times New Roman" w:cs="Times New Roman"/>
          <w:sz w:val="22"/>
          <w:szCs w:val="22"/>
        </w:rPr>
        <w:t>o</w:t>
      </w:r>
      <w:r w:rsidR="009B3C00" w:rsidRPr="009B3C00">
        <w:rPr>
          <w:rFonts w:ascii="Times New Roman" w:eastAsiaTheme="majorEastAsia" w:hAnsi="Times New Roman" w:cs="Times New Roman"/>
          <w:sz w:val="22"/>
          <w:szCs w:val="22"/>
        </w:rPr>
        <w:t xml:space="preserve">s cuales destacan las consecuencias estructurales negativas en las economías </w:t>
      </w:r>
      <w:r w:rsidR="00855899">
        <w:rPr>
          <w:rFonts w:ascii="Times New Roman" w:eastAsiaTheme="majorEastAsia" w:hAnsi="Times New Roman" w:cs="Times New Roman"/>
          <w:sz w:val="22"/>
          <w:szCs w:val="22"/>
        </w:rPr>
        <w:t>post</w:t>
      </w:r>
      <w:r w:rsidR="009B3C00" w:rsidRPr="009B3C00">
        <w:rPr>
          <w:rFonts w:ascii="Times New Roman" w:eastAsiaTheme="majorEastAsia" w:hAnsi="Times New Roman" w:cs="Times New Roman"/>
          <w:sz w:val="22"/>
          <w:szCs w:val="22"/>
        </w:rPr>
        <w:t xml:space="preserve"> pandemia, además de otros factores cíclicos, como el endurecimiento de la política monetaria</w:t>
      </w:r>
      <w:r w:rsidR="002E5F74">
        <w:rPr>
          <w:rFonts w:ascii="Times New Roman" w:eastAsiaTheme="majorEastAsia" w:hAnsi="Times New Roman" w:cs="Times New Roman"/>
          <w:sz w:val="22"/>
          <w:szCs w:val="22"/>
        </w:rPr>
        <w:t>, cambiaria y crediticia</w:t>
      </w:r>
      <w:r w:rsidR="009B3C00" w:rsidRPr="009B3C00">
        <w:rPr>
          <w:rFonts w:ascii="Times New Roman" w:eastAsiaTheme="majorEastAsia" w:hAnsi="Times New Roman" w:cs="Times New Roman"/>
          <w:sz w:val="22"/>
          <w:szCs w:val="22"/>
        </w:rPr>
        <w:t>, el retroceso del apoyo fiscal, alto endeudamiento, entre otros.</w:t>
      </w:r>
    </w:p>
    <w:p w14:paraId="210D656C" w14:textId="77777777" w:rsidR="001A4AC4" w:rsidRPr="004A66F0" w:rsidRDefault="001A4AC4" w:rsidP="000656CC">
      <w:pPr>
        <w:contextualSpacing/>
        <w:jc w:val="both"/>
        <w:rPr>
          <w:rFonts w:ascii="Times New Roman" w:eastAsiaTheme="majorEastAsia" w:hAnsi="Times New Roman" w:cs="Times New Roman"/>
          <w:bCs/>
          <w:sz w:val="22"/>
          <w:szCs w:val="22"/>
        </w:rPr>
      </w:pPr>
    </w:p>
    <w:p w14:paraId="5F808B89" w14:textId="1206FF5C" w:rsidR="004C4029" w:rsidRPr="004C4029" w:rsidRDefault="006C36BE" w:rsidP="000656CC">
      <w:pPr>
        <w:jc w:val="both"/>
        <w:rPr>
          <w:rFonts w:ascii="Times New Roman" w:eastAsia="Times New Roman" w:hAnsi="Times New Roman" w:cs="Times New Roman"/>
          <w:sz w:val="22"/>
          <w:szCs w:val="22"/>
        </w:rPr>
      </w:pPr>
      <w:r w:rsidRPr="004C4029">
        <w:rPr>
          <w:rFonts w:ascii="Times New Roman" w:eastAsia="Times New Roman" w:hAnsi="Times New Roman" w:cs="Times New Roman"/>
          <w:sz w:val="22"/>
          <w:szCs w:val="22"/>
        </w:rPr>
        <w:t xml:space="preserve">De esa cuenta, el Fondo Monetario Internacional -FMI- estima que el crecimiento mundial de 2023 cierre en 3.0%, mostrando una desaceleración con respecto </w:t>
      </w:r>
      <w:r w:rsidR="00932170">
        <w:rPr>
          <w:rFonts w:ascii="Times New Roman" w:eastAsia="Times New Roman" w:hAnsi="Times New Roman" w:cs="Times New Roman"/>
          <w:sz w:val="22"/>
          <w:szCs w:val="22"/>
        </w:rPr>
        <w:t>a</w:t>
      </w:r>
      <w:r w:rsidRPr="004C4029">
        <w:rPr>
          <w:rFonts w:ascii="Times New Roman" w:eastAsia="Times New Roman" w:hAnsi="Times New Roman" w:cs="Times New Roman"/>
          <w:sz w:val="22"/>
          <w:szCs w:val="22"/>
        </w:rPr>
        <w:t>l crecimiento del año anterior de 0.5 puntos porcentuales.  Las economías avanzadas han sido la principal razón de la ralentización del crecimiento mundial</w:t>
      </w:r>
      <w:r w:rsidR="00C51E25">
        <w:rPr>
          <w:rFonts w:ascii="Times New Roman" w:eastAsia="Times New Roman" w:hAnsi="Times New Roman" w:cs="Times New Roman"/>
          <w:sz w:val="22"/>
          <w:szCs w:val="22"/>
        </w:rPr>
        <w:t>,</w:t>
      </w:r>
      <w:r w:rsidR="006F3E7A" w:rsidRPr="004C4029">
        <w:rPr>
          <w:rFonts w:ascii="Times New Roman" w:eastAsia="Times New Roman" w:hAnsi="Times New Roman" w:cs="Times New Roman"/>
          <w:sz w:val="22"/>
          <w:szCs w:val="22"/>
        </w:rPr>
        <w:t xml:space="preserve"> principalmente por </w:t>
      </w:r>
      <w:r w:rsidR="004C4029" w:rsidRPr="004C4029">
        <w:rPr>
          <w:rFonts w:ascii="Times New Roman" w:eastAsia="Times New Roman" w:hAnsi="Times New Roman" w:cs="Times New Roman"/>
          <w:sz w:val="22"/>
          <w:szCs w:val="22"/>
        </w:rPr>
        <w:t>el débil desempeño</w:t>
      </w:r>
      <w:r w:rsidR="006F3E7A" w:rsidRPr="004C4029">
        <w:rPr>
          <w:rFonts w:ascii="Times New Roman" w:eastAsia="Times New Roman" w:hAnsi="Times New Roman" w:cs="Times New Roman"/>
          <w:sz w:val="22"/>
          <w:szCs w:val="22"/>
        </w:rPr>
        <w:t xml:space="preserve"> del sector manufacturero</w:t>
      </w:r>
      <w:r w:rsidR="003F3F73">
        <w:rPr>
          <w:rFonts w:ascii="Times New Roman" w:eastAsia="Times New Roman" w:hAnsi="Times New Roman" w:cs="Times New Roman"/>
          <w:sz w:val="22"/>
          <w:szCs w:val="22"/>
        </w:rPr>
        <w:t>.</w:t>
      </w:r>
      <w:r w:rsidR="004C4029" w:rsidRPr="004C4029">
        <w:rPr>
          <w:rFonts w:ascii="Times New Roman" w:eastAsia="Times New Roman" w:hAnsi="Times New Roman" w:cs="Times New Roman"/>
          <w:sz w:val="22"/>
          <w:szCs w:val="22"/>
        </w:rPr>
        <w:t xml:space="preserve"> Por su parte</w:t>
      </w:r>
      <w:r w:rsidR="00137CD0">
        <w:rPr>
          <w:rFonts w:ascii="Times New Roman" w:eastAsia="Times New Roman" w:hAnsi="Times New Roman" w:cs="Times New Roman"/>
          <w:sz w:val="22"/>
          <w:szCs w:val="22"/>
        </w:rPr>
        <w:t>,</w:t>
      </w:r>
      <w:r w:rsidR="004C4029" w:rsidRPr="004C4029">
        <w:rPr>
          <w:rFonts w:ascii="Times New Roman" w:eastAsia="Times New Roman" w:hAnsi="Times New Roman" w:cs="Times New Roman"/>
          <w:sz w:val="22"/>
          <w:szCs w:val="22"/>
        </w:rPr>
        <w:t xml:space="preserve"> para las economías emergentes y en desarrollo se espera un crecimiento de 4.0% con divergencias regionales en el mismo.</w:t>
      </w:r>
    </w:p>
    <w:p w14:paraId="6388D352" w14:textId="6175E8D9" w:rsidR="006C36BE" w:rsidRPr="00DF5606" w:rsidRDefault="006C36BE" w:rsidP="000656CC">
      <w:pPr>
        <w:contextualSpacing/>
        <w:jc w:val="both"/>
        <w:rPr>
          <w:rFonts w:ascii="Times New Roman" w:eastAsiaTheme="majorEastAsia" w:hAnsi="Times New Roman" w:cs="Times New Roman"/>
          <w:sz w:val="22"/>
          <w:szCs w:val="22"/>
        </w:rPr>
      </w:pPr>
    </w:p>
    <w:p w14:paraId="7086BBF1" w14:textId="79DF3531" w:rsidR="001A4AC4" w:rsidRDefault="002037C1" w:rsidP="000656CC">
      <w:pPr>
        <w:contextualSpacing/>
        <w:jc w:val="both"/>
        <w:rPr>
          <w:rFonts w:ascii="Times New Roman" w:eastAsia="Times New Roman" w:hAnsi="Times New Roman" w:cs="Times New Roman"/>
          <w:noProof/>
          <w:sz w:val="22"/>
          <w:szCs w:val="22"/>
          <w:lang w:eastAsia="es-GT"/>
        </w:rPr>
      </w:pPr>
      <w:r>
        <w:rPr>
          <w:rFonts w:ascii="Times New Roman" w:eastAsiaTheme="majorEastAsia" w:hAnsi="Times New Roman" w:cs="Times New Roman"/>
          <w:bCs/>
          <w:sz w:val="22"/>
          <w:szCs w:val="22"/>
        </w:rPr>
        <w:t>En el escenario interno, e</w:t>
      </w:r>
      <w:r w:rsidR="003A7E93" w:rsidRPr="003A7E93">
        <w:rPr>
          <w:rFonts w:ascii="Times New Roman" w:eastAsiaTheme="majorEastAsia" w:hAnsi="Times New Roman" w:cs="Times New Roman"/>
          <w:bCs/>
          <w:sz w:val="22"/>
          <w:szCs w:val="22"/>
        </w:rPr>
        <w:t xml:space="preserve">l Banco de Guatemala prevé que el crecimiento económico cerrará en 3.5% en 2023, cercano al potencial. La actividad económica mostró </w:t>
      </w:r>
      <w:r w:rsidR="00EE6EA9" w:rsidRPr="003A7E93">
        <w:rPr>
          <w:rFonts w:ascii="Times New Roman" w:eastAsiaTheme="majorEastAsia" w:hAnsi="Times New Roman" w:cs="Times New Roman"/>
          <w:bCs/>
          <w:sz w:val="22"/>
          <w:szCs w:val="22"/>
        </w:rPr>
        <w:t>resiliencia</w:t>
      </w:r>
      <w:r w:rsidR="003A7E93" w:rsidRPr="003A7E93">
        <w:rPr>
          <w:rFonts w:ascii="Times New Roman" w:eastAsiaTheme="majorEastAsia" w:hAnsi="Times New Roman" w:cs="Times New Roman"/>
          <w:bCs/>
          <w:sz w:val="22"/>
          <w:szCs w:val="22"/>
        </w:rPr>
        <w:t xml:space="preserve"> ante los choques de origen externos e internos, relacionados al complicado entorno nacional, que destacó por la baja de la demanda externa y tensiones geopolítica</w:t>
      </w:r>
      <w:r>
        <w:rPr>
          <w:rFonts w:ascii="Times New Roman" w:eastAsiaTheme="majorEastAsia" w:hAnsi="Times New Roman" w:cs="Times New Roman"/>
          <w:bCs/>
          <w:sz w:val="22"/>
          <w:szCs w:val="22"/>
        </w:rPr>
        <w:t>s</w:t>
      </w:r>
      <w:r w:rsidR="003A7E93" w:rsidRPr="003A7E93">
        <w:rPr>
          <w:rFonts w:ascii="Times New Roman" w:eastAsiaTheme="majorEastAsia" w:hAnsi="Times New Roman" w:cs="Times New Roman"/>
          <w:bCs/>
          <w:sz w:val="22"/>
          <w:szCs w:val="22"/>
        </w:rPr>
        <w:t>, además de la incertidumbre política a nivel nacional.</w:t>
      </w:r>
      <w:r w:rsidR="005C2DD3">
        <w:rPr>
          <w:rFonts w:ascii="Times New Roman" w:eastAsiaTheme="majorEastAsia" w:hAnsi="Times New Roman" w:cs="Times New Roman"/>
          <w:bCs/>
          <w:sz w:val="22"/>
          <w:szCs w:val="22"/>
        </w:rPr>
        <w:t xml:space="preserve">  Por su parte, e</w:t>
      </w:r>
      <w:r w:rsidR="005C2DD3" w:rsidRPr="00C110F2">
        <w:rPr>
          <w:rFonts w:ascii="Times New Roman" w:eastAsia="Times New Roman" w:hAnsi="Times New Roman" w:cs="Times New Roman"/>
          <w:noProof/>
          <w:sz w:val="22"/>
          <w:szCs w:val="22"/>
          <w:lang w:eastAsia="es-GT"/>
        </w:rPr>
        <w:t>l ritmo inflacionar</w:t>
      </w:r>
      <w:r w:rsidR="003F3F73">
        <w:rPr>
          <w:rFonts w:ascii="Times New Roman" w:eastAsia="Times New Roman" w:hAnsi="Times New Roman" w:cs="Times New Roman"/>
          <w:noProof/>
          <w:sz w:val="22"/>
          <w:szCs w:val="22"/>
          <w:lang w:eastAsia="es-GT"/>
        </w:rPr>
        <w:t>i</w:t>
      </w:r>
      <w:r w:rsidR="005C2DD3" w:rsidRPr="00C110F2">
        <w:rPr>
          <w:rFonts w:ascii="Times New Roman" w:eastAsia="Times New Roman" w:hAnsi="Times New Roman" w:cs="Times New Roman"/>
          <w:noProof/>
          <w:sz w:val="22"/>
          <w:szCs w:val="22"/>
          <w:lang w:eastAsia="es-GT"/>
        </w:rPr>
        <w:t xml:space="preserve">o en Guatemala registró a diciembre de 2023 un incremento interanual de 4.2%, menor en 5.1 puntos porcentuales a la reportada </w:t>
      </w:r>
      <w:r w:rsidR="0092425F">
        <w:rPr>
          <w:rFonts w:ascii="Times New Roman" w:eastAsia="Times New Roman" w:hAnsi="Times New Roman" w:cs="Times New Roman"/>
          <w:noProof/>
          <w:sz w:val="22"/>
          <w:szCs w:val="22"/>
          <w:lang w:eastAsia="es-GT"/>
        </w:rPr>
        <w:t xml:space="preserve"> al</w:t>
      </w:r>
      <w:r w:rsidR="005C2DD3" w:rsidRPr="00C110F2">
        <w:rPr>
          <w:rFonts w:ascii="Times New Roman" w:eastAsia="Times New Roman" w:hAnsi="Times New Roman" w:cs="Times New Roman"/>
          <w:noProof/>
          <w:sz w:val="22"/>
          <w:szCs w:val="22"/>
          <w:lang w:eastAsia="es-GT"/>
        </w:rPr>
        <w:t xml:space="preserve"> mismo mes del año anterior. La inflación regres</w:t>
      </w:r>
      <w:r w:rsidR="005C2DD3">
        <w:rPr>
          <w:rFonts w:ascii="Times New Roman" w:eastAsia="Times New Roman" w:hAnsi="Times New Roman" w:cs="Times New Roman"/>
          <w:noProof/>
          <w:sz w:val="22"/>
          <w:szCs w:val="22"/>
          <w:lang w:eastAsia="es-GT"/>
        </w:rPr>
        <w:t>ó</w:t>
      </w:r>
      <w:r w:rsidR="005C2DD3" w:rsidRPr="00C110F2">
        <w:rPr>
          <w:rFonts w:ascii="Times New Roman" w:eastAsia="Times New Roman" w:hAnsi="Times New Roman" w:cs="Times New Roman"/>
          <w:noProof/>
          <w:sz w:val="22"/>
          <w:szCs w:val="22"/>
          <w:lang w:eastAsia="es-GT"/>
        </w:rPr>
        <w:t xml:space="preserve"> a la meta desde mediados de año, seis meses antes de lo que se tenía previsto</w:t>
      </w:r>
      <w:r w:rsidR="00CC4171">
        <w:rPr>
          <w:rFonts w:ascii="Times New Roman" w:eastAsia="Times New Roman" w:hAnsi="Times New Roman" w:cs="Times New Roman"/>
          <w:noProof/>
          <w:sz w:val="22"/>
          <w:szCs w:val="22"/>
          <w:lang w:eastAsia="es-GT"/>
        </w:rPr>
        <w:t>.</w:t>
      </w:r>
    </w:p>
    <w:p w14:paraId="3683F1F1" w14:textId="77777777" w:rsidR="009466D9" w:rsidRDefault="009466D9" w:rsidP="000656CC">
      <w:pPr>
        <w:contextualSpacing/>
        <w:jc w:val="both"/>
        <w:rPr>
          <w:rFonts w:ascii="Times New Roman" w:eastAsia="Times New Roman" w:hAnsi="Times New Roman" w:cs="Times New Roman"/>
          <w:noProof/>
          <w:sz w:val="22"/>
          <w:szCs w:val="22"/>
          <w:lang w:eastAsia="es-GT"/>
        </w:rPr>
      </w:pPr>
    </w:p>
    <w:p w14:paraId="471D361A" w14:textId="6433ED32" w:rsidR="009466D9" w:rsidRDefault="009466D9" w:rsidP="000656CC">
      <w:pPr>
        <w:contextualSpacing/>
        <w:jc w:val="both"/>
        <w:rPr>
          <w:rFonts w:ascii="Times New Roman" w:eastAsiaTheme="majorEastAsia" w:hAnsi="Times New Roman" w:cs="Times New Roman"/>
          <w:bCs/>
          <w:sz w:val="22"/>
          <w:szCs w:val="22"/>
        </w:rPr>
      </w:pPr>
      <w:r>
        <w:rPr>
          <w:rFonts w:ascii="Times New Roman" w:eastAsia="Times New Roman" w:hAnsi="Times New Roman" w:cs="Times New Roman"/>
          <w:noProof/>
          <w:sz w:val="22"/>
          <w:szCs w:val="22"/>
          <w:lang w:eastAsia="es-GT"/>
        </w:rPr>
        <w:t>En cuanto al comercio exterior</w:t>
      </w:r>
      <w:r w:rsidR="00C51E25">
        <w:rPr>
          <w:rFonts w:ascii="Times New Roman" w:eastAsia="Times New Roman" w:hAnsi="Times New Roman" w:cs="Times New Roman"/>
          <w:noProof/>
          <w:sz w:val="22"/>
          <w:szCs w:val="22"/>
          <w:lang w:eastAsia="es-GT"/>
        </w:rPr>
        <w:t>,</w:t>
      </w:r>
      <w:r>
        <w:rPr>
          <w:rFonts w:ascii="Times New Roman" w:eastAsia="Times New Roman" w:hAnsi="Times New Roman" w:cs="Times New Roman"/>
          <w:noProof/>
          <w:sz w:val="22"/>
          <w:szCs w:val="22"/>
          <w:lang w:eastAsia="es-GT"/>
        </w:rPr>
        <w:t xml:space="preserve"> este mostr</w:t>
      </w:r>
      <w:r w:rsidR="00A54787">
        <w:rPr>
          <w:rFonts w:ascii="Times New Roman" w:eastAsia="Times New Roman" w:hAnsi="Times New Roman" w:cs="Times New Roman"/>
          <w:noProof/>
          <w:sz w:val="22"/>
          <w:szCs w:val="22"/>
          <w:lang w:eastAsia="es-GT"/>
        </w:rPr>
        <w:t>ó</w:t>
      </w:r>
      <w:r>
        <w:rPr>
          <w:rFonts w:ascii="Times New Roman" w:eastAsia="Times New Roman" w:hAnsi="Times New Roman" w:cs="Times New Roman"/>
          <w:noProof/>
          <w:sz w:val="22"/>
          <w:szCs w:val="22"/>
          <w:lang w:eastAsia="es-GT"/>
        </w:rPr>
        <w:t xml:space="preserve"> una fuerte contracción </w:t>
      </w:r>
      <w:r w:rsidR="00815663">
        <w:rPr>
          <w:rFonts w:ascii="Times New Roman" w:eastAsia="Times New Roman" w:hAnsi="Times New Roman" w:cs="Times New Roman"/>
          <w:noProof/>
          <w:sz w:val="22"/>
          <w:szCs w:val="22"/>
          <w:lang w:eastAsia="es-GT"/>
        </w:rPr>
        <w:t>en las importaciones y exportaciones</w:t>
      </w:r>
      <w:r w:rsidR="00C51E25">
        <w:rPr>
          <w:rFonts w:ascii="Times New Roman" w:eastAsia="Times New Roman" w:hAnsi="Times New Roman" w:cs="Times New Roman"/>
          <w:noProof/>
          <w:sz w:val="22"/>
          <w:szCs w:val="22"/>
          <w:lang w:eastAsia="es-GT"/>
        </w:rPr>
        <w:t>.</w:t>
      </w:r>
      <w:r w:rsidR="00A2345B">
        <w:rPr>
          <w:rFonts w:ascii="Times New Roman" w:eastAsia="Times New Roman" w:hAnsi="Times New Roman" w:cs="Times New Roman"/>
          <w:noProof/>
          <w:sz w:val="22"/>
          <w:szCs w:val="22"/>
          <w:lang w:eastAsia="es-GT"/>
        </w:rPr>
        <w:t xml:space="preserve"> </w:t>
      </w:r>
      <w:r w:rsidR="00C51E25">
        <w:rPr>
          <w:rFonts w:ascii="Times New Roman" w:eastAsia="Times New Roman" w:hAnsi="Times New Roman" w:cs="Times New Roman"/>
          <w:noProof/>
          <w:sz w:val="22"/>
          <w:szCs w:val="22"/>
          <w:lang w:eastAsia="es-GT"/>
        </w:rPr>
        <w:t>E</w:t>
      </w:r>
      <w:r w:rsidR="00A2345B">
        <w:rPr>
          <w:rFonts w:ascii="Times New Roman" w:eastAsia="Times New Roman" w:hAnsi="Times New Roman" w:cs="Times New Roman"/>
          <w:noProof/>
          <w:sz w:val="22"/>
          <w:szCs w:val="22"/>
          <w:lang w:eastAsia="es-GT"/>
        </w:rPr>
        <w:t xml:space="preserve">n el caso de las exportaciones hubo </w:t>
      </w:r>
      <w:r w:rsidR="00A54787">
        <w:rPr>
          <w:rFonts w:ascii="Times New Roman" w:eastAsia="Times New Roman" w:hAnsi="Times New Roman" w:cs="Times New Roman"/>
          <w:noProof/>
          <w:sz w:val="22"/>
          <w:szCs w:val="22"/>
          <w:lang w:eastAsia="es-GT"/>
        </w:rPr>
        <w:t xml:space="preserve">reducción </w:t>
      </w:r>
      <w:r w:rsidR="00A2345B">
        <w:rPr>
          <w:rFonts w:ascii="Times New Roman" w:eastAsia="Times New Roman" w:hAnsi="Times New Roman" w:cs="Times New Roman"/>
          <w:noProof/>
          <w:sz w:val="22"/>
          <w:szCs w:val="22"/>
          <w:lang w:eastAsia="es-GT"/>
        </w:rPr>
        <w:t>tanto de la demanda de bienes como del precio medio de los bienes exportados</w:t>
      </w:r>
      <w:r w:rsidR="00C51E25">
        <w:rPr>
          <w:rFonts w:ascii="Times New Roman" w:eastAsia="Times New Roman" w:hAnsi="Times New Roman" w:cs="Times New Roman"/>
          <w:noProof/>
          <w:sz w:val="22"/>
          <w:szCs w:val="22"/>
          <w:lang w:eastAsia="es-GT"/>
        </w:rPr>
        <w:t>;</w:t>
      </w:r>
      <w:r w:rsidR="00A2345B">
        <w:rPr>
          <w:rFonts w:ascii="Times New Roman" w:eastAsia="Times New Roman" w:hAnsi="Times New Roman" w:cs="Times New Roman"/>
          <w:noProof/>
          <w:sz w:val="22"/>
          <w:szCs w:val="22"/>
          <w:lang w:eastAsia="es-GT"/>
        </w:rPr>
        <w:t xml:space="preserve"> en el caso de las importaciones </w:t>
      </w:r>
      <w:r w:rsidR="003B3555">
        <w:rPr>
          <w:rFonts w:ascii="Times New Roman" w:eastAsia="Times New Roman" w:hAnsi="Times New Roman" w:cs="Times New Roman"/>
          <w:noProof/>
          <w:sz w:val="22"/>
          <w:szCs w:val="22"/>
          <w:lang w:eastAsia="es-GT"/>
        </w:rPr>
        <w:t>aumentó levemente el volumen de importaciones pero el precio medio de las importaciones dismin</w:t>
      </w:r>
      <w:r w:rsidR="003F3F73">
        <w:rPr>
          <w:rFonts w:ascii="Times New Roman" w:eastAsia="Times New Roman" w:hAnsi="Times New Roman" w:cs="Times New Roman"/>
          <w:noProof/>
          <w:sz w:val="22"/>
          <w:szCs w:val="22"/>
          <w:lang w:eastAsia="es-GT"/>
        </w:rPr>
        <w:t>u</w:t>
      </w:r>
      <w:r w:rsidR="003B3555">
        <w:rPr>
          <w:rFonts w:ascii="Times New Roman" w:eastAsia="Times New Roman" w:hAnsi="Times New Roman" w:cs="Times New Roman"/>
          <w:noProof/>
          <w:sz w:val="22"/>
          <w:szCs w:val="22"/>
          <w:lang w:eastAsia="es-GT"/>
        </w:rPr>
        <w:t>y</w:t>
      </w:r>
      <w:r w:rsidR="00AB70FC">
        <w:rPr>
          <w:rFonts w:ascii="Times New Roman" w:eastAsia="Times New Roman" w:hAnsi="Times New Roman" w:cs="Times New Roman"/>
          <w:noProof/>
          <w:sz w:val="22"/>
          <w:szCs w:val="22"/>
          <w:lang w:eastAsia="es-GT"/>
        </w:rPr>
        <w:t>ó</w:t>
      </w:r>
      <w:r w:rsidR="003B3555">
        <w:rPr>
          <w:rFonts w:ascii="Times New Roman" w:eastAsia="Times New Roman" w:hAnsi="Times New Roman" w:cs="Times New Roman"/>
          <w:noProof/>
          <w:sz w:val="22"/>
          <w:szCs w:val="22"/>
          <w:lang w:eastAsia="es-GT"/>
        </w:rPr>
        <w:t xml:space="preserve"> fuertemente</w:t>
      </w:r>
      <w:r w:rsidR="00C51E25">
        <w:rPr>
          <w:rFonts w:ascii="Times New Roman" w:eastAsia="Times New Roman" w:hAnsi="Times New Roman" w:cs="Times New Roman"/>
          <w:noProof/>
          <w:sz w:val="22"/>
          <w:szCs w:val="22"/>
          <w:lang w:eastAsia="es-GT"/>
        </w:rPr>
        <w:t>,</w:t>
      </w:r>
      <w:r w:rsidR="003B3555">
        <w:rPr>
          <w:rFonts w:ascii="Times New Roman" w:eastAsia="Times New Roman" w:hAnsi="Times New Roman" w:cs="Times New Roman"/>
          <w:noProof/>
          <w:sz w:val="22"/>
          <w:szCs w:val="22"/>
          <w:lang w:eastAsia="es-GT"/>
        </w:rPr>
        <w:t xml:space="preserve"> asociado principalmente </w:t>
      </w:r>
      <w:r w:rsidR="006A31C4">
        <w:rPr>
          <w:rFonts w:ascii="Times New Roman" w:eastAsia="Times New Roman" w:hAnsi="Times New Roman" w:cs="Times New Roman"/>
          <w:noProof/>
          <w:sz w:val="22"/>
          <w:szCs w:val="22"/>
          <w:lang w:eastAsia="es-GT"/>
        </w:rPr>
        <w:t>a las materias primas</w:t>
      </w:r>
      <w:r w:rsidR="00EB01B5">
        <w:rPr>
          <w:rFonts w:ascii="Times New Roman" w:eastAsia="Times New Roman" w:hAnsi="Times New Roman" w:cs="Times New Roman"/>
          <w:noProof/>
          <w:sz w:val="22"/>
          <w:szCs w:val="22"/>
          <w:lang w:eastAsia="es-GT"/>
        </w:rPr>
        <w:t xml:space="preserve"> y productos intermedios</w:t>
      </w:r>
      <w:r w:rsidR="006A31C4">
        <w:rPr>
          <w:rFonts w:ascii="Times New Roman" w:eastAsia="Times New Roman" w:hAnsi="Times New Roman" w:cs="Times New Roman"/>
          <w:noProof/>
          <w:sz w:val="22"/>
          <w:szCs w:val="22"/>
          <w:lang w:eastAsia="es-GT"/>
        </w:rPr>
        <w:t xml:space="preserve"> destacando en este caso </w:t>
      </w:r>
      <w:r w:rsidR="002B0610">
        <w:rPr>
          <w:rFonts w:ascii="Times New Roman" w:eastAsia="Times New Roman" w:hAnsi="Times New Roman" w:cs="Times New Roman"/>
          <w:noProof/>
          <w:sz w:val="22"/>
          <w:szCs w:val="22"/>
          <w:lang w:eastAsia="es-GT"/>
        </w:rPr>
        <w:t xml:space="preserve">los </w:t>
      </w:r>
      <w:r w:rsidR="006A31C4">
        <w:rPr>
          <w:rFonts w:ascii="Times New Roman" w:eastAsia="Times New Roman" w:hAnsi="Times New Roman" w:cs="Times New Roman"/>
          <w:noProof/>
          <w:sz w:val="22"/>
          <w:szCs w:val="22"/>
          <w:lang w:eastAsia="es-GT"/>
        </w:rPr>
        <w:t>combustibles</w:t>
      </w:r>
      <w:r w:rsidR="002B0610">
        <w:rPr>
          <w:rFonts w:ascii="Times New Roman" w:eastAsia="Times New Roman" w:hAnsi="Times New Roman" w:cs="Times New Roman"/>
          <w:noProof/>
          <w:sz w:val="22"/>
          <w:szCs w:val="22"/>
          <w:lang w:eastAsia="es-GT"/>
        </w:rPr>
        <w:t>, entre otros</w:t>
      </w:r>
      <w:r w:rsidR="006A31C4">
        <w:rPr>
          <w:rFonts w:ascii="Times New Roman" w:eastAsia="Times New Roman" w:hAnsi="Times New Roman" w:cs="Times New Roman"/>
          <w:noProof/>
          <w:sz w:val="22"/>
          <w:szCs w:val="22"/>
          <w:lang w:eastAsia="es-GT"/>
        </w:rPr>
        <w:t>.</w:t>
      </w:r>
      <w:r w:rsidR="00A54787">
        <w:rPr>
          <w:rFonts w:ascii="Times New Roman" w:eastAsia="Times New Roman" w:hAnsi="Times New Roman" w:cs="Times New Roman"/>
          <w:noProof/>
          <w:sz w:val="22"/>
          <w:szCs w:val="22"/>
          <w:lang w:eastAsia="es-GT"/>
        </w:rPr>
        <w:t xml:space="preserve"> </w:t>
      </w:r>
    </w:p>
    <w:p w14:paraId="16785129" w14:textId="77777777" w:rsidR="003A7E93" w:rsidRPr="004A66F0" w:rsidRDefault="003A7E93" w:rsidP="000656CC">
      <w:pPr>
        <w:contextualSpacing/>
        <w:jc w:val="both"/>
        <w:rPr>
          <w:rFonts w:ascii="Times New Roman" w:eastAsiaTheme="majorEastAsia" w:hAnsi="Times New Roman" w:cs="Times New Roman"/>
          <w:bCs/>
          <w:sz w:val="22"/>
          <w:szCs w:val="22"/>
        </w:rPr>
      </w:pPr>
    </w:p>
    <w:p w14:paraId="7BE4FE5D" w14:textId="5F09FB68" w:rsidR="001A4AC4" w:rsidRPr="004A66F0" w:rsidRDefault="001A4AC4" w:rsidP="000656CC">
      <w:pPr>
        <w:contextualSpacing/>
        <w:jc w:val="both"/>
        <w:rPr>
          <w:rFonts w:ascii="Times New Roman" w:eastAsiaTheme="majorEastAsia" w:hAnsi="Times New Roman" w:cs="Times New Roman"/>
          <w:bCs/>
          <w:sz w:val="22"/>
          <w:szCs w:val="22"/>
        </w:rPr>
      </w:pPr>
      <w:bookmarkStart w:id="4" w:name="_Hlk125366807"/>
      <w:r w:rsidRPr="004A66F0">
        <w:rPr>
          <w:rFonts w:ascii="Times New Roman" w:eastAsiaTheme="majorEastAsia" w:hAnsi="Times New Roman" w:cs="Times New Roman"/>
          <w:bCs/>
          <w:sz w:val="22"/>
          <w:szCs w:val="22"/>
        </w:rPr>
        <w:t xml:space="preserve">Cabe </w:t>
      </w:r>
      <w:r w:rsidR="0092425F">
        <w:rPr>
          <w:rFonts w:ascii="Times New Roman" w:eastAsiaTheme="majorEastAsia" w:hAnsi="Times New Roman" w:cs="Times New Roman"/>
          <w:bCs/>
          <w:sz w:val="22"/>
          <w:szCs w:val="22"/>
        </w:rPr>
        <w:t>indicar que</w:t>
      </w:r>
      <w:r w:rsidR="0092425F" w:rsidRPr="004A66F0">
        <w:rPr>
          <w:rFonts w:ascii="Times New Roman" w:eastAsiaTheme="majorEastAsia" w:hAnsi="Times New Roman" w:cs="Times New Roman"/>
          <w:bCs/>
          <w:sz w:val="22"/>
          <w:szCs w:val="22"/>
        </w:rPr>
        <w:t xml:space="preserve"> </w:t>
      </w:r>
      <w:r w:rsidRPr="004A66F0">
        <w:rPr>
          <w:rFonts w:ascii="Times New Roman" w:eastAsiaTheme="majorEastAsia" w:hAnsi="Times New Roman" w:cs="Times New Roman"/>
          <w:bCs/>
          <w:sz w:val="22"/>
          <w:szCs w:val="22"/>
        </w:rPr>
        <w:t xml:space="preserve">la gestión de las finanzas públicas continúa </w:t>
      </w:r>
      <w:r w:rsidR="002B0610">
        <w:rPr>
          <w:rFonts w:ascii="Times New Roman" w:eastAsiaTheme="majorEastAsia" w:hAnsi="Times New Roman" w:cs="Times New Roman"/>
          <w:bCs/>
          <w:sz w:val="22"/>
          <w:szCs w:val="22"/>
        </w:rPr>
        <w:t>resaltando</w:t>
      </w:r>
      <w:r w:rsidRPr="004A66F0">
        <w:rPr>
          <w:rFonts w:ascii="Times New Roman" w:eastAsiaTheme="majorEastAsia" w:hAnsi="Times New Roman" w:cs="Times New Roman"/>
          <w:bCs/>
          <w:sz w:val="22"/>
          <w:szCs w:val="22"/>
        </w:rPr>
        <w:t xml:space="preserve"> </w:t>
      </w:r>
      <w:r w:rsidR="004968C3">
        <w:rPr>
          <w:rFonts w:ascii="Times New Roman" w:eastAsiaTheme="majorEastAsia" w:hAnsi="Times New Roman" w:cs="Times New Roman"/>
          <w:bCs/>
          <w:sz w:val="22"/>
          <w:szCs w:val="22"/>
        </w:rPr>
        <w:t>su</w:t>
      </w:r>
      <w:r w:rsidRPr="004A66F0">
        <w:rPr>
          <w:rFonts w:ascii="Times New Roman" w:eastAsiaTheme="majorEastAsia" w:hAnsi="Times New Roman" w:cs="Times New Roman"/>
          <w:bCs/>
          <w:sz w:val="22"/>
          <w:szCs w:val="22"/>
        </w:rPr>
        <w:t xml:space="preserve"> manejo prudente y el fortalecimiento de la sostenibilidad de la deuda a mediano y largo plazo. Tanto el Fondo Monetario Internacional como las calificadoras de riesgo han afirmado que Guatemala muestra buena prudencia financiera y se encuentra en situación manejable y consistente con estabilidad macroeconómica.</w:t>
      </w:r>
      <w:r w:rsidR="00824472">
        <w:rPr>
          <w:rFonts w:ascii="Times New Roman" w:eastAsiaTheme="majorEastAsia" w:hAnsi="Times New Roman" w:cs="Times New Roman"/>
          <w:bCs/>
          <w:sz w:val="22"/>
          <w:szCs w:val="22"/>
        </w:rPr>
        <w:t xml:space="preserve">  De esa cuenta, </w:t>
      </w:r>
      <w:r w:rsidR="005E5D25">
        <w:rPr>
          <w:rFonts w:ascii="Times New Roman" w:eastAsiaTheme="majorEastAsia" w:hAnsi="Times New Roman" w:cs="Times New Roman"/>
          <w:bCs/>
          <w:sz w:val="22"/>
          <w:szCs w:val="22"/>
        </w:rPr>
        <w:t xml:space="preserve">2 de las 3 </w:t>
      </w:r>
      <w:r w:rsidR="00824472">
        <w:rPr>
          <w:rFonts w:ascii="Times New Roman" w:eastAsiaTheme="majorEastAsia" w:hAnsi="Times New Roman" w:cs="Times New Roman"/>
          <w:bCs/>
          <w:sz w:val="22"/>
          <w:szCs w:val="22"/>
        </w:rPr>
        <w:t>a</w:t>
      </w:r>
      <w:r w:rsidR="005E5D25">
        <w:rPr>
          <w:rFonts w:ascii="Times New Roman" w:eastAsiaTheme="majorEastAsia" w:hAnsi="Times New Roman" w:cs="Times New Roman"/>
          <w:bCs/>
          <w:sz w:val="22"/>
          <w:szCs w:val="22"/>
        </w:rPr>
        <w:t>ge</w:t>
      </w:r>
      <w:r w:rsidR="00824472">
        <w:rPr>
          <w:rFonts w:ascii="Times New Roman" w:eastAsiaTheme="majorEastAsia" w:hAnsi="Times New Roman" w:cs="Times New Roman"/>
          <w:bCs/>
          <w:sz w:val="22"/>
          <w:szCs w:val="22"/>
        </w:rPr>
        <w:t>ncia</w:t>
      </w:r>
      <w:r w:rsidR="005E5D25">
        <w:rPr>
          <w:rFonts w:ascii="Times New Roman" w:eastAsiaTheme="majorEastAsia" w:hAnsi="Times New Roman" w:cs="Times New Roman"/>
          <w:bCs/>
          <w:sz w:val="22"/>
          <w:szCs w:val="22"/>
        </w:rPr>
        <w:t>s</w:t>
      </w:r>
      <w:r w:rsidR="00824472">
        <w:rPr>
          <w:rFonts w:ascii="Times New Roman" w:eastAsiaTheme="majorEastAsia" w:hAnsi="Times New Roman" w:cs="Times New Roman"/>
          <w:bCs/>
          <w:sz w:val="22"/>
          <w:szCs w:val="22"/>
        </w:rPr>
        <w:t xml:space="preserve"> de calificación de</w:t>
      </w:r>
      <w:r w:rsidR="005E5D25">
        <w:rPr>
          <w:rFonts w:ascii="Times New Roman" w:eastAsiaTheme="majorEastAsia" w:hAnsi="Times New Roman" w:cs="Times New Roman"/>
          <w:bCs/>
          <w:sz w:val="22"/>
          <w:szCs w:val="22"/>
        </w:rPr>
        <w:t xml:space="preserve"> riesgo mejoraron la posición de Guatemala en </w:t>
      </w:r>
      <w:r w:rsidR="003F3F73">
        <w:rPr>
          <w:rFonts w:ascii="Times New Roman" w:eastAsiaTheme="majorEastAsia" w:hAnsi="Times New Roman" w:cs="Times New Roman"/>
          <w:bCs/>
          <w:sz w:val="22"/>
          <w:szCs w:val="22"/>
        </w:rPr>
        <w:t>2023</w:t>
      </w:r>
      <w:r w:rsidR="00B91002">
        <w:rPr>
          <w:rFonts w:ascii="Times New Roman" w:eastAsiaTheme="majorEastAsia" w:hAnsi="Times New Roman" w:cs="Times New Roman"/>
          <w:bCs/>
          <w:sz w:val="22"/>
          <w:szCs w:val="22"/>
        </w:rPr>
        <w:t xml:space="preserve"> y la otra</w:t>
      </w:r>
      <w:r w:rsidR="007979D5">
        <w:rPr>
          <w:rFonts w:ascii="Times New Roman" w:eastAsiaTheme="majorEastAsia" w:hAnsi="Times New Roman" w:cs="Times New Roman"/>
          <w:bCs/>
          <w:sz w:val="22"/>
          <w:szCs w:val="22"/>
        </w:rPr>
        <w:t xml:space="preserve"> agencia </w:t>
      </w:r>
      <w:r w:rsidR="00B91002">
        <w:rPr>
          <w:rFonts w:ascii="Times New Roman" w:eastAsiaTheme="majorEastAsia" w:hAnsi="Times New Roman" w:cs="Times New Roman"/>
          <w:bCs/>
          <w:sz w:val="22"/>
          <w:szCs w:val="22"/>
        </w:rPr>
        <w:t>mantuvo</w:t>
      </w:r>
      <w:r w:rsidR="007979D5">
        <w:rPr>
          <w:rFonts w:ascii="Times New Roman" w:eastAsiaTheme="majorEastAsia" w:hAnsi="Times New Roman" w:cs="Times New Roman"/>
          <w:bCs/>
          <w:sz w:val="22"/>
          <w:szCs w:val="22"/>
        </w:rPr>
        <w:t xml:space="preserve"> la calificación</w:t>
      </w:r>
      <w:r w:rsidR="00B91002">
        <w:rPr>
          <w:rFonts w:ascii="Times New Roman" w:eastAsiaTheme="majorEastAsia" w:hAnsi="Times New Roman" w:cs="Times New Roman"/>
          <w:bCs/>
          <w:sz w:val="22"/>
          <w:szCs w:val="22"/>
        </w:rPr>
        <w:t>.</w:t>
      </w:r>
    </w:p>
    <w:bookmarkEnd w:id="4"/>
    <w:p w14:paraId="1AFF32B1" w14:textId="77777777" w:rsidR="001A4AC4" w:rsidRPr="004A66F0" w:rsidRDefault="001A4AC4" w:rsidP="000656CC">
      <w:pPr>
        <w:contextualSpacing/>
        <w:jc w:val="both"/>
        <w:rPr>
          <w:rFonts w:ascii="Times New Roman" w:eastAsiaTheme="majorEastAsia" w:hAnsi="Times New Roman" w:cs="Times New Roman"/>
          <w:bCs/>
          <w:sz w:val="22"/>
          <w:szCs w:val="22"/>
        </w:rPr>
      </w:pPr>
    </w:p>
    <w:p w14:paraId="4B488259" w14:textId="2DA16DF9" w:rsidR="001A4AC4" w:rsidRDefault="001A4AC4" w:rsidP="000656CC">
      <w:pPr>
        <w:contextualSpacing/>
        <w:jc w:val="both"/>
        <w:rPr>
          <w:rFonts w:ascii="Times New Roman" w:eastAsiaTheme="majorEastAsia" w:hAnsi="Times New Roman" w:cs="Times New Roman"/>
          <w:bCs/>
          <w:sz w:val="22"/>
          <w:szCs w:val="22"/>
        </w:rPr>
      </w:pPr>
      <w:r w:rsidRPr="004A66F0">
        <w:rPr>
          <w:rFonts w:ascii="Times New Roman" w:eastAsiaTheme="majorEastAsia" w:hAnsi="Times New Roman" w:cs="Times New Roman"/>
          <w:bCs/>
          <w:sz w:val="22"/>
          <w:szCs w:val="22"/>
        </w:rPr>
        <w:t>En este sentido, merece especial atención el desempeño que mostró la recaudación tributaria en 202</w:t>
      </w:r>
      <w:r w:rsidR="00B91002">
        <w:rPr>
          <w:rFonts w:ascii="Times New Roman" w:eastAsiaTheme="majorEastAsia" w:hAnsi="Times New Roman" w:cs="Times New Roman"/>
          <w:bCs/>
          <w:sz w:val="22"/>
          <w:szCs w:val="22"/>
        </w:rPr>
        <w:t>3</w:t>
      </w:r>
      <w:r w:rsidRPr="004A66F0">
        <w:rPr>
          <w:rFonts w:ascii="Times New Roman" w:eastAsiaTheme="majorEastAsia" w:hAnsi="Times New Roman" w:cs="Times New Roman"/>
          <w:bCs/>
          <w:sz w:val="22"/>
          <w:szCs w:val="22"/>
        </w:rPr>
        <w:t xml:space="preserve">, la cual registró nuevamente </w:t>
      </w:r>
      <w:r w:rsidR="00B91002">
        <w:rPr>
          <w:rFonts w:ascii="Times New Roman" w:eastAsiaTheme="majorEastAsia" w:hAnsi="Times New Roman" w:cs="Times New Roman"/>
          <w:bCs/>
          <w:sz w:val="22"/>
          <w:szCs w:val="22"/>
        </w:rPr>
        <w:t>un nivel</w:t>
      </w:r>
      <w:r w:rsidRPr="004A66F0">
        <w:rPr>
          <w:rFonts w:ascii="Times New Roman" w:eastAsiaTheme="majorEastAsia" w:hAnsi="Times New Roman" w:cs="Times New Roman"/>
          <w:bCs/>
          <w:sz w:val="22"/>
          <w:szCs w:val="22"/>
        </w:rPr>
        <w:t xml:space="preserve"> </w:t>
      </w:r>
      <w:r w:rsidR="00B91002">
        <w:rPr>
          <w:rFonts w:ascii="Times New Roman" w:eastAsiaTheme="majorEastAsia" w:hAnsi="Times New Roman" w:cs="Times New Roman"/>
          <w:bCs/>
          <w:sz w:val="22"/>
          <w:szCs w:val="22"/>
        </w:rPr>
        <w:t xml:space="preserve">de </w:t>
      </w:r>
      <w:r w:rsidRPr="004A66F0">
        <w:rPr>
          <w:rFonts w:ascii="Times New Roman" w:eastAsiaTheme="majorEastAsia" w:hAnsi="Times New Roman" w:cs="Times New Roman"/>
          <w:bCs/>
          <w:sz w:val="22"/>
          <w:szCs w:val="22"/>
        </w:rPr>
        <w:t xml:space="preserve">carga tributaria </w:t>
      </w:r>
      <w:r w:rsidR="00035ACE">
        <w:rPr>
          <w:rFonts w:ascii="Times New Roman" w:eastAsiaTheme="majorEastAsia" w:hAnsi="Times New Roman" w:cs="Times New Roman"/>
          <w:bCs/>
          <w:sz w:val="22"/>
          <w:szCs w:val="22"/>
        </w:rPr>
        <w:t>de</w:t>
      </w:r>
      <w:r w:rsidRPr="004A66F0">
        <w:rPr>
          <w:rFonts w:ascii="Times New Roman" w:eastAsiaTheme="majorEastAsia" w:hAnsi="Times New Roman" w:cs="Times New Roman"/>
          <w:bCs/>
          <w:sz w:val="22"/>
          <w:szCs w:val="22"/>
        </w:rPr>
        <w:t xml:space="preserve"> 12.</w:t>
      </w:r>
      <w:r w:rsidR="00B91002">
        <w:rPr>
          <w:rFonts w:ascii="Times New Roman" w:eastAsiaTheme="majorEastAsia" w:hAnsi="Times New Roman" w:cs="Times New Roman"/>
          <w:bCs/>
          <w:sz w:val="22"/>
          <w:szCs w:val="22"/>
        </w:rPr>
        <w:t>0</w:t>
      </w:r>
      <w:r w:rsidRPr="004A66F0">
        <w:rPr>
          <w:rFonts w:ascii="Times New Roman" w:eastAsiaTheme="majorEastAsia" w:hAnsi="Times New Roman" w:cs="Times New Roman"/>
          <w:bCs/>
          <w:sz w:val="22"/>
          <w:szCs w:val="22"/>
        </w:rPr>
        <w:t xml:space="preserve">%, nivel sin precedentes en la historia económica del país. La meta </w:t>
      </w:r>
      <w:r w:rsidR="001A6174">
        <w:rPr>
          <w:rFonts w:ascii="Times New Roman" w:eastAsiaTheme="majorEastAsia" w:hAnsi="Times New Roman" w:cs="Times New Roman"/>
          <w:bCs/>
          <w:sz w:val="22"/>
          <w:szCs w:val="22"/>
        </w:rPr>
        <w:t xml:space="preserve">presupuestaria </w:t>
      </w:r>
      <w:r w:rsidRPr="004A66F0">
        <w:rPr>
          <w:rFonts w:ascii="Times New Roman" w:eastAsiaTheme="majorEastAsia" w:hAnsi="Times New Roman" w:cs="Times New Roman"/>
          <w:bCs/>
          <w:sz w:val="22"/>
          <w:szCs w:val="22"/>
        </w:rPr>
        <w:t>de recaudación tributaria estaba en el orden de los Q</w:t>
      </w:r>
      <w:r w:rsidR="00303508">
        <w:rPr>
          <w:rFonts w:ascii="Times New Roman" w:eastAsiaTheme="majorEastAsia" w:hAnsi="Times New Roman" w:cs="Times New Roman"/>
          <w:bCs/>
          <w:sz w:val="22"/>
          <w:szCs w:val="22"/>
        </w:rPr>
        <w:t>86</w:t>
      </w:r>
      <w:r w:rsidR="00D421AA">
        <w:rPr>
          <w:rFonts w:ascii="Times New Roman" w:eastAsiaTheme="majorEastAsia" w:hAnsi="Times New Roman" w:cs="Times New Roman"/>
          <w:bCs/>
          <w:sz w:val="22"/>
          <w:szCs w:val="22"/>
        </w:rPr>
        <w:t>,247.6</w:t>
      </w:r>
      <w:r w:rsidRPr="004A66F0">
        <w:rPr>
          <w:rFonts w:ascii="Times New Roman" w:eastAsiaTheme="majorEastAsia" w:hAnsi="Times New Roman" w:cs="Times New Roman"/>
          <w:bCs/>
          <w:sz w:val="22"/>
          <w:szCs w:val="22"/>
        </w:rPr>
        <w:t xml:space="preserve"> millones, la cual fue superada en Q</w:t>
      </w:r>
      <w:r w:rsidR="001A6174">
        <w:rPr>
          <w:rFonts w:ascii="Times New Roman" w:eastAsiaTheme="majorEastAsia" w:hAnsi="Times New Roman" w:cs="Times New Roman"/>
          <w:bCs/>
          <w:sz w:val="22"/>
          <w:szCs w:val="22"/>
        </w:rPr>
        <w:t>9,</w:t>
      </w:r>
      <w:r w:rsidR="009F2BD2">
        <w:rPr>
          <w:rFonts w:ascii="Times New Roman" w:eastAsiaTheme="majorEastAsia" w:hAnsi="Times New Roman" w:cs="Times New Roman"/>
          <w:bCs/>
          <w:sz w:val="22"/>
          <w:szCs w:val="22"/>
        </w:rPr>
        <w:t>300</w:t>
      </w:r>
      <w:r w:rsidR="00DF5648">
        <w:rPr>
          <w:rFonts w:ascii="Times New Roman" w:eastAsiaTheme="majorEastAsia" w:hAnsi="Times New Roman" w:cs="Times New Roman"/>
          <w:bCs/>
          <w:sz w:val="22"/>
          <w:szCs w:val="22"/>
        </w:rPr>
        <w:t>.</w:t>
      </w:r>
      <w:r w:rsidR="009F2BD2">
        <w:rPr>
          <w:rFonts w:ascii="Times New Roman" w:eastAsiaTheme="majorEastAsia" w:hAnsi="Times New Roman" w:cs="Times New Roman"/>
          <w:bCs/>
          <w:sz w:val="22"/>
          <w:szCs w:val="22"/>
        </w:rPr>
        <w:t>2</w:t>
      </w:r>
      <w:r w:rsidR="00DF5648">
        <w:rPr>
          <w:rFonts w:ascii="Times New Roman" w:eastAsiaTheme="majorEastAsia" w:hAnsi="Times New Roman" w:cs="Times New Roman"/>
          <w:bCs/>
          <w:sz w:val="22"/>
          <w:szCs w:val="22"/>
        </w:rPr>
        <w:t xml:space="preserve"> </w:t>
      </w:r>
      <w:r w:rsidRPr="004A66F0">
        <w:rPr>
          <w:rFonts w:ascii="Times New Roman" w:eastAsiaTheme="majorEastAsia" w:hAnsi="Times New Roman" w:cs="Times New Roman"/>
          <w:bCs/>
          <w:sz w:val="22"/>
          <w:szCs w:val="22"/>
        </w:rPr>
        <w:t>millones, equivalente a un incremento de 1</w:t>
      </w:r>
      <w:r w:rsidR="001A6174">
        <w:rPr>
          <w:rFonts w:ascii="Times New Roman" w:eastAsiaTheme="majorEastAsia" w:hAnsi="Times New Roman" w:cs="Times New Roman"/>
          <w:bCs/>
          <w:sz w:val="22"/>
          <w:szCs w:val="22"/>
        </w:rPr>
        <w:t>0.8</w:t>
      </w:r>
      <w:r w:rsidRPr="004A66F0">
        <w:rPr>
          <w:rFonts w:ascii="Times New Roman" w:eastAsiaTheme="majorEastAsia" w:hAnsi="Times New Roman" w:cs="Times New Roman"/>
          <w:bCs/>
          <w:sz w:val="22"/>
          <w:szCs w:val="22"/>
        </w:rPr>
        <w:t>%, que se explica por la evolución de la actividad económica nacional,</w:t>
      </w:r>
      <w:r w:rsidR="003F3F73">
        <w:rPr>
          <w:rFonts w:ascii="Times New Roman" w:eastAsiaTheme="majorEastAsia" w:hAnsi="Times New Roman" w:cs="Times New Roman"/>
          <w:bCs/>
          <w:sz w:val="22"/>
          <w:szCs w:val="22"/>
        </w:rPr>
        <w:t xml:space="preserve"> </w:t>
      </w:r>
      <w:r w:rsidRPr="004A66F0">
        <w:rPr>
          <w:rFonts w:ascii="Times New Roman" w:eastAsiaTheme="majorEastAsia" w:hAnsi="Times New Roman" w:cs="Times New Roman"/>
          <w:bCs/>
          <w:sz w:val="22"/>
          <w:szCs w:val="22"/>
        </w:rPr>
        <w:t xml:space="preserve">y por </w:t>
      </w:r>
      <w:r>
        <w:rPr>
          <w:rFonts w:ascii="Times New Roman" w:eastAsiaTheme="majorEastAsia" w:hAnsi="Times New Roman" w:cs="Times New Roman"/>
          <w:bCs/>
          <w:sz w:val="22"/>
          <w:szCs w:val="22"/>
        </w:rPr>
        <w:t xml:space="preserve">una adecuada gestión en </w:t>
      </w:r>
      <w:r w:rsidRPr="004A66F0">
        <w:rPr>
          <w:rFonts w:ascii="Times New Roman" w:eastAsiaTheme="majorEastAsia" w:hAnsi="Times New Roman" w:cs="Times New Roman"/>
          <w:bCs/>
          <w:sz w:val="22"/>
          <w:szCs w:val="22"/>
        </w:rPr>
        <w:t xml:space="preserve">la Superintendencia de Administración Tributaria -SAT-;  cuyos esfuerzos estuvieron orientados a la reducción de la evasión fiscal en los impuestos internos, el combate de la defraudación aduanera y el aumento en la percepción de riesgo de los contribuyentes.   </w:t>
      </w:r>
    </w:p>
    <w:p w14:paraId="37BD6633" w14:textId="77777777" w:rsidR="001A4AC4" w:rsidRDefault="001A4AC4" w:rsidP="000656CC">
      <w:pPr>
        <w:contextualSpacing/>
        <w:jc w:val="both"/>
        <w:rPr>
          <w:rFonts w:ascii="Times New Roman" w:eastAsiaTheme="majorEastAsia" w:hAnsi="Times New Roman" w:cs="Times New Roman"/>
          <w:bCs/>
          <w:sz w:val="22"/>
          <w:szCs w:val="22"/>
        </w:rPr>
      </w:pPr>
    </w:p>
    <w:p w14:paraId="2F2F7938" w14:textId="6CDD8036" w:rsidR="001A4AC4" w:rsidRDefault="001A4AC4" w:rsidP="000656CC">
      <w:pPr>
        <w:contextualSpacing/>
        <w:jc w:val="both"/>
        <w:rPr>
          <w:rFonts w:ascii="Times New Roman" w:eastAsiaTheme="majorEastAsia" w:hAnsi="Times New Roman" w:cs="Times New Roman"/>
          <w:bCs/>
          <w:sz w:val="22"/>
          <w:szCs w:val="22"/>
        </w:rPr>
      </w:pPr>
      <w:r w:rsidRPr="004A66F0">
        <w:rPr>
          <w:rFonts w:ascii="Times New Roman" w:eastAsiaTheme="majorEastAsia" w:hAnsi="Times New Roman" w:cs="Times New Roman"/>
          <w:bCs/>
          <w:sz w:val="22"/>
          <w:szCs w:val="22"/>
        </w:rPr>
        <w:t xml:space="preserve">El gasto público por su parte, </w:t>
      </w:r>
      <w:r w:rsidR="008422BE">
        <w:rPr>
          <w:rFonts w:ascii="Times New Roman" w:eastAsiaTheme="majorEastAsia" w:hAnsi="Times New Roman" w:cs="Times New Roman"/>
          <w:bCs/>
          <w:sz w:val="22"/>
          <w:szCs w:val="22"/>
        </w:rPr>
        <w:t>p</w:t>
      </w:r>
      <w:r w:rsidR="00512F25" w:rsidRPr="00512F25">
        <w:rPr>
          <w:rFonts w:ascii="Times New Roman" w:eastAsiaTheme="majorEastAsia" w:hAnsi="Times New Roman" w:cs="Times New Roman"/>
          <w:bCs/>
          <w:sz w:val="22"/>
          <w:szCs w:val="22"/>
        </w:rPr>
        <w:t>ara los ejercicios fiscales 2022 y 2023</w:t>
      </w:r>
      <w:r w:rsidR="00C51E25">
        <w:rPr>
          <w:rFonts w:ascii="Times New Roman" w:eastAsiaTheme="majorEastAsia" w:hAnsi="Times New Roman" w:cs="Times New Roman"/>
          <w:bCs/>
          <w:sz w:val="22"/>
          <w:szCs w:val="22"/>
        </w:rPr>
        <w:t>,</w:t>
      </w:r>
      <w:r w:rsidR="00512F25" w:rsidRPr="00512F25">
        <w:rPr>
          <w:rFonts w:ascii="Times New Roman" w:eastAsiaTheme="majorEastAsia" w:hAnsi="Times New Roman" w:cs="Times New Roman"/>
          <w:bCs/>
          <w:sz w:val="22"/>
          <w:szCs w:val="22"/>
        </w:rPr>
        <w:t xml:space="preserve"> se contó con un presupuesto aprobado, el cual respondió a los requerimientos planteados por las entidades públicas y las prioridades establecidas desde el Ejecutivo. </w:t>
      </w:r>
      <w:r w:rsidR="00AF796C">
        <w:rPr>
          <w:rFonts w:ascii="Times New Roman" w:eastAsiaTheme="majorEastAsia" w:hAnsi="Times New Roman" w:cs="Times New Roman"/>
          <w:bCs/>
          <w:sz w:val="22"/>
          <w:szCs w:val="22"/>
        </w:rPr>
        <w:t xml:space="preserve">El 2023, </w:t>
      </w:r>
      <w:r w:rsidR="00512F25" w:rsidRPr="00512F25">
        <w:rPr>
          <w:rFonts w:ascii="Times New Roman" w:eastAsiaTheme="majorEastAsia" w:hAnsi="Times New Roman" w:cs="Times New Roman"/>
          <w:bCs/>
          <w:sz w:val="22"/>
          <w:szCs w:val="22"/>
        </w:rPr>
        <w:t xml:space="preserve">estuvo marcado por las Elecciones Generales </w:t>
      </w:r>
      <w:r w:rsidR="00512F25" w:rsidRPr="00512F25">
        <w:rPr>
          <w:rFonts w:ascii="Times New Roman" w:eastAsiaTheme="majorEastAsia" w:hAnsi="Times New Roman" w:cs="Times New Roman"/>
          <w:bCs/>
          <w:sz w:val="22"/>
          <w:szCs w:val="22"/>
        </w:rPr>
        <w:lastRenderedPageBreak/>
        <w:t xml:space="preserve">para elegir al </w:t>
      </w:r>
      <w:proofErr w:type="gramStart"/>
      <w:r w:rsidR="00512F25" w:rsidRPr="00512F25">
        <w:rPr>
          <w:rFonts w:ascii="Times New Roman" w:eastAsiaTheme="majorEastAsia" w:hAnsi="Times New Roman" w:cs="Times New Roman"/>
          <w:bCs/>
          <w:sz w:val="22"/>
          <w:szCs w:val="22"/>
        </w:rPr>
        <w:t>Presidente</w:t>
      </w:r>
      <w:proofErr w:type="gramEnd"/>
      <w:r w:rsidR="00512F25" w:rsidRPr="00512F25">
        <w:rPr>
          <w:rFonts w:ascii="Times New Roman" w:eastAsiaTheme="majorEastAsia" w:hAnsi="Times New Roman" w:cs="Times New Roman"/>
          <w:bCs/>
          <w:sz w:val="22"/>
          <w:szCs w:val="22"/>
        </w:rPr>
        <w:t xml:space="preserve"> </w:t>
      </w:r>
      <w:r w:rsidR="00C87B39" w:rsidRPr="00512F25">
        <w:rPr>
          <w:rFonts w:ascii="Times New Roman" w:eastAsiaTheme="majorEastAsia" w:hAnsi="Times New Roman" w:cs="Times New Roman"/>
          <w:bCs/>
          <w:sz w:val="22"/>
          <w:szCs w:val="22"/>
        </w:rPr>
        <w:t xml:space="preserve">y Vicepresidente </w:t>
      </w:r>
      <w:r w:rsidR="00512F25" w:rsidRPr="00512F25">
        <w:rPr>
          <w:rFonts w:ascii="Times New Roman" w:eastAsiaTheme="majorEastAsia" w:hAnsi="Times New Roman" w:cs="Times New Roman"/>
          <w:bCs/>
          <w:sz w:val="22"/>
          <w:szCs w:val="22"/>
        </w:rPr>
        <w:t>de la República, diputados al Congreso</w:t>
      </w:r>
      <w:r w:rsidR="007E2DEF">
        <w:rPr>
          <w:rFonts w:ascii="Times New Roman" w:eastAsiaTheme="majorEastAsia" w:hAnsi="Times New Roman" w:cs="Times New Roman"/>
          <w:bCs/>
          <w:sz w:val="22"/>
          <w:szCs w:val="22"/>
        </w:rPr>
        <w:t xml:space="preserve"> de la República</w:t>
      </w:r>
      <w:r w:rsidR="00512F25" w:rsidRPr="00512F25">
        <w:rPr>
          <w:rFonts w:ascii="Times New Roman" w:eastAsiaTheme="majorEastAsia" w:hAnsi="Times New Roman" w:cs="Times New Roman"/>
          <w:bCs/>
          <w:sz w:val="22"/>
          <w:szCs w:val="22"/>
        </w:rPr>
        <w:t>, alcaldes municipales y diputados al Parlamento Centroamericano, siendo un evento clave y trascendental en el añ</w:t>
      </w:r>
      <w:r w:rsidR="005B0051">
        <w:rPr>
          <w:rFonts w:ascii="Times New Roman" w:eastAsiaTheme="majorEastAsia" w:hAnsi="Times New Roman" w:cs="Times New Roman"/>
          <w:bCs/>
          <w:sz w:val="22"/>
          <w:szCs w:val="22"/>
        </w:rPr>
        <w:t xml:space="preserve">o. Asimismo, </w:t>
      </w:r>
      <w:r w:rsidR="00512F25" w:rsidRPr="00512F25">
        <w:rPr>
          <w:rFonts w:ascii="Times New Roman" w:eastAsiaTheme="majorEastAsia" w:hAnsi="Times New Roman" w:cs="Times New Roman"/>
          <w:bCs/>
          <w:sz w:val="22"/>
          <w:szCs w:val="22"/>
        </w:rPr>
        <w:t>contrario a lo observado en años anteriores como 2020 y 2022, no se dio una intervención tan fuerte por parte de la política fiscal</w:t>
      </w:r>
      <w:r w:rsidR="00C87B39">
        <w:rPr>
          <w:rFonts w:ascii="Times New Roman" w:eastAsiaTheme="majorEastAsia" w:hAnsi="Times New Roman" w:cs="Times New Roman"/>
          <w:bCs/>
          <w:sz w:val="22"/>
          <w:szCs w:val="22"/>
        </w:rPr>
        <w:t>.</w:t>
      </w:r>
      <w:r w:rsidR="00C87B39" w:rsidRPr="00512F25">
        <w:rPr>
          <w:rFonts w:ascii="Times New Roman" w:eastAsiaTheme="majorEastAsia" w:hAnsi="Times New Roman" w:cs="Times New Roman"/>
          <w:bCs/>
          <w:sz w:val="22"/>
          <w:szCs w:val="22"/>
        </w:rPr>
        <w:t xml:space="preserve"> </w:t>
      </w:r>
      <w:r w:rsidR="00C87B39">
        <w:rPr>
          <w:rFonts w:ascii="Times New Roman" w:eastAsiaTheme="majorEastAsia" w:hAnsi="Times New Roman" w:cs="Times New Roman"/>
          <w:bCs/>
          <w:sz w:val="22"/>
          <w:szCs w:val="22"/>
        </w:rPr>
        <w:t>E</w:t>
      </w:r>
      <w:r w:rsidR="00C87B39" w:rsidRPr="00512F25">
        <w:rPr>
          <w:rFonts w:ascii="Times New Roman" w:eastAsiaTheme="majorEastAsia" w:hAnsi="Times New Roman" w:cs="Times New Roman"/>
          <w:bCs/>
          <w:sz w:val="22"/>
          <w:szCs w:val="22"/>
        </w:rPr>
        <w:t xml:space="preserve">n </w:t>
      </w:r>
      <w:r w:rsidR="00512F25" w:rsidRPr="00512F25">
        <w:rPr>
          <w:rFonts w:ascii="Times New Roman" w:eastAsiaTheme="majorEastAsia" w:hAnsi="Times New Roman" w:cs="Times New Roman"/>
          <w:bCs/>
          <w:sz w:val="22"/>
          <w:szCs w:val="22"/>
        </w:rPr>
        <w:t>lo que se refiere al gasto publico mostró un comportamiento moderado</w:t>
      </w:r>
      <w:r w:rsidR="00A74F7D">
        <w:rPr>
          <w:rFonts w:ascii="Times New Roman" w:eastAsiaTheme="majorEastAsia" w:hAnsi="Times New Roman" w:cs="Times New Roman"/>
          <w:bCs/>
          <w:sz w:val="22"/>
          <w:szCs w:val="22"/>
        </w:rPr>
        <w:t>, desta</w:t>
      </w:r>
      <w:r w:rsidR="008E236E">
        <w:rPr>
          <w:rFonts w:ascii="Times New Roman" w:eastAsiaTheme="majorEastAsia" w:hAnsi="Times New Roman" w:cs="Times New Roman"/>
          <w:bCs/>
          <w:sz w:val="22"/>
          <w:szCs w:val="22"/>
        </w:rPr>
        <w:t>ca</w:t>
      </w:r>
      <w:r w:rsidR="00A74F7D">
        <w:rPr>
          <w:rFonts w:ascii="Times New Roman" w:eastAsiaTheme="majorEastAsia" w:hAnsi="Times New Roman" w:cs="Times New Roman"/>
          <w:bCs/>
          <w:sz w:val="22"/>
          <w:szCs w:val="22"/>
        </w:rPr>
        <w:t xml:space="preserve">ndo como gastos relevantes el financiamiento de las elecciones generales, </w:t>
      </w:r>
      <w:r w:rsidR="00422C89">
        <w:rPr>
          <w:rFonts w:ascii="Times New Roman" w:eastAsiaTheme="majorEastAsia" w:hAnsi="Times New Roman" w:cs="Times New Roman"/>
          <w:bCs/>
          <w:sz w:val="22"/>
          <w:szCs w:val="22"/>
        </w:rPr>
        <w:t>la continuación d</w:t>
      </w:r>
      <w:r w:rsidR="00115CFA">
        <w:rPr>
          <w:rFonts w:ascii="Times New Roman" w:eastAsiaTheme="majorEastAsia" w:hAnsi="Times New Roman" w:cs="Times New Roman"/>
          <w:bCs/>
          <w:sz w:val="22"/>
          <w:szCs w:val="22"/>
        </w:rPr>
        <w:t>el programa de infraestructura estratégica</w:t>
      </w:r>
      <w:r w:rsidR="003F3F73">
        <w:rPr>
          <w:rFonts w:ascii="Times New Roman" w:eastAsiaTheme="majorEastAsia" w:hAnsi="Times New Roman" w:cs="Times New Roman"/>
          <w:bCs/>
          <w:sz w:val="22"/>
          <w:szCs w:val="22"/>
        </w:rPr>
        <w:t xml:space="preserve"> (Decreto </w:t>
      </w:r>
      <w:r w:rsidR="00C87B39">
        <w:rPr>
          <w:rFonts w:ascii="Times New Roman" w:eastAsiaTheme="majorEastAsia" w:hAnsi="Times New Roman" w:cs="Times New Roman"/>
          <w:bCs/>
          <w:sz w:val="22"/>
          <w:szCs w:val="22"/>
        </w:rPr>
        <w:t>N</w:t>
      </w:r>
      <w:r w:rsidR="009A26C0">
        <w:rPr>
          <w:rFonts w:ascii="Times New Roman" w:eastAsiaTheme="majorEastAsia" w:hAnsi="Times New Roman" w:cs="Times New Roman"/>
          <w:bCs/>
          <w:sz w:val="22"/>
          <w:szCs w:val="22"/>
        </w:rPr>
        <w:t>úmero</w:t>
      </w:r>
      <w:r w:rsidR="00C87B39">
        <w:rPr>
          <w:rFonts w:ascii="Times New Roman" w:eastAsiaTheme="majorEastAsia" w:hAnsi="Times New Roman" w:cs="Times New Roman"/>
          <w:bCs/>
          <w:sz w:val="22"/>
          <w:szCs w:val="22"/>
        </w:rPr>
        <w:t xml:space="preserve"> </w:t>
      </w:r>
      <w:r w:rsidR="003F3F73">
        <w:rPr>
          <w:rFonts w:ascii="Times New Roman" w:eastAsiaTheme="majorEastAsia" w:hAnsi="Times New Roman" w:cs="Times New Roman"/>
          <w:bCs/>
          <w:sz w:val="22"/>
          <w:szCs w:val="22"/>
        </w:rPr>
        <w:t>21-2022)</w:t>
      </w:r>
      <w:r w:rsidR="00422C89">
        <w:rPr>
          <w:rFonts w:ascii="Times New Roman" w:eastAsiaTheme="majorEastAsia" w:hAnsi="Times New Roman" w:cs="Times New Roman"/>
          <w:bCs/>
          <w:sz w:val="22"/>
          <w:szCs w:val="22"/>
        </w:rPr>
        <w:t>,</w:t>
      </w:r>
      <w:r w:rsidR="00115CFA">
        <w:rPr>
          <w:rFonts w:ascii="Times New Roman" w:eastAsiaTheme="majorEastAsia" w:hAnsi="Times New Roman" w:cs="Times New Roman"/>
          <w:bCs/>
          <w:sz w:val="22"/>
          <w:szCs w:val="22"/>
        </w:rPr>
        <w:t xml:space="preserve"> la atención </w:t>
      </w:r>
      <w:r w:rsidR="003D11D5">
        <w:rPr>
          <w:rFonts w:ascii="Times New Roman" w:eastAsiaTheme="majorEastAsia" w:hAnsi="Times New Roman" w:cs="Times New Roman"/>
          <w:bCs/>
          <w:sz w:val="22"/>
          <w:szCs w:val="22"/>
        </w:rPr>
        <w:t>de calamidades públicas</w:t>
      </w:r>
      <w:r w:rsidR="00E223BB">
        <w:rPr>
          <w:rFonts w:ascii="Times New Roman" w:eastAsiaTheme="majorEastAsia" w:hAnsi="Times New Roman" w:cs="Times New Roman"/>
          <w:bCs/>
          <w:sz w:val="22"/>
          <w:szCs w:val="22"/>
        </w:rPr>
        <w:t xml:space="preserve"> como el COVID-19 y o</w:t>
      </w:r>
      <w:r w:rsidR="003444AD">
        <w:rPr>
          <w:rFonts w:ascii="Times New Roman" w:eastAsiaTheme="majorEastAsia" w:hAnsi="Times New Roman" w:cs="Times New Roman"/>
          <w:bCs/>
          <w:sz w:val="22"/>
          <w:szCs w:val="22"/>
        </w:rPr>
        <w:t>tros gastos relacionados a la reconstrucción por desastres provocados por fenómenos naturales.</w:t>
      </w:r>
    </w:p>
    <w:p w14:paraId="4A752A4C" w14:textId="77777777" w:rsidR="005C1BC8" w:rsidRPr="004A66F0" w:rsidRDefault="005C1BC8" w:rsidP="000656CC">
      <w:pPr>
        <w:contextualSpacing/>
        <w:jc w:val="both"/>
        <w:rPr>
          <w:rFonts w:ascii="Times New Roman" w:eastAsiaTheme="majorEastAsia" w:hAnsi="Times New Roman" w:cs="Times New Roman"/>
          <w:bCs/>
          <w:sz w:val="22"/>
          <w:szCs w:val="22"/>
        </w:rPr>
      </w:pPr>
    </w:p>
    <w:p w14:paraId="4B4A13B6" w14:textId="00DF6C0A" w:rsidR="001A4AC4" w:rsidRPr="004A66F0" w:rsidRDefault="001A4AC4" w:rsidP="000656CC">
      <w:pPr>
        <w:contextualSpacing/>
        <w:jc w:val="both"/>
        <w:rPr>
          <w:rFonts w:ascii="Times New Roman" w:eastAsiaTheme="majorEastAsia" w:hAnsi="Times New Roman" w:cs="Times New Roman"/>
          <w:bCs/>
          <w:sz w:val="22"/>
          <w:szCs w:val="22"/>
          <w:lang w:val="es-ES_tradnl" w:eastAsia="es-ES"/>
        </w:rPr>
      </w:pPr>
      <w:r w:rsidRPr="004A66F0">
        <w:rPr>
          <w:rFonts w:ascii="Times New Roman" w:eastAsiaTheme="majorEastAsia" w:hAnsi="Times New Roman" w:cs="Times New Roman"/>
          <w:bCs/>
          <w:sz w:val="22"/>
          <w:szCs w:val="22"/>
          <w:lang w:val="es-ES_tradnl" w:eastAsia="es-ES"/>
        </w:rPr>
        <w:t>En síntesis para 202</w:t>
      </w:r>
      <w:r w:rsidR="007E2DEF">
        <w:rPr>
          <w:rFonts w:ascii="Times New Roman" w:eastAsiaTheme="majorEastAsia" w:hAnsi="Times New Roman" w:cs="Times New Roman"/>
          <w:bCs/>
          <w:sz w:val="22"/>
          <w:szCs w:val="22"/>
          <w:lang w:val="es-ES_tradnl" w:eastAsia="es-ES"/>
        </w:rPr>
        <w:t>3</w:t>
      </w:r>
      <w:r w:rsidRPr="004A66F0">
        <w:rPr>
          <w:rFonts w:ascii="Times New Roman" w:eastAsiaTheme="majorEastAsia" w:hAnsi="Times New Roman" w:cs="Times New Roman"/>
          <w:bCs/>
          <w:sz w:val="22"/>
          <w:szCs w:val="22"/>
          <w:lang w:val="es-ES_tradnl" w:eastAsia="es-ES"/>
        </w:rPr>
        <w:t>, derivado del buen desempeño de la recaudación tributaria, la ejecución prudente y racional del gasto público</w:t>
      </w:r>
      <w:r>
        <w:rPr>
          <w:rFonts w:ascii="Times New Roman" w:eastAsiaTheme="majorEastAsia" w:hAnsi="Times New Roman" w:cs="Times New Roman"/>
          <w:bCs/>
          <w:sz w:val="22"/>
          <w:szCs w:val="22"/>
          <w:lang w:val="es-ES_tradnl" w:eastAsia="es-ES"/>
        </w:rPr>
        <w:t>,</w:t>
      </w:r>
      <w:r w:rsidRPr="004A66F0">
        <w:rPr>
          <w:rFonts w:ascii="Times New Roman" w:eastAsiaTheme="majorEastAsia" w:hAnsi="Times New Roman" w:cs="Times New Roman"/>
          <w:bCs/>
          <w:sz w:val="22"/>
          <w:szCs w:val="22"/>
          <w:lang w:val="es-ES_tradnl" w:eastAsia="es-ES"/>
        </w:rPr>
        <w:t xml:space="preserve"> que alcanzó un nivel de 9</w:t>
      </w:r>
      <w:r w:rsidR="007E2DEF">
        <w:rPr>
          <w:rFonts w:ascii="Times New Roman" w:eastAsiaTheme="majorEastAsia" w:hAnsi="Times New Roman" w:cs="Times New Roman"/>
          <w:bCs/>
          <w:sz w:val="22"/>
          <w:szCs w:val="22"/>
          <w:lang w:val="es-ES_tradnl" w:eastAsia="es-ES"/>
        </w:rPr>
        <w:t>7.0</w:t>
      </w:r>
      <w:r w:rsidRPr="004A66F0">
        <w:rPr>
          <w:rFonts w:ascii="Times New Roman" w:eastAsiaTheme="majorEastAsia" w:hAnsi="Times New Roman" w:cs="Times New Roman"/>
          <w:bCs/>
          <w:sz w:val="22"/>
          <w:szCs w:val="22"/>
          <w:lang w:val="es-ES_tradnl" w:eastAsia="es-ES"/>
        </w:rPr>
        <w:t>% con respecto al presupuesto vigente, condujo a que el déficit fiscal del gobierno se situara en torno al 1.</w:t>
      </w:r>
      <w:r w:rsidR="009267B9">
        <w:rPr>
          <w:rFonts w:ascii="Times New Roman" w:eastAsiaTheme="majorEastAsia" w:hAnsi="Times New Roman" w:cs="Times New Roman"/>
          <w:bCs/>
          <w:sz w:val="22"/>
          <w:szCs w:val="22"/>
          <w:lang w:val="es-ES_tradnl" w:eastAsia="es-ES"/>
        </w:rPr>
        <w:t>3</w:t>
      </w:r>
      <w:r w:rsidRPr="004A66F0">
        <w:rPr>
          <w:rFonts w:ascii="Times New Roman" w:eastAsiaTheme="majorEastAsia" w:hAnsi="Times New Roman" w:cs="Times New Roman"/>
          <w:bCs/>
          <w:sz w:val="22"/>
          <w:szCs w:val="22"/>
          <w:lang w:val="es-ES_tradnl" w:eastAsia="es-ES"/>
        </w:rPr>
        <w:t>% del PIB, el cual fue financiado principalmente por la colocación de títulos en el mercado internacional y con los depósitos del gobierno en el Banco Guatemala, propiciando con ello una reducción, en términos del PIB, del endeudamiento público</w:t>
      </w:r>
      <w:r w:rsidR="00C87B39">
        <w:rPr>
          <w:rFonts w:ascii="Times New Roman" w:eastAsiaTheme="majorEastAsia" w:hAnsi="Times New Roman" w:cs="Times New Roman"/>
          <w:bCs/>
          <w:sz w:val="22"/>
          <w:szCs w:val="22"/>
          <w:lang w:val="es-ES_tradnl" w:eastAsia="es-ES"/>
        </w:rPr>
        <w:t>,</w:t>
      </w:r>
      <w:r w:rsidRPr="004A66F0">
        <w:rPr>
          <w:rFonts w:ascii="Times New Roman" w:eastAsiaTheme="majorEastAsia" w:hAnsi="Times New Roman" w:cs="Times New Roman"/>
          <w:bCs/>
          <w:sz w:val="22"/>
          <w:szCs w:val="22"/>
          <w:lang w:val="es-ES_tradnl" w:eastAsia="es-ES"/>
        </w:rPr>
        <w:t xml:space="preserve"> pasando de </w:t>
      </w:r>
      <w:r w:rsidR="007E2DEF">
        <w:rPr>
          <w:rFonts w:ascii="Times New Roman" w:eastAsiaTheme="majorEastAsia" w:hAnsi="Times New Roman" w:cs="Times New Roman"/>
          <w:bCs/>
          <w:sz w:val="22"/>
          <w:szCs w:val="22"/>
          <w:lang w:val="es-ES_tradnl" w:eastAsia="es-ES"/>
        </w:rPr>
        <w:t>29.3</w:t>
      </w:r>
      <w:r w:rsidRPr="004A66F0">
        <w:rPr>
          <w:rFonts w:ascii="Times New Roman" w:eastAsiaTheme="majorEastAsia" w:hAnsi="Times New Roman" w:cs="Times New Roman"/>
          <w:bCs/>
          <w:sz w:val="22"/>
          <w:szCs w:val="22"/>
          <w:lang w:val="es-ES_tradnl" w:eastAsia="es-ES"/>
        </w:rPr>
        <w:t>% en 202</w:t>
      </w:r>
      <w:r w:rsidR="007E2DEF">
        <w:rPr>
          <w:rFonts w:ascii="Times New Roman" w:eastAsiaTheme="majorEastAsia" w:hAnsi="Times New Roman" w:cs="Times New Roman"/>
          <w:bCs/>
          <w:sz w:val="22"/>
          <w:szCs w:val="22"/>
          <w:lang w:val="es-ES_tradnl" w:eastAsia="es-ES"/>
        </w:rPr>
        <w:t>2</w:t>
      </w:r>
      <w:r w:rsidRPr="004A66F0">
        <w:rPr>
          <w:rFonts w:ascii="Times New Roman" w:eastAsiaTheme="majorEastAsia" w:hAnsi="Times New Roman" w:cs="Times New Roman"/>
          <w:bCs/>
          <w:sz w:val="22"/>
          <w:szCs w:val="22"/>
          <w:lang w:val="es-ES_tradnl" w:eastAsia="es-ES"/>
        </w:rPr>
        <w:t xml:space="preserve"> a 2</w:t>
      </w:r>
      <w:r w:rsidR="007E2DEF">
        <w:rPr>
          <w:rFonts w:ascii="Times New Roman" w:eastAsiaTheme="majorEastAsia" w:hAnsi="Times New Roman" w:cs="Times New Roman"/>
          <w:bCs/>
          <w:sz w:val="22"/>
          <w:szCs w:val="22"/>
          <w:lang w:val="es-ES_tradnl" w:eastAsia="es-ES"/>
        </w:rPr>
        <w:t>7.8</w:t>
      </w:r>
      <w:r w:rsidRPr="004A66F0">
        <w:rPr>
          <w:rFonts w:ascii="Times New Roman" w:eastAsiaTheme="majorEastAsia" w:hAnsi="Times New Roman" w:cs="Times New Roman"/>
          <w:bCs/>
          <w:sz w:val="22"/>
          <w:szCs w:val="22"/>
          <w:lang w:val="es-ES_tradnl" w:eastAsia="es-ES"/>
        </w:rPr>
        <w:t>% en 202</w:t>
      </w:r>
      <w:r w:rsidR="007E2DEF">
        <w:rPr>
          <w:rFonts w:ascii="Times New Roman" w:eastAsiaTheme="majorEastAsia" w:hAnsi="Times New Roman" w:cs="Times New Roman"/>
          <w:bCs/>
          <w:sz w:val="22"/>
          <w:szCs w:val="22"/>
          <w:lang w:val="es-ES_tradnl" w:eastAsia="es-ES"/>
        </w:rPr>
        <w:t>3</w:t>
      </w:r>
      <w:r w:rsidRPr="004A66F0">
        <w:rPr>
          <w:rFonts w:ascii="Times New Roman" w:eastAsiaTheme="majorEastAsia" w:hAnsi="Times New Roman" w:cs="Times New Roman"/>
          <w:bCs/>
          <w:sz w:val="22"/>
          <w:szCs w:val="22"/>
          <w:lang w:val="es-ES_tradnl" w:eastAsia="es-ES"/>
        </w:rPr>
        <w:t>, garantizando con ello el buen manejo de las finanzas públicas y la sostenibilidad de la deuda en el mediano y largo plazo</w:t>
      </w:r>
      <w:r w:rsidR="00C87B39">
        <w:rPr>
          <w:rFonts w:ascii="Times New Roman" w:eastAsiaTheme="majorEastAsia" w:hAnsi="Times New Roman" w:cs="Times New Roman"/>
          <w:bCs/>
          <w:sz w:val="22"/>
          <w:szCs w:val="22"/>
          <w:lang w:val="es-ES_tradnl" w:eastAsia="es-ES"/>
        </w:rPr>
        <w:t>s</w:t>
      </w:r>
      <w:r w:rsidRPr="004A66F0">
        <w:rPr>
          <w:rFonts w:ascii="Times New Roman" w:eastAsiaTheme="majorEastAsia" w:hAnsi="Times New Roman" w:cs="Times New Roman"/>
          <w:bCs/>
          <w:sz w:val="22"/>
          <w:szCs w:val="22"/>
          <w:lang w:val="es-ES_tradnl" w:eastAsia="es-ES"/>
        </w:rPr>
        <w:t>.</w:t>
      </w:r>
    </w:p>
    <w:p w14:paraId="73E31A0F" w14:textId="77777777" w:rsidR="001A4AC4" w:rsidRPr="004A66F0" w:rsidRDefault="001A4AC4" w:rsidP="000656CC">
      <w:pPr>
        <w:contextualSpacing/>
        <w:jc w:val="both"/>
        <w:rPr>
          <w:rFonts w:ascii="Times New Roman" w:eastAsiaTheme="majorEastAsia" w:hAnsi="Times New Roman" w:cs="Times New Roman"/>
          <w:bCs/>
          <w:sz w:val="22"/>
          <w:szCs w:val="22"/>
          <w:lang w:val="es-ES_tradnl" w:eastAsia="es-ES"/>
        </w:rPr>
      </w:pPr>
    </w:p>
    <w:p w14:paraId="6A6BB5B2" w14:textId="088C8B9C" w:rsidR="001A4AC4" w:rsidRPr="004A66F0" w:rsidRDefault="001A4AC4" w:rsidP="000656CC">
      <w:pPr>
        <w:contextualSpacing/>
        <w:jc w:val="both"/>
        <w:rPr>
          <w:rFonts w:ascii="Times New Roman" w:eastAsiaTheme="majorEastAsia" w:hAnsi="Times New Roman" w:cs="Times New Roman"/>
          <w:bCs/>
          <w:sz w:val="22"/>
          <w:szCs w:val="22"/>
          <w:lang w:val="es-ES_tradnl" w:eastAsia="es-ES"/>
        </w:rPr>
      </w:pPr>
      <w:r w:rsidRPr="004A66F0">
        <w:rPr>
          <w:rFonts w:ascii="Times New Roman" w:eastAsiaTheme="majorEastAsia" w:hAnsi="Times New Roman" w:cs="Times New Roman"/>
          <w:bCs/>
          <w:sz w:val="22"/>
          <w:szCs w:val="22"/>
          <w:lang w:val="es-ES_tradnl" w:eastAsia="es-ES"/>
        </w:rPr>
        <w:t>Por último, las perspectivas fiscales para 202</w:t>
      </w:r>
      <w:r w:rsidR="00FC330B">
        <w:rPr>
          <w:rFonts w:ascii="Times New Roman" w:eastAsiaTheme="majorEastAsia" w:hAnsi="Times New Roman" w:cs="Times New Roman"/>
          <w:bCs/>
          <w:sz w:val="22"/>
          <w:szCs w:val="22"/>
          <w:lang w:val="es-ES_tradnl" w:eastAsia="es-ES"/>
        </w:rPr>
        <w:t>4</w:t>
      </w:r>
      <w:r w:rsidRPr="004A66F0">
        <w:rPr>
          <w:rFonts w:ascii="Times New Roman" w:eastAsiaTheme="majorEastAsia" w:hAnsi="Times New Roman" w:cs="Times New Roman"/>
          <w:bCs/>
          <w:sz w:val="22"/>
          <w:szCs w:val="22"/>
          <w:lang w:val="es-ES_tradnl" w:eastAsia="es-ES"/>
        </w:rPr>
        <w:t xml:space="preserve"> descansan en el Presupuesto General de Ingresos y Egresos del Estado</w:t>
      </w:r>
      <w:r w:rsidR="00FC330B">
        <w:rPr>
          <w:rFonts w:ascii="Times New Roman" w:eastAsiaTheme="majorEastAsia" w:hAnsi="Times New Roman" w:cs="Times New Roman"/>
          <w:bCs/>
          <w:sz w:val="22"/>
          <w:szCs w:val="22"/>
          <w:lang w:val="es-ES_tradnl" w:eastAsia="es-ES"/>
        </w:rPr>
        <w:t xml:space="preserve">, que para este </w:t>
      </w:r>
      <w:r w:rsidR="00F9554C">
        <w:rPr>
          <w:rFonts w:ascii="Times New Roman" w:eastAsiaTheme="majorEastAsia" w:hAnsi="Times New Roman" w:cs="Times New Roman"/>
          <w:bCs/>
          <w:sz w:val="22"/>
          <w:szCs w:val="22"/>
          <w:lang w:val="es-ES_tradnl" w:eastAsia="es-ES"/>
        </w:rPr>
        <w:t xml:space="preserve">año </w:t>
      </w:r>
      <w:r w:rsidR="00FC330B">
        <w:rPr>
          <w:rFonts w:ascii="Times New Roman" w:eastAsiaTheme="majorEastAsia" w:hAnsi="Times New Roman" w:cs="Times New Roman"/>
          <w:bCs/>
          <w:sz w:val="22"/>
          <w:szCs w:val="22"/>
          <w:lang w:val="es-ES_tradnl" w:eastAsia="es-ES"/>
        </w:rPr>
        <w:t>sigue en vigencia el presupuesto de 2023, tomando en cu</w:t>
      </w:r>
      <w:r w:rsidR="00BB38CC">
        <w:rPr>
          <w:rFonts w:ascii="Times New Roman" w:eastAsiaTheme="majorEastAsia" w:hAnsi="Times New Roman" w:cs="Times New Roman"/>
          <w:bCs/>
          <w:sz w:val="22"/>
          <w:szCs w:val="22"/>
          <w:lang w:val="es-ES_tradnl" w:eastAsia="es-ES"/>
        </w:rPr>
        <w:t>e</w:t>
      </w:r>
      <w:r w:rsidR="00FC330B">
        <w:rPr>
          <w:rFonts w:ascii="Times New Roman" w:eastAsiaTheme="majorEastAsia" w:hAnsi="Times New Roman" w:cs="Times New Roman"/>
          <w:bCs/>
          <w:sz w:val="22"/>
          <w:szCs w:val="22"/>
          <w:lang w:val="es-ES_tradnl" w:eastAsia="es-ES"/>
        </w:rPr>
        <w:t xml:space="preserve">nta que la </w:t>
      </w:r>
      <w:r w:rsidR="008B3CBB">
        <w:rPr>
          <w:rFonts w:ascii="Times New Roman" w:eastAsiaTheme="majorEastAsia" w:hAnsi="Times New Roman" w:cs="Times New Roman"/>
          <w:bCs/>
          <w:sz w:val="22"/>
          <w:szCs w:val="22"/>
          <w:lang w:val="es-ES_tradnl" w:eastAsia="es-ES"/>
        </w:rPr>
        <w:t>C</w:t>
      </w:r>
      <w:r w:rsidR="00FC330B">
        <w:rPr>
          <w:rFonts w:ascii="Times New Roman" w:eastAsiaTheme="majorEastAsia" w:hAnsi="Times New Roman" w:cs="Times New Roman"/>
          <w:bCs/>
          <w:sz w:val="22"/>
          <w:szCs w:val="22"/>
          <w:lang w:val="es-ES_tradnl" w:eastAsia="es-ES"/>
        </w:rPr>
        <w:t xml:space="preserve">orte de </w:t>
      </w:r>
      <w:r w:rsidR="008B3CBB">
        <w:rPr>
          <w:rFonts w:ascii="Times New Roman" w:eastAsiaTheme="majorEastAsia" w:hAnsi="Times New Roman" w:cs="Times New Roman"/>
          <w:bCs/>
          <w:sz w:val="22"/>
          <w:szCs w:val="22"/>
          <w:lang w:val="es-ES_tradnl" w:eastAsia="es-ES"/>
        </w:rPr>
        <w:t>C</w:t>
      </w:r>
      <w:r w:rsidR="00FC330B">
        <w:rPr>
          <w:rFonts w:ascii="Times New Roman" w:eastAsiaTheme="majorEastAsia" w:hAnsi="Times New Roman" w:cs="Times New Roman"/>
          <w:bCs/>
          <w:sz w:val="22"/>
          <w:szCs w:val="22"/>
          <w:lang w:val="es-ES_tradnl" w:eastAsia="es-ES"/>
        </w:rPr>
        <w:t xml:space="preserve">onstitucionalidad </w:t>
      </w:r>
      <w:r w:rsidR="00A53424">
        <w:rPr>
          <w:rFonts w:ascii="Times New Roman" w:eastAsiaTheme="majorEastAsia" w:hAnsi="Times New Roman" w:cs="Times New Roman"/>
          <w:bCs/>
          <w:sz w:val="22"/>
          <w:szCs w:val="22"/>
          <w:lang w:val="es-ES_tradnl" w:eastAsia="es-ES"/>
        </w:rPr>
        <w:t>su</w:t>
      </w:r>
      <w:r w:rsidR="0050111A">
        <w:rPr>
          <w:rFonts w:ascii="Times New Roman" w:eastAsiaTheme="majorEastAsia" w:hAnsi="Times New Roman" w:cs="Times New Roman"/>
          <w:bCs/>
          <w:sz w:val="22"/>
          <w:szCs w:val="22"/>
          <w:lang w:val="es-ES_tradnl" w:eastAsia="es-ES"/>
        </w:rPr>
        <w:t>s</w:t>
      </w:r>
      <w:r w:rsidR="00A53424">
        <w:rPr>
          <w:rFonts w:ascii="Times New Roman" w:eastAsiaTheme="majorEastAsia" w:hAnsi="Times New Roman" w:cs="Times New Roman"/>
          <w:bCs/>
          <w:sz w:val="22"/>
          <w:szCs w:val="22"/>
          <w:lang w:val="es-ES_tradnl" w:eastAsia="es-ES"/>
        </w:rPr>
        <w:t xml:space="preserve">pendió el decreto de aprobación del </w:t>
      </w:r>
      <w:r w:rsidR="00A53424" w:rsidRPr="00A53424">
        <w:rPr>
          <w:rFonts w:ascii="Times New Roman" w:eastAsiaTheme="majorEastAsia" w:hAnsi="Times New Roman" w:cs="Times New Roman"/>
          <w:bCs/>
          <w:sz w:val="22"/>
          <w:szCs w:val="22"/>
          <w:lang w:val="es-ES_tradnl" w:eastAsia="es-ES"/>
        </w:rPr>
        <w:t>Presupuesto General de Ingresos y Egresos del Estado</w:t>
      </w:r>
      <w:r w:rsidR="00A53424">
        <w:rPr>
          <w:rFonts w:ascii="Times New Roman" w:eastAsiaTheme="majorEastAsia" w:hAnsi="Times New Roman" w:cs="Times New Roman"/>
          <w:bCs/>
          <w:sz w:val="22"/>
          <w:szCs w:val="22"/>
          <w:lang w:val="es-ES_tradnl" w:eastAsia="es-ES"/>
        </w:rPr>
        <w:t xml:space="preserve"> para el ejercicio Fiscal 2024 </w:t>
      </w:r>
      <w:r w:rsidR="00445185">
        <w:rPr>
          <w:rFonts w:ascii="Times New Roman" w:eastAsiaTheme="majorEastAsia" w:hAnsi="Times New Roman" w:cs="Times New Roman"/>
          <w:bCs/>
          <w:sz w:val="22"/>
          <w:szCs w:val="22"/>
          <w:lang w:val="es-ES_tradnl" w:eastAsia="es-ES"/>
        </w:rPr>
        <w:t>que aprobó</w:t>
      </w:r>
      <w:r w:rsidR="00A53424">
        <w:rPr>
          <w:rFonts w:ascii="Times New Roman" w:eastAsiaTheme="majorEastAsia" w:hAnsi="Times New Roman" w:cs="Times New Roman"/>
          <w:bCs/>
          <w:sz w:val="22"/>
          <w:szCs w:val="22"/>
          <w:lang w:val="es-ES_tradnl" w:eastAsia="es-ES"/>
        </w:rPr>
        <w:t xml:space="preserve"> el Congreso </w:t>
      </w:r>
      <w:r w:rsidRPr="004A66F0">
        <w:rPr>
          <w:rFonts w:ascii="Times New Roman" w:eastAsiaTheme="majorEastAsia" w:hAnsi="Times New Roman" w:cs="Times New Roman"/>
          <w:bCs/>
          <w:sz w:val="22"/>
          <w:szCs w:val="22"/>
          <w:lang w:val="es-ES_tradnl" w:eastAsia="es-ES"/>
        </w:rPr>
        <w:t xml:space="preserve">de la República, por lo que </w:t>
      </w:r>
      <w:r w:rsidR="0050111A">
        <w:rPr>
          <w:rFonts w:ascii="Times New Roman" w:eastAsiaTheme="majorEastAsia" w:hAnsi="Times New Roman" w:cs="Times New Roman"/>
          <w:bCs/>
          <w:sz w:val="22"/>
          <w:szCs w:val="22"/>
          <w:lang w:val="es-ES_tradnl" w:eastAsia="es-ES"/>
        </w:rPr>
        <w:t xml:space="preserve">se esperaría que en dicho año se realicen </w:t>
      </w:r>
      <w:r w:rsidR="002744F3">
        <w:rPr>
          <w:rFonts w:ascii="Times New Roman" w:eastAsiaTheme="majorEastAsia" w:hAnsi="Times New Roman" w:cs="Times New Roman"/>
          <w:bCs/>
          <w:sz w:val="22"/>
          <w:szCs w:val="22"/>
          <w:lang w:val="es-ES_tradnl" w:eastAsia="es-ES"/>
        </w:rPr>
        <w:t xml:space="preserve"> una </w:t>
      </w:r>
      <w:r w:rsidR="0050111A">
        <w:rPr>
          <w:rFonts w:ascii="Times New Roman" w:eastAsiaTheme="majorEastAsia" w:hAnsi="Times New Roman" w:cs="Times New Roman"/>
          <w:bCs/>
          <w:sz w:val="22"/>
          <w:szCs w:val="22"/>
          <w:lang w:val="es-ES_tradnl" w:eastAsia="es-ES"/>
        </w:rPr>
        <w:t xml:space="preserve">serie de modificaciones presupuestarias  y probablemente </w:t>
      </w:r>
      <w:r w:rsidR="002744F3">
        <w:rPr>
          <w:rFonts w:ascii="Times New Roman" w:eastAsiaTheme="majorEastAsia" w:hAnsi="Times New Roman" w:cs="Times New Roman"/>
          <w:bCs/>
          <w:sz w:val="22"/>
          <w:szCs w:val="22"/>
          <w:lang w:val="es-ES_tradnl" w:eastAsia="es-ES"/>
        </w:rPr>
        <w:t xml:space="preserve">algunas </w:t>
      </w:r>
      <w:r w:rsidR="0050111A">
        <w:rPr>
          <w:rFonts w:ascii="Times New Roman" w:eastAsiaTheme="majorEastAsia" w:hAnsi="Times New Roman" w:cs="Times New Roman"/>
          <w:bCs/>
          <w:sz w:val="22"/>
          <w:szCs w:val="22"/>
          <w:lang w:val="es-ES_tradnl" w:eastAsia="es-ES"/>
        </w:rPr>
        <w:t>ampliaciones para viabilizar la ejecución</w:t>
      </w:r>
      <w:r w:rsidR="00BB38CC">
        <w:rPr>
          <w:rFonts w:ascii="Times New Roman" w:eastAsiaTheme="majorEastAsia" w:hAnsi="Times New Roman" w:cs="Times New Roman"/>
          <w:bCs/>
          <w:sz w:val="22"/>
          <w:szCs w:val="22"/>
          <w:lang w:val="es-ES_tradnl" w:eastAsia="es-ES"/>
        </w:rPr>
        <w:t xml:space="preserve"> de la mejor manera posible</w:t>
      </w:r>
      <w:r w:rsidRPr="004A66F0">
        <w:rPr>
          <w:rFonts w:ascii="Times New Roman" w:eastAsiaTheme="majorEastAsia" w:hAnsi="Times New Roman" w:cs="Times New Roman"/>
          <w:bCs/>
          <w:sz w:val="22"/>
          <w:szCs w:val="22"/>
          <w:lang w:val="es-ES_tradnl" w:eastAsia="es-ES"/>
        </w:rPr>
        <w:t>.</w:t>
      </w:r>
    </w:p>
    <w:p w14:paraId="41265E6E" w14:textId="77777777" w:rsidR="001A4AC4" w:rsidRPr="004A66F0" w:rsidRDefault="001A4AC4" w:rsidP="000656CC">
      <w:pPr>
        <w:contextualSpacing/>
        <w:jc w:val="both"/>
        <w:rPr>
          <w:rFonts w:ascii="Times New Roman" w:eastAsiaTheme="majorEastAsia" w:hAnsi="Times New Roman" w:cs="Times New Roman"/>
          <w:bCs/>
          <w:color w:val="FF0000"/>
          <w:sz w:val="22"/>
          <w:szCs w:val="22"/>
          <w:lang w:val="es-ES_tradnl" w:eastAsia="es-ES"/>
        </w:rPr>
      </w:pPr>
    </w:p>
    <w:p w14:paraId="780189F5" w14:textId="380731A7" w:rsidR="001A4AC4" w:rsidRPr="004A66F0" w:rsidRDefault="001A4AC4" w:rsidP="000656CC">
      <w:pPr>
        <w:contextualSpacing/>
        <w:jc w:val="both"/>
        <w:rPr>
          <w:rFonts w:ascii="Times New Roman" w:eastAsiaTheme="majorEastAsia" w:hAnsi="Times New Roman" w:cs="Times New Roman"/>
          <w:b/>
          <w:bCs/>
          <w:color w:val="FF0000"/>
          <w:sz w:val="22"/>
          <w:szCs w:val="22"/>
          <w:lang w:val="es-ES_tradnl" w:eastAsia="es-ES"/>
        </w:rPr>
      </w:pPr>
      <w:r w:rsidRPr="004A66F0">
        <w:rPr>
          <w:rFonts w:ascii="Times New Roman" w:eastAsiaTheme="majorEastAsia" w:hAnsi="Times New Roman" w:cs="Times New Roman"/>
          <w:bCs/>
          <w:sz w:val="22"/>
          <w:szCs w:val="22"/>
          <w:lang w:val="es-ES_tradnl" w:eastAsia="es-ES"/>
        </w:rPr>
        <w:t xml:space="preserve">El presente documento </w:t>
      </w:r>
      <w:r w:rsidR="002744F3">
        <w:rPr>
          <w:rFonts w:ascii="Times New Roman" w:eastAsiaTheme="majorEastAsia" w:hAnsi="Times New Roman" w:cs="Times New Roman"/>
          <w:bCs/>
          <w:sz w:val="22"/>
          <w:szCs w:val="22"/>
          <w:lang w:val="es-ES_tradnl" w:eastAsia="es-ES"/>
        </w:rPr>
        <w:t>fue</w:t>
      </w:r>
      <w:r w:rsidR="002744F3" w:rsidRPr="004A66F0">
        <w:rPr>
          <w:rFonts w:ascii="Times New Roman" w:eastAsiaTheme="majorEastAsia" w:hAnsi="Times New Roman" w:cs="Times New Roman"/>
          <w:bCs/>
          <w:sz w:val="22"/>
          <w:szCs w:val="22"/>
          <w:lang w:val="es-ES_tradnl" w:eastAsia="es-ES"/>
        </w:rPr>
        <w:t xml:space="preserve"> </w:t>
      </w:r>
      <w:r w:rsidRPr="004A66F0">
        <w:rPr>
          <w:rFonts w:ascii="Times New Roman" w:eastAsiaTheme="majorEastAsia" w:hAnsi="Times New Roman" w:cs="Times New Roman"/>
          <w:bCs/>
          <w:sz w:val="22"/>
          <w:szCs w:val="22"/>
          <w:lang w:val="es-ES_tradnl" w:eastAsia="es-ES"/>
        </w:rPr>
        <w:t xml:space="preserve">elaborado por la Dirección de Análisis y Política Fiscal </w:t>
      </w:r>
      <w:r w:rsidR="002744F3" w:rsidRPr="004A66F0">
        <w:rPr>
          <w:rFonts w:ascii="Times New Roman" w:eastAsiaTheme="majorEastAsia" w:hAnsi="Times New Roman" w:cs="Times New Roman"/>
          <w:bCs/>
          <w:sz w:val="22"/>
          <w:szCs w:val="22"/>
          <w:lang w:val="es-ES_tradnl" w:eastAsia="es-ES"/>
        </w:rPr>
        <w:t>– DAPF –</w:t>
      </w:r>
      <w:r w:rsidR="002744F3">
        <w:rPr>
          <w:rFonts w:ascii="Times New Roman" w:eastAsiaTheme="majorEastAsia" w:hAnsi="Times New Roman" w:cs="Times New Roman"/>
          <w:bCs/>
          <w:sz w:val="22"/>
          <w:szCs w:val="22"/>
          <w:lang w:val="es-ES_tradnl" w:eastAsia="es-ES"/>
        </w:rPr>
        <w:t xml:space="preserve"> </w:t>
      </w:r>
      <w:r w:rsidRPr="004A66F0">
        <w:rPr>
          <w:rFonts w:ascii="Times New Roman" w:eastAsiaTheme="majorEastAsia" w:hAnsi="Times New Roman" w:cs="Times New Roman"/>
          <w:bCs/>
          <w:sz w:val="22"/>
          <w:szCs w:val="22"/>
          <w:lang w:val="es-ES_tradnl" w:eastAsia="es-ES"/>
        </w:rPr>
        <w:t xml:space="preserve">del Ministerio de Finanzas Públicas, </w:t>
      </w:r>
      <w:r>
        <w:rPr>
          <w:rFonts w:ascii="Times New Roman" w:eastAsiaTheme="majorEastAsia" w:hAnsi="Times New Roman" w:cs="Times New Roman"/>
          <w:bCs/>
          <w:sz w:val="22"/>
          <w:szCs w:val="22"/>
          <w:lang w:val="es-ES_tradnl" w:eastAsia="es-ES"/>
        </w:rPr>
        <w:t>en</w:t>
      </w:r>
      <w:r w:rsidRPr="004A66F0">
        <w:rPr>
          <w:rFonts w:ascii="Times New Roman" w:eastAsiaTheme="majorEastAsia" w:hAnsi="Times New Roman" w:cs="Times New Roman"/>
          <w:bCs/>
          <w:sz w:val="22"/>
          <w:szCs w:val="22"/>
          <w:lang w:val="es-ES_tradnl" w:eastAsia="es-ES"/>
        </w:rPr>
        <w:t xml:space="preserve"> cumplimiento </w:t>
      </w:r>
      <w:r>
        <w:rPr>
          <w:rFonts w:ascii="Times New Roman" w:eastAsiaTheme="majorEastAsia" w:hAnsi="Times New Roman" w:cs="Times New Roman"/>
          <w:bCs/>
          <w:sz w:val="22"/>
          <w:szCs w:val="22"/>
          <w:lang w:val="es-ES_tradnl" w:eastAsia="es-ES"/>
        </w:rPr>
        <w:t>al</w:t>
      </w:r>
      <w:r w:rsidRPr="004A66F0">
        <w:rPr>
          <w:rFonts w:ascii="Times New Roman" w:eastAsiaTheme="majorEastAsia" w:hAnsi="Times New Roman" w:cs="Times New Roman"/>
          <w:bCs/>
          <w:sz w:val="22"/>
          <w:szCs w:val="22"/>
          <w:lang w:val="es-ES_tradnl" w:eastAsia="es-ES"/>
        </w:rPr>
        <w:t xml:space="preserve"> Acuerdo Gubernativo No. 118-2018, Reglamento Orgánico del Ministerio de Finanzas Públicas, el cual dicta en su Artículo 54, que dicha dependencia es responsable de la formulación y seguimiento de la política fiscal, así como de concentrar y proveer información de índole fiscal, mediante análisis económicos y fiscales. El “</w:t>
      </w:r>
      <w:r w:rsidRPr="004A66F0">
        <w:rPr>
          <w:rFonts w:ascii="Times New Roman" w:eastAsiaTheme="majorEastAsia" w:hAnsi="Times New Roman" w:cs="Times New Roman"/>
          <w:bCs/>
          <w:i/>
          <w:sz w:val="22"/>
          <w:szCs w:val="22"/>
          <w:u w:val="single"/>
          <w:lang w:val="es-ES_tradnl" w:eastAsia="es-ES"/>
        </w:rPr>
        <w:t>Informe de desempeño de la Política Fiscal 202</w:t>
      </w:r>
      <w:r w:rsidR="001D7A7E">
        <w:rPr>
          <w:rFonts w:ascii="Times New Roman" w:eastAsiaTheme="majorEastAsia" w:hAnsi="Times New Roman" w:cs="Times New Roman"/>
          <w:bCs/>
          <w:i/>
          <w:sz w:val="22"/>
          <w:szCs w:val="22"/>
          <w:u w:val="single"/>
          <w:lang w:val="es-ES_tradnl" w:eastAsia="es-ES"/>
        </w:rPr>
        <w:t>3</w:t>
      </w:r>
      <w:r w:rsidRPr="004A66F0">
        <w:rPr>
          <w:rFonts w:ascii="Times New Roman" w:eastAsiaTheme="majorEastAsia" w:hAnsi="Times New Roman" w:cs="Times New Roman"/>
          <w:bCs/>
          <w:i/>
          <w:sz w:val="22"/>
          <w:szCs w:val="22"/>
          <w:u w:val="single"/>
          <w:lang w:val="es-ES_tradnl" w:eastAsia="es-ES"/>
        </w:rPr>
        <w:t xml:space="preserve"> y Perspectivas 202</w:t>
      </w:r>
      <w:r w:rsidR="001D7A7E">
        <w:rPr>
          <w:rFonts w:ascii="Times New Roman" w:eastAsiaTheme="majorEastAsia" w:hAnsi="Times New Roman" w:cs="Times New Roman"/>
          <w:bCs/>
          <w:i/>
          <w:sz w:val="22"/>
          <w:szCs w:val="22"/>
          <w:u w:val="single"/>
          <w:lang w:val="es-ES_tradnl" w:eastAsia="es-ES"/>
        </w:rPr>
        <w:t>4</w:t>
      </w:r>
      <w:r w:rsidRPr="004A66F0">
        <w:rPr>
          <w:rFonts w:ascii="Times New Roman" w:eastAsiaTheme="majorEastAsia" w:hAnsi="Times New Roman" w:cs="Times New Roman"/>
          <w:bCs/>
          <w:sz w:val="22"/>
          <w:szCs w:val="22"/>
          <w:lang w:val="es-ES_tradnl" w:eastAsia="es-ES"/>
        </w:rPr>
        <w:t>”, contiene los aspectos más relevantes de la evolución en materia de ingresos, gasto público y financiamiento y las medidas de política fiscal impulsadas por</w:t>
      </w:r>
      <w:r w:rsidR="002744F3">
        <w:rPr>
          <w:rFonts w:ascii="Times New Roman" w:eastAsiaTheme="majorEastAsia" w:hAnsi="Times New Roman" w:cs="Times New Roman"/>
          <w:bCs/>
          <w:sz w:val="22"/>
          <w:szCs w:val="22"/>
          <w:lang w:val="es-ES_tradnl" w:eastAsia="es-ES"/>
        </w:rPr>
        <w:t xml:space="preserve"> las autoridades</w:t>
      </w:r>
      <w:r w:rsidRPr="004A66F0">
        <w:rPr>
          <w:rFonts w:ascii="Times New Roman" w:eastAsiaTheme="majorEastAsia" w:hAnsi="Times New Roman" w:cs="Times New Roman"/>
          <w:bCs/>
          <w:sz w:val="22"/>
          <w:szCs w:val="22"/>
          <w:lang w:val="es-ES_tradnl" w:eastAsia="es-ES"/>
        </w:rPr>
        <w:t xml:space="preserve">. Asimismo, el documento incluye un anexo macroeconómico con el comportamiento de la economía tanto en el ámbito nacional como internacional. </w:t>
      </w:r>
    </w:p>
    <w:p w14:paraId="0F09149C" w14:textId="1F6D16F4" w:rsidR="00FD000D" w:rsidRDefault="00FD000D" w:rsidP="000656CC">
      <w:pPr>
        <w:rPr>
          <w:rFonts w:ascii="Times New Roman" w:eastAsiaTheme="majorEastAsia" w:hAnsi="Times New Roman" w:cs="Times New Roman"/>
          <w:b/>
          <w:bCs/>
          <w:sz w:val="26"/>
          <w:szCs w:val="26"/>
          <w:lang w:val="es-ES_tradnl" w:eastAsia="es-ES"/>
        </w:rPr>
      </w:pPr>
    </w:p>
    <w:p w14:paraId="37165A3F" w14:textId="6F90E0ED" w:rsidR="000656CC" w:rsidRDefault="000656CC" w:rsidP="000656CC">
      <w:pPr>
        <w:rPr>
          <w:rFonts w:ascii="Times New Roman" w:eastAsiaTheme="majorEastAsia" w:hAnsi="Times New Roman" w:cs="Times New Roman"/>
          <w:b/>
          <w:bCs/>
          <w:sz w:val="26"/>
          <w:szCs w:val="26"/>
          <w:lang w:val="es-ES_tradnl" w:eastAsia="es-ES"/>
        </w:rPr>
      </w:pPr>
    </w:p>
    <w:p w14:paraId="2411CD39" w14:textId="59FAD78D" w:rsidR="000656CC" w:rsidRDefault="000656CC" w:rsidP="000656CC">
      <w:pPr>
        <w:rPr>
          <w:rFonts w:ascii="Times New Roman" w:eastAsiaTheme="majorEastAsia" w:hAnsi="Times New Roman" w:cs="Times New Roman"/>
          <w:b/>
          <w:bCs/>
          <w:sz w:val="26"/>
          <w:szCs w:val="26"/>
          <w:lang w:val="es-ES_tradnl" w:eastAsia="es-ES"/>
        </w:rPr>
      </w:pPr>
    </w:p>
    <w:p w14:paraId="072C1FE2" w14:textId="42CFC48B" w:rsidR="000656CC" w:rsidRDefault="000656CC" w:rsidP="000656CC">
      <w:pPr>
        <w:rPr>
          <w:rFonts w:ascii="Times New Roman" w:eastAsiaTheme="majorEastAsia" w:hAnsi="Times New Roman" w:cs="Times New Roman"/>
          <w:b/>
          <w:bCs/>
          <w:sz w:val="26"/>
          <w:szCs w:val="26"/>
          <w:lang w:val="es-ES_tradnl" w:eastAsia="es-ES"/>
        </w:rPr>
      </w:pPr>
    </w:p>
    <w:p w14:paraId="37B3DF1D" w14:textId="0A83347B" w:rsidR="000656CC" w:rsidRDefault="000656CC" w:rsidP="000656CC">
      <w:pPr>
        <w:rPr>
          <w:rFonts w:ascii="Times New Roman" w:eastAsiaTheme="majorEastAsia" w:hAnsi="Times New Roman" w:cs="Times New Roman"/>
          <w:b/>
          <w:bCs/>
          <w:sz w:val="26"/>
          <w:szCs w:val="26"/>
          <w:lang w:val="es-ES_tradnl" w:eastAsia="es-ES"/>
        </w:rPr>
      </w:pPr>
    </w:p>
    <w:p w14:paraId="6680F719" w14:textId="7C945E8F" w:rsidR="000656CC" w:rsidRDefault="000656CC" w:rsidP="000656CC">
      <w:pPr>
        <w:rPr>
          <w:rFonts w:ascii="Times New Roman" w:eastAsiaTheme="majorEastAsia" w:hAnsi="Times New Roman" w:cs="Times New Roman"/>
          <w:b/>
          <w:bCs/>
          <w:sz w:val="26"/>
          <w:szCs w:val="26"/>
          <w:lang w:val="es-ES_tradnl" w:eastAsia="es-ES"/>
        </w:rPr>
      </w:pPr>
    </w:p>
    <w:p w14:paraId="62FC840A" w14:textId="0C6269A6" w:rsidR="000656CC" w:rsidRDefault="000656CC" w:rsidP="000656CC">
      <w:pPr>
        <w:rPr>
          <w:rFonts w:ascii="Times New Roman" w:eastAsiaTheme="majorEastAsia" w:hAnsi="Times New Roman" w:cs="Times New Roman"/>
          <w:b/>
          <w:bCs/>
          <w:sz w:val="26"/>
          <w:szCs w:val="26"/>
          <w:lang w:val="es-ES_tradnl" w:eastAsia="es-ES"/>
        </w:rPr>
      </w:pPr>
    </w:p>
    <w:p w14:paraId="367BBC01" w14:textId="43E83CC4" w:rsidR="000656CC" w:rsidRDefault="000656CC" w:rsidP="000656CC">
      <w:pPr>
        <w:rPr>
          <w:rFonts w:ascii="Times New Roman" w:eastAsiaTheme="majorEastAsia" w:hAnsi="Times New Roman" w:cs="Times New Roman"/>
          <w:b/>
          <w:bCs/>
          <w:sz w:val="26"/>
          <w:szCs w:val="26"/>
          <w:lang w:val="es-ES_tradnl" w:eastAsia="es-ES"/>
        </w:rPr>
      </w:pPr>
    </w:p>
    <w:p w14:paraId="3F701334" w14:textId="499D903A" w:rsidR="000656CC" w:rsidRDefault="000656CC" w:rsidP="000656CC">
      <w:pPr>
        <w:rPr>
          <w:rFonts w:ascii="Times New Roman" w:eastAsiaTheme="majorEastAsia" w:hAnsi="Times New Roman" w:cs="Times New Roman"/>
          <w:b/>
          <w:bCs/>
          <w:sz w:val="26"/>
          <w:szCs w:val="26"/>
          <w:lang w:val="es-ES_tradnl" w:eastAsia="es-ES"/>
        </w:rPr>
      </w:pPr>
    </w:p>
    <w:p w14:paraId="3CB2CED9" w14:textId="32B62324" w:rsidR="000656CC" w:rsidRDefault="000656CC" w:rsidP="000656CC">
      <w:pPr>
        <w:rPr>
          <w:rFonts w:ascii="Times New Roman" w:eastAsiaTheme="majorEastAsia" w:hAnsi="Times New Roman" w:cs="Times New Roman"/>
          <w:b/>
          <w:bCs/>
          <w:sz w:val="26"/>
          <w:szCs w:val="26"/>
          <w:lang w:val="es-ES_tradnl" w:eastAsia="es-ES"/>
        </w:rPr>
      </w:pPr>
    </w:p>
    <w:p w14:paraId="106EDA6C" w14:textId="0F747C7E" w:rsidR="000656CC" w:rsidRDefault="000656CC" w:rsidP="000656CC">
      <w:pPr>
        <w:rPr>
          <w:rFonts w:ascii="Times New Roman" w:eastAsiaTheme="majorEastAsia" w:hAnsi="Times New Roman" w:cs="Times New Roman"/>
          <w:b/>
          <w:bCs/>
          <w:sz w:val="26"/>
          <w:szCs w:val="26"/>
          <w:lang w:val="es-ES_tradnl" w:eastAsia="es-ES"/>
        </w:rPr>
      </w:pPr>
    </w:p>
    <w:p w14:paraId="02D8A00E" w14:textId="555D759C" w:rsidR="000656CC" w:rsidRDefault="000656CC" w:rsidP="000656CC">
      <w:pPr>
        <w:rPr>
          <w:rFonts w:ascii="Times New Roman" w:eastAsiaTheme="majorEastAsia" w:hAnsi="Times New Roman" w:cs="Times New Roman"/>
          <w:b/>
          <w:bCs/>
          <w:sz w:val="26"/>
          <w:szCs w:val="26"/>
          <w:lang w:val="es-ES_tradnl" w:eastAsia="es-ES"/>
        </w:rPr>
      </w:pPr>
    </w:p>
    <w:p w14:paraId="7D75B656" w14:textId="77777777" w:rsidR="000656CC" w:rsidRDefault="000656CC" w:rsidP="000656CC">
      <w:pPr>
        <w:rPr>
          <w:rFonts w:ascii="Times New Roman" w:eastAsiaTheme="majorEastAsia" w:hAnsi="Times New Roman" w:cs="Times New Roman"/>
          <w:b/>
          <w:bCs/>
          <w:sz w:val="26"/>
          <w:szCs w:val="26"/>
          <w:lang w:val="es-ES_tradnl" w:eastAsia="es-ES"/>
        </w:rPr>
      </w:pPr>
    </w:p>
    <w:p w14:paraId="22E55384" w14:textId="77777777" w:rsidR="000656CC" w:rsidRPr="00DA2155" w:rsidRDefault="000656CC" w:rsidP="000656CC">
      <w:pPr>
        <w:rPr>
          <w:rFonts w:ascii="Times New Roman" w:eastAsiaTheme="majorEastAsia" w:hAnsi="Times New Roman" w:cs="Times New Roman"/>
          <w:b/>
          <w:bCs/>
          <w:sz w:val="26"/>
          <w:szCs w:val="26"/>
          <w:lang w:val="es-ES_tradnl" w:eastAsia="es-ES"/>
        </w:rPr>
      </w:pPr>
    </w:p>
    <w:p w14:paraId="3F31EFB6" w14:textId="50A96EB6" w:rsidR="006710E8" w:rsidRPr="00576FBE" w:rsidRDefault="006710E8" w:rsidP="006710E8">
      <w:pPr>
        <w:pStyle w:val="Prrafodelista"/>
        <w:numPr>
          <w:ilvl w:val="0"/>
          <w:numId w:val="1"/>
        </w:numPr>
        <w:spacing w:line="276" w:lineRule="auto"/>
        <w:ind w:left="284" w:hanging="284"/>
        <w:outlineLvl w:val="0"/>
        <w:rPr>
          <w:rFonts w:ascii="Times New Roman" w:eastAsiaTheme="majorEastAsia" w:hAnsi="Times New Roman" w:cs="Times New Roman"/>
          <w:b/>
          <w:bCs/>
          <w:sz w:val="26"/>
          <w:szCs w:val="26"/>
          <w:lang w:val="es-ES_tradnl" w:eastAsia="es-ES"/>
        </w:rPr>
      </w:pPr>
      <w:bookmarkStart w:id="5" w:name="_Toc160196843"/>
      <w:r w:rsidRPr="00576FBE">
        <w:rPr>
          <w:rFonts w:ascii="Times New Roman" w:eastAsiaTheme="majorEastAsia" w:hAnsi="Times New Roman" w:cs="Times New Roman"/>
          <w:b/>
          <w:bCs/>
          <w:sz w:val="26"/>
          <w:szCs w:val="26"/>
          <w:lang w:val="es-ES_tradnl" w:eastAsia="es-ES"/>
        </w:rPr>
        <w:lastRenderedPageBreak/>
        <w:t>Ingresos Fiscales</w:t>
      </w:r>
      <w:bookmarkEnd w:id="2"/>
      <w:bookmarkEnd w:id="5"/>
    </w:p>
    <w:p w14:paraId="79C5DE59" w14:textId="77777777" w:rsidR="006710E8" w:rsidRPr="0048246B" w:rsidRDefault="006710E8" w:rsidP="0048246B">
      <w:pPr>
        <w:contextualSpacing/>
        <w:rPr>
          <w:rFonts w:ascii="Times New Roman" w:eastAsia="Times New Roman" w:hAnsi="Times New Roman" w:cs="Times New Roman"/>
          <w:color w:val="FF0000"/>
          <w:sz w:val="22"/>
          <w:szCs w:val="22"/>
        </w:rPr>
      </w:pPr>
    </w:p>
    <w:p w14:paraId="36EFF63E" w14:textId="31CF3616" w:rsidR="006710E8" w:rsidRPr="0048246B" w:rsidRDefault="006710E8" w:rsidP="006710E8">
      <w:pPr>
        <w:keepNext/>
        <w:keepLines/>
        <w:numPr>
          <w:ilvl w:val="1"/>
          <w:numId w:val="21"/>
        </w:numPr>
        <w:spacing w:line="276" w:lineRule="auto"/>
        <w:ind w:left="567" w:hanging="283"/>
        <w:contextualSpacing/>
        <w:outlineLvl w:val="1"/>
        <w:rPr>
          <w:rFonts w:ascii="Times New Roman" w:eastAsiaTheme="majorEastAsia" w:hAnsi="Times New Roman" w:cs="Times New Roman"/>
          <w:b/>
          <w:bCs/>
          <w:szCs w:val="28"/>
        </w:rPr>
      </w:pPr>
      <w:bookmarkStart w:id="6" w:name="_Toc94259620"/>
      <w:r w:rsidRPr="0048246B">
        <w:rPr>
          <w:rFonts w:ascii="Times New Roman" w:eastAsiaTheme="majorEastAsia" w:hAnsi="Times New Roman" w:cs="Times New Roman"/>
          <w:b/>
          <w:bCs/>
          <w:szCs w:val="28"/>
        </w:rPr>
        <w:t xml:space="preserve"> </w:t>
      </w:r>
      <w:bookmarkStart w:id="7" w:name="_Toc471987131"/>
      <w:bookmarkStart w:id="8" w:name="_Toc64025420"/>
      <w:bookmarkStart w:id="9" w:name="_Toc155865447"/>
      <w:bookmarkStart w:id="10" w:name="_Toc160196844"/>
      <w:bookmarkEnd w:id="6"/>
      <w:r w:rsidR="005A3C25" w:rsidRPr="0048246B">
        <w:rPr>
          <w:rFonts w:ascii="Times New Roman" w:eastAsiaTheme="majorEastAsia" w:hAnsi="Times New Roman" w:cs="Times New Roman"/>
          <w:b/>
          <w:bCs/>
          <w:szCs w:val="28"/>
        </w:rPr>
        <w:t xml:space="preserve">La </w:t>
      </w:r>
      <w:r w:rsidRPr="0048246B">
        <w:rPr>
          <w:rFonts w:ascii="Times New Roman" w:eastAsiaTheme="majorEastAsia" w:hAnsi="Times New Roman" w:cs="Times New Roman"/>
          <w:b/>
          <w:bCs/>
          <w:szCs w:val="28"/>
        </w:rPr>
        <w:t xml:space="preserve">Recaudación tributaria </w:t>
      </w:r>
      <w:bookmarkEnd w:id="7"/>
      <w:r w:rsidRPr="0048246B">
        <w:rPr>
          <w:rFonts w:ascii="Times New Roman" w:eastAsiaTheme="majorEastAsia" w:hAnsi="Times New Roman" w:cs="Times New Roman"/>
          <w:b/>
          <w:bCs/>
          <w:szCs w:val="28"/>
        </w:rPr>
        <w:t>de 2023 mantuvo el dinamismo</w:t>
      </w:r>
      <w:bookmarkEnd w:id="8"/>
      <w:r w:rsidRPr="0048246B">
        <w:rPr>
          <w:rFonts w:ascii="Times New Roman" w:eastAsiaTheme="majorEastAsia" w:hAnsi="Times New Roman" w:cs="Times New Roman"/>
          <w:b/>
          <w:bCs/>
          <w:szCs w:val="28"/>
        </w:rPr>
        <w:t xml:space="preserve"> observado en 202</w:t>
      </w:r>
      <w:bookmarkEnd w:id="9"/>
      <w:r w:rsidRPr="0048246B">
        <w:rPr>
          <w:rFonts w:ascii="Times New Roman" w:eastAsiaTheme="majorEastAsia" w:hAnsi="Times New Roman" w:cs="Times New Roman"/>
          <w:b/>
          <w:bCs/>
          <w:szCs w:val="28"/>
        </w:rPr>
        <w:t>2</w:t>
      </w:r>
      <w:bookmarkEnd w:id="10"/>
    </w:p>
    <w:p w14:paraId="2EC67062" w14:textId="77777777" w:rsidR="006710E8" w:rsidRPr="00194B80" w:rsidRDefault="006710E8" w:rsidP="000656CC">
      <w:pPr>
        <w:contextualSpacing/>
        <w:jc w:val="both"/>
        <w:rPr>
          <w:rFonts w:ascii="Times New Roman" w:eastAsia="Times New Roman" w:hAnsi="Times New Roman" w:cs="Times New Roman"/>
          <w:b/>
          <w:sz w:val="22"/>
          <w:szCs w:val="22"/>
          <w:lang w:val="es-MX"/>
        </w:rPr>
      </w:pPr>
    </w:p>
    <w:p w14:paraId="0DD21A80" w14:textId="2E18FDD3" w:rsidR="006710E8" w:rsidRPr="00885B1F" w:rsidRDefault="006710E8" w:rsidP="000656CC">
      <w:pPr>
        <w:contextualSpacing/>
        <w:jc w:val="both"/>
        <w:rPr>
          <w:rFonts w:ascii="Times New Roman" w:eastAsia="Times New Roman" w:hAnsi="Times New Roman" w:cs="Times New Roman"/>
          <w:color w:val="FF0000"/>
          <w:sz w:val="22"/>
          <w:szCs w:val="22"/>
        </w:rPr>
      </w:pPr>
      <w:r w:rsidRPr="00194B80">
        <w:rPr>
          <w:rFonts w:ascii="Times New Roman" w:eastAsia="Times New Roman" w:hAnsi="Times New Roman" w:cs="Times New Roman"/>
          <w:sz w:val="22"/>
          <w:szCs w:val="22"/>
        </w:rPr>
        <w:t xml:space="preserve">La recaudación tributaria en el ejercicio fiscal de 2023 estuvo determinada por el desempeño de la actividad económica que </w:t>
      </w:r>
      <w:r w:rsidRPr="005630B2">
        <w:rPr>
          <w:rFonts w:ascii="Times New Roman" w:eastAsia="Times New Roman" w:hAnsi="Times New Roman" w:cs="Times New Roman"/>
          <w:sz w:val="22"/>
          <w:szCs w:val="22"/>
        </w:rPr>
        <w:t>experimentó un crecimiento estable, respaldado por una gestión fiscal prudente.   A lo largo del año no existió mayor variación en el escenario macroeconómico nacional, a pesar de la volatilidad y amenaza de los mercados internacionale</w:t>
      </w:r>
      <w:r w:rsidRPr="0059602E">
        <w:rPr>
          <w:rFonts w:ascii="Times New Roman" w:eastAsia="Times New Roman" w:hAnsi="Times New Roman" w:cs="Times New Roman"/>
          <w:sz w:val="22"/>
          <w:szCs w:val="22"/>
        </w:rPr>
        <w:t xml:space="preserve">s, la situación económica de los principales socios comerciales y los conflictos geopolíticos actuales. El escenario macroeconómico vigente, proporcionado por el Banco de Guatemala </w:t>
      </w:r>
      <w:r>
        <w:rPr>
          <w:rFonts w:ascii="Times New Roman" w:eastAsia="Times New Roman" w:hAnsi="Times New Roman" w:cs="Times New Roman"/>
          <w:sz w:val="22"/>
          <w:szCs w:val="22"/>
        </w:rPr>
        <w:t>e</w:t>
      </w:r>
      <w:r w:rsidRPr="0059602E">
        <w:rPr>
          <w:rFonts w:ascii="Times New Roman" w:eastAsia="Times New Roman" w:hAnsi="Times New Roman" w:cs="Times New Roman"/>
          <w:sz w:val="22"/>
          <w:szCs w:val="22"/>
        </w:rPr>
        <w:t xml:space="preserve">l 29 de diciembre de 2023, </w:t>
      </w:r>
      <w:r>
        <w:rPr>
          <w:rFonts w:ascii="Times New Roman" w:eastAsia="Times New Roman" w:hAnsi="Times New Roman" w:cs="Times New Roman"/>
          <w:sz w:val="22"/>
          <w:szCs w:val="22"/>
        </w:rPr>
        <w:t>confirma una variación en el crecimiento económico de 3.5%, un PIB nominal de 8.6% y una caída en las importaciones de 1.5%</w:t>
      </w:r>
      <w:r w:rsidR="009A38FE">
        <w:rPr>
          <w:rFonts w:ascii="Times New Roman" w:eastAsia="Times New Roman" w:hAnsi="Times New Roman" w:cs="Times New Roman"/>
          <w:sz w:val="22"/>
          <w:szCs w:val="22"/>
        </w:rPr>
        <w:t>,</w:t>
      </w:r>
      <w:r>
        <w:rPr>
          <w:rFonts w:ascii="Times New Roman" w:eastAsia="Times New Roman" w:hAnsi="Times New Roman" w:cs="Times New Roman"/>
          <w:sz w:val="22"/>
          <w:szCs w:val="22"/>
        </w:rPr>
        <w:t xml:space="preserve"> lo cual afectó de manera directa a la recaudación asociada al comercio exterior.</w:t>
      </w:r>
    </w:p>
    <w:p w14:paraId="504F4B22" w14:textId="77777777" w:rsidR="006710E8" w:rsidRPr="00885B1F" w:rsidRDefault="006710E8" w:rsidP="000656CC">
      <w:pPr>
        <w:contextualSpacing/>
        <w:jc w:val="both"/>
        <w:rPr>
          <w:rFonts w:ascii="Times New Roman" w:eastAsia="Times New Roman" w:hAnsi="Times New Roman" w:cs="Times New Roman"/>
          <w:color w:val="FF0000"/>
          <w:sz w:val="22"/>
          <w:szCs w:val="22"/>
        </w:rPr>
      </w:pPr>
    </w:p>
    <w:p w14:paraId="0D023EC2" w14:textId="290D2C5E" w:rsidR="006710E8" w:rsidRPr="0059602E" w:rsidRDefault="006710E8" w:rsidP="000656CC">
      <w:pPr>
        <w:contextualSpacing/>
        <w:jc w:val="both"/>
        <w:rPr>
          <w:rFonts w:ascii="Times New Roman" w:eastAsia="Times New Roman" w:hAnsi="Times New Roman" w:cs="Times New Roman"/>
          <w:sz w:val="22"/>
          <w:szCs w:val="22"/>
        </w:rPr>
      </w:pPr>
      <w:r w:rsidRPr="00384939">
        <w:rPr>
          <w:rFonts w:ascii="Times New Roman" w:eastAsia="Times New Roman" w:hAnsi="Times New Roman" w:cs="Times New Roman"/>
          <w:sz w:val="22"/>
          <w:szCs w:val="22"/>
        </w:rPr>
        <w:t xml:space="preserve">La recaudación tributaria total </w:t>
      </w:r>
      <w:r>
        <w:rPr>
          <w:rFonts w:ascii="Times New Roman" w:eastAsia="Times New Roman" w:hAnsi="Times New Roman" w:cs="Times New Roman"/>
          <w:sz w:val="22"/>
          <w:szCs w:val="22"/>
        </w:rPr>
        <w:t xml:space="preserve">entre enero y diciembre </w:t>
      </w:r>
      <w:r w:rsidRPr="00384939">
        <w:rPr>
          <w:rFonts w:ascii="Times New Roman" w:eastAsia="Times New Roman" w:hAnsi="Times New Roman" w:cs="Times New Roman"/>
          <w:sz w:val="22"/>
          <w:szCs w:val="22"/>
        </w:rPr>
        <w:t>de</w:t>
      </w:r>
      <w:r>
        <w:rPr>
          <w:rFonts w:ascii="Times New Roman" w:eastAsia="Times New Roman" w:hAnsi="Times New Roman" w:cs="Times New Roman"/>
          <w:sz w:val="22"/>
          <w:szCs w:val="22"/>
        </w:rPr>
        <w:t>l</w:t>
      </w:r>
      <w:r w:rsidRPr="00384939">
        <w:rPr>
          <w:rFonts w:ascii="Times New Roman" w:eastAsia="Times New Roman" w:hAnsi="Times New Roman" w:cs="Times New Roman"/>
          <w:sz w:val="22"/>
          <w:szCs w:val="22"/>
        </w:rPr>
        <w:t xml:space="preserve"> 2023 fue de Q95,5</w:t>
      </w:r>
      <w:r>
        <w:rPr>
          <w:rFonts w:ascii="Times New Roman" w:eastAsia="Times New Roman" w:hAnsi="Times New Roman" w:cs="Times New Roman"/>
          <w:sz w:val="22"/>
          <w:szCs w:val="22"/>
        </w:rPr>
        <w:t>4</w:t>
      </w:r>
      <w:r w:rsidR="00FE3E89">
        <w:rPr>
          <w:rFonts w:ascii="Times New Roman" w:eastAsia="Times New Roman" w:hAnsi="Times New Roman" w:cs="Times New Roman"/>
          <w:sz w:val="22"/>
          <w:szCs w:val="22"/>
        </w:rPr>
        <w:t>7</w:t>
      </w:r>
      <w:r w:rsidR="00FD51D8">
        <w:rPr>
          <w:rFonts w:ascii="Times New Roman" w:eastAsia="Times New Roman" w:hAnsi="Times New Roman" w:cs="Times New Roman"/>
          <w:sz w:val="22"/>
          <w:szCs w:val="22"/>
        </w:rPr>
        <w:t>.</w:t>
      </w:r>
      <w:r w:rsidR="00FE3E89">
        <w:rPr>
          <w:rFonts w:ascii="Times New Roman" w:eastAsia="Times New Roman" w:hAnsi="Times New Roman" w:cs="Times New Roman"/>
          <w:sz w:val="22"/>
          <w:szCs w:val="22"/>
        </w:rPr>
        <w:t>8</w:t>
      </w:r>
      <w:r w:rsidR="00FD51D8">
        <w:rPr>
          <w:rFonts w:ascii="Times New Roman" w:eastAsia="Times New Roman" w:hAnsi="Times New Roman" w:cs="Times New Roman"/>
          <w:sz w:val="22"/>
          <w:szCs w:val="22"/>
        </w:rPr>
        <w:t xml:space="preserve"> </w:t>
      </w:r>
      <w:r w:rsidRPr="00384939">
        <w:rPr>
          <w:rFonts w:ascii="Times New Roman" w:eastAsia="Times New Roman" w:hAnsi="Times New Roman" w:cs="Times New Roman"/>
          <w:sz w:val="22"/>
          <w:szCs w:val="22"/>
        </w:rPr>
        <w:t>millones, superior en Q9,</w:t>
      </w:r>
      <w:r w:rsidR="00FE3E89">
        <w:rPr>
          <w:rFonts w:ascii="Times New Roman" w:eastAsia="Times New Roman" w:hAnsi="Times New Roman" w:cs="Times New Roman"/>
          <w:sz w:val="22"/>
          <w:szCs w:val="22"/>
        </w:rPr>
        <w:t>300</w:t>
      </w:r>
      <w:r w:rsidR="00FD51D8">
        <w:rPr>
          <w:rFonts w:ascii="Times New Roman" w:eastAsia="Times New Roman" w:hAnsi="Times New Roman" w:cs="Times New Roman"/>
          <w:sz w:val="22"/>
          <w:szCs w:val="22"/>
        </w:rPr>
        <w:t>.</w:t>
      </w:r>
      <w:r w:rsidR="00FE3E89">
        <w:rPr>
          <w:rFonts w:ascii="Times New Roman" w:eastAsia="Times New Roman" w:hAnsi="Times New Roman" w:cs="Times New Roman"/>
          <w:sz w:val="22"/>
          <w:szCs w:val="22"/>
        </w:rPr>
        <w:t>2</w:t>
      </w:r>
      <w:r w:rsidR="00FD51D8">
        <w:rPr>
          <w:rFonts w:ascii="Times New Roman" w:eastAsia="Times New Roman" w:hAnsi="Times New Roman" w:cs="Times New Roman"/>
          <w:sz w:val="22"/>
          <w:szCs w:val="22"/>
        </w:rPr>
        <w:t xml:space="preserve"> </w:t>
      </w:r>
      <w:r w:rsidRPr="00384939">
        <w:rPr>
          <w:rFonts w:ascii="Times New Roman" w:eastAsia="Times New Roman" w:hAnsi="Times New Roman" w:cs="Times New Roman"/>
          <w:sz w:val="22"/>
          <w:szCs w:val="22"/>
        </w:rPr>
        <w:t>millones respecto a lo establecido en la meta de presupuest</w:t>
      </w:r>
      <w:r w:rsidRPr="000176D9">
        <w:rPr>
          <w:rFonts w:ascii="Times New Roman" w:eastAsia="Times New Roman" w:hAnsi="Times New Roman" w:cs="Times New Roman"/>
          <w:sz w:val="22"/>
          <w:szCs w:val="22"/>
        </w:rPr>
        <w:t>o</w:t>
      </w:r>
      <w:r w:rsidRPr="000176D9">
        <w:rPr>
          <w:rFonts w:ascii="Times New Roman" w:eastAsia="Times New Roman" w:hAnsi="Times New Roman" w:cs="Times New Roman"/>
          <w:sz w:val="22"/>
          <w:szCs w:val="22"/>
          <w:vertAlign w:val="superscript"/>
        </w:rPr>
        <w:footnoteReference w:id="1"/>
      </w:r>
      <w:r w:rsidRPr="000176D9">
        <w:rPr>
          <w:rFonts w:ascii="Times New Roman" w:eastAsia="Times New Roman" w:hAnsi="Times New Roman" w:cs="Times New Roman"/>
          <w:sz w:val="22"/>
          <w:szCs w:val="22"/>
        </w:rPr>
        <w:t>,</w:t>
      </w:r>
      <w:r w:rsidRPr="00885B1F">
        <w:rPr>
          <w:rFonts w:ascii="Times New Roman" w:eastAsia="Times New Roman" w:hAnsi="Times New Roman" w:cs="Times New Roman"/>
          <w:color w:val="FF0000"/>
          <w:sz w:val="22"/>
          <w:szCs w:val="22"/>
        </w:rPr>
        <w:t xml:space="preserve"> </w:t>
      </w:r>
      <w:r w:rsidRPr="00384939">
        <w:rPr>
          <w:rFonts w:ascii="Times New Roman" w:eastAsia="Times New Roman" w:hAnsi="Times New Roman" w:cs="Times New Roman"/>
          <w:sz w:val="22"/>
          <w:szCs w:val="22"/>
        </w:rPr>
        <w:t xml:space="preserve">que se situaba en </w:t>
      </w:r>
      <w:r w:rsidRPr="0059602E">
        <w:rPr>
          <w:rFonts w:ascii="Times New Roman" w:eastAsia="Times New Roman" w:hAnsi="Times New Roman" w:cs="Times New Roman"/>
          <w:sz w:val="22"/>
          <w:szCs w:val="22"/>
        </w:rPr>
        <w:t>Q86,247.6 millones y superior en Q6,9</w:t>
      </w:r>
      <w:r>
        <w:rPr>
          <w:rFonts w:ascii="Times New Roman" w:eastAsia="Times New Roman" w:hAnsi="Times New Roman" w:cs="Times New Roman"/>
          <w:sz w:val="22"/>
          <w:szCs w:val="22"/>
        </w:rPr>
        <w:t>6</w:t>
      </w:r>
      <w:r w:rsidR="00FE3E89">
        <w:rPr>
          <w:rFonts w:ascii="Times New Roman" w:eastAsia="Times New Roman" w:hAnsi="Times New Roman" w:cs="Times New Roman"/>
          <w:sz w:val="22"/>
          <w:szCs w:val="22"/>
        </w:rPr>
        <w:t>8</w:t>
      </w:r>
      <w:r w:rsidR="00FD51D8">
        <w:rPr>
          <w:rFonts w:ascii="Times New Roman" w:eastAsia="Times New Roman" w:hAnsi="Times New Roman" w:cs="Times New Roman"/>
          <w:sz w:val="22"/>
          <w:szCs w:val="22"/>
        </w:rPr>
        <w:t>.</w:t>
      </w:r>
      <w:r w:rsidR="00FE3E89">
        <w:rPr>
          <w:rFonts w:ascii="Times New Roman" w:eastAsia="Times New Roman" w:hAnsi="Times New Roman" w:cs="Times New Roman"/>
          <w:sz w:val="22"/>
          <w:szCs w:val="22"/>
        </w:rPr>
        <w:t>8</w:t>
      </w:r>
      <w:r w:rsidRPr="0059602E">
        <w:rPr>
          <w:rFonts w:ascii="Times New Roman" w:eastAsia="Times New Roman" w:hAnsi="Times New Roman" w:cs="Times New Roman"/>
          <w:sz w:val="22"/>
          <w:szCs w:val="22"/>
        </w:rPr>
        <w:t xml:space="preserve"> millones (7.</w:t>
      </w:r>
      <w:r>
        <w:rPr>
          <w:rFonts w:ascii="Times New Roman" w:eastAsia="Times New Roman" w:hAnsi="Times New Roman" w:cs="Times New Roman"/>
          <w:sz w:val="22"/>
          <w:szCs w:val="22"/>
        </w:rPr>
        <w:t>9</w:t>
      </w:r>
      <w:r w:rsidRPr="0059602E">
        <w:rPr>
          <w:rFonts w:ascii="Times New Roman" w:eastAsia="Times New Roman" w:hAnsi="Times New Roman" w:cs="Times New Roman"/>
          <w:sz w:val="22"/>
          <w:szCs w:val="22"/>
        </w:rPr>
        <w:t xml:space="preserve">%) a lo recaudado en 2022. </w:t>
      </w:r>
      <w:r w:rsidRPr="0059602E" w:rsidDel="00C835AD">
        <w:rPr>
          <w:rFonts w:ascii="Times New Roman" w:eastAsia="Times New Roman" w:hAnsi="Times New Roman" w:cs="Times New Roman"/>
          <w:sz w:val="22"/>
          <w:szCs w:val="22"/>
        </w:rPr>
        <w:t xml:space="preserve"> </w:t>
      </w:r>
    </w:p>
    <w:p w14:paraId="2A2E3F11" w14:textId="77777777" w:rsidR="006710E8" w:rsidRPr="0059602E" w:rsidRDefault="006710E8" w:rsidP="000656CC">
      <w:pPr>
        <w:contextualSpacing/>
        <w:jc w:val="both"/>
        <w:rPr>
          <w:rFonts w:ascii="Times New Roman" w:eastAsia="Times New Roman" w:hAnsi="Times New Roman" w:cs="Times New Roman"/>
          <w:sz w:val="22"/>
          <w:szCs w:val="22"/>
        </w:rPr>
      </w:pPr>
    </w:p>
    <w:p w14:paraId="4B36378E" w14:textId="7762DFC7" w:rsidR="006710E8" w:rsidRPr="0059602E" w:rsidRDefault="006710E8" w:rsidP="000656CC">
      <w:pPr>
        <w:contextualSpacing/>
        <w:jc w:val="both"/>
        <w:rPr>
          <w:rFonts w:ascii="Times New Roman" w:eastAsia="Times New Roman" w:hAnsi="Times New Roman" w:cs="Times New Roman"/>
          <w:sz w:val="22"/>
          <w:szCs w:val="22"/>
        </w:rPr>
      </w:pPr>
      <w:r w:rsidRPr="0059602E">
        <w:rPr>
          <w:rFonts w:ascii="Times New Roman" w:eastAsia="Times New Roman" w:hAnsi="Times New Roman" w:cs="Times New Roman"/>
          <w:sz w:val="22"/>
          <w:szCs w:val="22"/>
        </w:rPr>
        <w:t xml:space="preserve">Los principales impuestos que contribuyeron con la brecha positiva en la recaudación tributaria fueron el Impuesto Sobre la Renta, </w:t>
      </w:r>
      <w:r w:rsidR="00221FF0">
        <w:rPr>
          <w:rFonts w:ascii="Times New Roman" w:eastAsia="Times New Roman" w:hAnsi="Times New Roman" w:cs="Times New Roman"/>
          <w:sz w:val="22"/>
          <w:szCs w:val="22"/>
        </w:rPr>
        <w:t xml:space="preserve">el </w:t>
      </w:r>
      <w:r w:rsidRPr="0059602E">
        <w:rPr>
          <w:rFonts w:ascii="Times New Roman" w:eastAsia="Times New Roman" w:hAnsi="Times New Roman" w:cs="Times New Roman"/>
          <w:sz w:val="22"/>
          <w:szCs w:val="22"/>
        </w:rPr>
        <w:t>Impuesto de Solidaridad, el Impuesto al Valor Agregado, los Derechos Arancelarios a la Importación (DAI)</w:t>
      </w:r>
      <w:r w:rsidR="009A38FE">
        <w:rPr>
          <w:rFonts w:ascii="Times New Roman" w:eastAsia="Times New Roman" w:hAnsi="Times New Roman" w:cs="Times New Roman"/>
          <w:sz w:val="22"/>
          <w:szCs w:val="22"/>
        </w:rPr>
        <w:t>;</w:t>
      </w:r>
      <w:r w:rsidRPr="0059602E">
        <w:rPr>
          <w:rFonts w:ascii="Times New Roman" w:eastAsia="Times New Roman" w:hAnsi="Times New Roman" w:cs="Times New Roman"/>
          <w:sz w:val="22"/>
          <w:szCs w:val="22"/>
        </w:rPr>
        <w:t xml:space="preserve"> y</w:t>
      </w:r>
      <w:r w:rsidR="009A38FE">
        <w:rPr>
          <w:rFonts w:ascii="Times New Roman" w:eastAsia="Times New Roman" w:hAnsi="Times New Roman" w:cs="Times New Roman"/>
          <w:sz w:val="22"/>
          <w:szCs w:val="22"/>
        </w:rPr>
        <w:t>,</w:t>
      </w:r>
      <w:r w:rsidRPr="0059602E">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de </w:t>
      </w:r>
      <w:r w:rsidRPr="0059602E">
        <w:rPr>
          <w:rFonts w:ascii="Times New Roman" w:eastAsia="Times New Roman" w:hAnsi="Times New Roman" w:cs="Times New Roman"/>
          <w:sz w:val="22"/>
          <w:szCs w:val="22"/>
        </w:rPr>
        <w:t>los impuestos no administrados por la SAT, el Impuesto de Salidas del País.</w:t>
      </w:r>
    </w:p>
    <w:p w14:paraId="79FE2E41" w14:textId="77777777" w:rsidR="006710E8" w:rsidRPr="0059602E" w:rsidRDefault="006710E8" w:rsidP="000656CC">
      <w:pPr>
        <w:contextualSpacing/>
        <w:jc w:val="center"/>
        <w:rPr>
          <w:rFonts w:ascii="Times New Roman" w:eastAsia="Times New Roman" w:hAnsi="Times New Roman" w:cs="Times New Roman"/>
          <w:b/>
          <w:sz w:val="22"/>
          <w:szCs w:val="22"/>
        </w:rPr>
      </w:pPr>
    </w:p>
    <w:p w14:paraId="2741747E" w14:textId="002A4C0E" w:rsidR="006710E8" w:rsidRPr="00035ACE" w:rsidRDefault="006710E8" w:rsidP="000656CC">
      <w:pPr>
        <w:contextualSpacing/>
        <w:jc w:val="both"/>
        <w:rPr>
          <w:rFonts w:ascii="Times New Roman" w:eastAsia="Times New Roman" w:hAnsi="Times New Roman" w:cs="Times New Roman"/>
          <w:sz w:val="22"/>
          <w:szCs w:val="22"/>
        </w:rPr>
      </w:pPr>
      <w:r w:rsidRPr="0059602E">
        <w:rPr>
          <w:rFonts w:ascii="Times New Roman" w:eastAsia="Times New Roman" w:hAnsi="Times New Roman" w:cs="Times New Roman"/>
          <w:sz w:val="22"/>
          <w:szCs w:val="22"/>
        </w:rPr>
        <w:t xml:space="preserve">Este resultado en la recaudación tributaria </w:t>
      </w:r>
      <w:r>
        <w:rPr>
          <w:rFonts w:ascii="Times New Roman" w:eastAsia="Times New Roman" w:hAnsi="Times New Roman" w:cs="Times New Roman"/>
          <w:sz w:val="22"/>
          <w:szCs w:val="22"/>
        </w:rPr>
        <w:t>se atribuye</w:t>
      </w:r>
      <w:r w:rsidRPr="0059602E">
        <w:rPr>
          <w:rFonts w:ascii="Times New Roman" w:eastAsia="Times New Roman" w:hAnsi="Times New Roman" w:cs="Times New Roman"/>
          <w:sz w:val="22"/>
          <w:szCs w:val="22"/>
        </w:rPr>
        <w:t xml:space="preserve"> a factores internos entre los que destacan las acciones que ha implementado la Superintendencia de Administración Tributaria -SAT- a través de sus Intendencias para </w:t>
      </w:r>
      <w:r>
        <w:rPr>
          <w:rFonts w:ascii="Times New Roman" w:eastAsia="Times New Roman" w:hAnsi="Times New Roman" w:cs="Times New Roman"/>
          <w:sz w:val="22"/>
          <w:szCs w:val="22"/>
        </w:rPr>
        <w:t xml:space="preserve">avanzar </w:t>
      </w:r>
      <w:r w:rsidR="00221FF0">
        <w:rPr>
          <w:rFonts w:ascii="Times New Roman" w:eastAsiaTheme="majorEastAsia" w:hAnsi="Times New Roman" w:cs="Times New Roman"/>
          <w:bCs/>
          <w:sz w:val="22"/>
          <w:szCs w:val="22"/>
        </w:rPr>
        <w:t>en</w:t>
      </w:r>
      <w:r w:rsidR="00221FF0" w:rsidRPr="004A66F0">
        <w:rPr>
          <w:rFonts w:ascii="Times New Roman" w:eastAsiaTheme="majorEastAsia" w:hAnsi="Times New Roman" w:cs="Times New Roman"/>
          <w:bCs/>
          <w:sz w:val="22"/>
          <w:szCs w:val="22"/>
        </w:rPr>
        <w:t xml:space="preserve"> la reducción de la evasión fiscal en los impuestos internos</w:t>
      </w:r>
      <w:r w:rsidR="00221FF0">
        <w:rPr>
          <w:rFonts w:ascii="Times New Roman" w:eastAsiaTheme="majorEastAsia" w:hAnsi="Times New Roman" w:cs="Times New Roman"/>
          <w:bCs/>
          <w:sz w:val="22"/>
          <w:szCs w:val="22"/>
        </w:rPr>
        <w:t>,</w:t>
      </w:r>
      <w:r w:rsidR="00221FF0">
        <w:rPr>
          <w:rFonts w:ascii="Times New Roman" w:eastAsia="Times New Roman" w:hAnsi="Times New Roman" w:cs="Times New Roman"/>
          <w:sz w:val="22"/>
          <w:szCs w:val="22"/>
        </w:rPr>
        <w:t xml:space="preserve"> </w:t>
      </w:r>
      <w:r w:rsidRPr="0059602E">
        <w:rPr>
          <w:rFonts w:ascii="Times New Roman" w:eastAsia="Times New Roman" w:hAnsi="Times New Roman" w:cs="Times New Roman"/>
          <w:sz w:val="22"/>
          <w:szCs w:val="22"/>
        </w:rPr>
        <w:t xml:space="preserve">el combate a la defraudación y contrabando aduanero, el incremento a la </w:t>
      </w:r>
      <w:r w:rsidRPr="00BE488D">
        <w:rPr>
          <w:rFonts w:ascii="Times New Roman" w:eastAsia="Times New Roman" w:hAnsi="Times New Roman" w:cs="Times New Roman"/>
          <w:sz w:val="22"/>
          <w:szCs w:val="22"/>
        </w:rPr>
        <w:t>percepción de riesgo de los contribuyentes</w:t>
      </w:r>
      <w:r>
        <w:rPr>
          <w:rFonts w:ascii="Times New Roman" w:eastAsia="Times New Roman" w:hAnsi="Times New Roman" w:cs="Times New Roman"/>
          <w:sz w:val="22"/>
          <w:szCs w:val="22"/>
        </w:rPr>
        <w:t>, identificación de tipologías de comportamiento tributario, fiscalización por sector económico, analítica de datos, uso de herramientas informáticas para consulta de información, facilitación del comercio exterior</w:t>
      </w:r>
      <w:r w:rsidRPr="00BE488D">
        <w:rPr>
          <w:rFonts w:ascii="Times New Roman" w:eastAsia="Times New Roman" w:hAnsi="Times New Roman" w:cs="Times New Roman"/>
          <w:sz w:val="22"/>
          <w:szCs w:val="22"/>
        </w:rPr>
        <w:t xml:space="preserve"> y la implementación de programas de modernización integral aduanera.  Asimismo, destaca la recuperación ante las restricciones comerciales impuestas por la pandemia y por la guerra de Rusia y Ucrania, que afectaron de manera directa el precio de las importaciones y de los principales </w:t>
      </w:r>
      <w:r w:rsidR="00221FF0" w:rsidRPr="005270AE">
        <w:rPr>
          <w:rFonts w:ascii="Times New Roman" w:hAnsi="Times New Roman" w:cs="Times New Roman"/>
          <w:color w:val="040C28"/>
          <w:sz w:val="22"/>
          <w:szCs w:val="22"/>
        </w:rPr>
        <w:t>bienes básicos que se utilizan como insumos en la producción de otros bienes</w:t>
      </w:r>
      <w:r w:rsidR="00165209">
        <w:rPr>
          <w:rFonts w:ascii="Times New Roman" w:eastAsia="Times New Roman" w:hAnsi="Times New Roman" w:cs="Times New Roman"/>
          <w:sz w:val="22"/>
          <w:szCs w:val="22"/>
        </w:rPr>
        <w:t xml:space="preserve"> (</w:t>
      </w:r>
      <w:r w:rsidRPr="00BE488D">
        <w:rPr>
          <w:rFonts w:ascii="Times New Roman" w:eastAsia="Times New Roman" w:hAnsi="Times New Roman" w:cs="Times New Roman"/>
          <w:sz w:val="22"/>
          <w:szCs w:val="22"/>
        </w:rPr>
        <w:t>commodities</w:t>
      </w:r>
      <w:r w:rsidR="00165209">
        <w:rPr>
          <w:rFonts w:ascii="Times New Roman" w:eastAsia="Times New Roman" w:hAnsi="Times New Roman" w:cs="Times New Roman"/>
          <w:sz w:val="22"/>
          <w:szCs w:val="22"/>
        </w:rPr>
        <w:t>)</w:t>
      </w:r>
      <w:r w:rsidRPr="00BE488D">
        <w:rPr>
          <w:rFonts w:ascii="Times New Roman" w:eastAsia="Times New Roman" w:hAnsi="Times New Roman" w:cs="Times New Roman"/>
          <w:sz w:val="22"/>
          <w:szCs w:val="22"/>
        </w:rPr>
        <w:t>.</w:t>
      </w:r>
    </w:p>
    <w:p w14:paraId="151EC970" w14:textId="77777777" w:rsidR="006710E8" w:rsidRPr="00885B1F" w:rsidRDefault="006710E8" w:rsidP="000656CC">
      <w:pPr>
        <w:contextualSpacing/>
        <w:jc w:val="both"/>
        <w:rPr>
          <w:rFonts w:ascii="Times New Roman" w:eastAsia="Times New Roman" w:hAnsi="Times New Roman" w:cs="Times New Roman"/>
          <w:color w:val="FF0000"/>
          <w:sz w:val="22"/>
          <w:szCs w:val="22"/>
        </w:rPr>
      </w:pPr>
    </w:p>
    <w:p w14:paraId="592281FC" w14:textId="686E6802" w:rsidR="006710E8" w:rsidRDefault="006710E8" w:rsidP="000656CC">
      <w:pPr>
        <w:contextualSpacing/>
        <w:jc w:val="both"/>
        <w:rPr>
          <w:rFonts w:ascii="Times New Roman" w:eastAsia="Times New Roman" w:hAnsi="Times New Roman" w:cs="Times New Roman"/>
          <w:sz w:val="22"/>
          <w:szCs w:val="22"/>
        </w:rPr>
      </w:pPr>
      <w:r w:rsidRPr="00632C20">
        <w:rPr>
          <w:rFonts w:ascii="Times New Roman" w:eastAsia="Times New Roman" w:hAnsi="Times New Roman" w:cs="Times New Roman"/>
          <w:sz w:val="22"/>
          <w:szCs w:val="22"/>
        </w:rPr>
        <w:t xml:space="preserve">La recaudación </w:t>
      </w:r>
      <w:r w:rsidRPr="00D406EB">
        <w:rPr>
          <w:rFonts w:ascii="Times New Roman" w:eastAsia="Times New Roman" w:hAnsi="Times New Roman" w:cs="Times New Roman"/>
          <w:sz w:val="22"/>
          <w:szCs w:val="22"/>
        </w:rPr>
        <w:t xml:space="preserve">tributaria </w:t>
      </w:r>
      <w:r w:rsidRPr="009B3871">
        <w:rPr>
          <w:rFonts w:ascii="Times New Roman" w:eastAsia="Times New Roman" w:hAnsi="Times New Roman" w:cs="Times New Roman"/>
          <w:sz w:val="22"/>
          <w:szCs w:val="22"/>
        </w:rPr>
        <w:t>asociada al comercio exterior se ubicó en Q2</w:t>
      </w:r>
      <w:r>
        <w:rPr>
          <w:rFonts w:ascii="Times New Roman" w:eastAsia="Times New Roman" w:hAnsi="Times New Roman" w:cs="Times New Roman"/>
          <w:sz w:val="22"/>
          <w:szCs w:val="22"/>
        </w:rPr>
        <w:t>8</w:t>
      </w:r>
      <w:r w:rsidRPr="009B3871">
        <w:rPr>
          <w:rFonts w:ascii="Times New Roman" w:eastAsia="Times New Roman" w:hAnsi="Times New Roman" w:cs="Times New Roman"/>
          <w:sz w:val="22"/>
          <w:szCs w:val="22"/>
        </w:rPr>
        <w:t>,</w:t>
      </w:r>
      <w:r>
        <w:rPr>
          <w:rFonts w:ascii="Times New Roman" w:eastAsia="Times New Roman" w:hAnsi="Times New Roman" w:cs="Times New Roman"/>
          <w:sz w:val="22"/>
          <w:szCs w:val="22"/>
        </w:rPr>
        <w:t>484</w:t>
      </w:r>
      <w:r w:rsidRPr="009B3871">
        <w:rPr>
          <w:rFonts w:ascii="Times New Roman" w:eastAsia="Times New Roman" w:hAnsi="Times New Roman" w:cs="Times New Roman"/>
          <w:sz w:val="22"/>
          <w:szCs w:val="22"/>
        </w:rPr>
        <w:t>.</w:t>
      </w:r>
      <w:r>
        <w:rPr>
          <w:rFonts w:ascii="Times New Roman" w:eastAsia="Times New Roman" w:hAnsi="Times New Roman" w:cs="Times New Roman"/>
          <w:sz w:val="22"/>
          <w:szCs w:val="22"/>
        </w:rPr>
        <w:t>2</w:t>
      </w:r>
      <w:r w:rsidRPr="009B3871">
        <w:rPr>
          <w:rFonts w:ascii="Times New Roman" w:eastAsia="Times New Roman" w:hAnsi="Times New Roman" w:cs="Times New Roman"/>
          <w:sz w:val="22"/>
          <w:szCs w:val="22"/>
        </w:rPr>
        <w:t xml:space="preserve"> millones, generando una brecha positiva de Q1,247.5 millones respecto a la meta. Con relación a lo observado en 2022, la recaudación </w:t>
      </w:r>
      <w:r>
        <w:rPr>
          <w:rFonts w:ascii="Times New Roman" w:eastAsia="Times New Roman" w:hAnsi="Times New Roman" w:cs="Times New Roman"/>
          <w:sz w:val="22"/>
          <w:szCs w:val="22"/>
        </w:rPr>
        <w:t xml:space="preserve">por este concepto </w:t>
      </w:r>
      <w:r w:rsidRPr="009B3871">
        <w:rPr>
          <w:rFonts w:ascii="Times New Roman" w:eastAsia="Times New Roman" w:hAnsi="Times New Roman" w:cs="Times New Roman"/>
          <w:sz w:val="22"/>
          <w:szCs w:val="22"/>
        </w:rPr>
        <w:t>en 2023 fue menor en 0.3%, una disminución de Q78.9 millones, siendo el IVA de importaciones quien mostró un valor inferior al de 2022 en Q263.3 millones</w:t>
      </w:r>
      <w:r w:rsidR="00FD51D8">
        <w:rPr>
          <w:rFonts w:ascii="Times New Roman" w:eastAsia="Times New Roman" w:hAnsi="Times New Roman" w:cs="Times New Roman"/>
          <w:sz w:val="22"/>
          <w:szCs w:val="22"/>
        </w:rPr>
        <w:t xml:space="preserve">             </w:t>
      </w:r>
      <w:proofErr w:type="gramStart"/>
      <w:r w:rsidR="00FD51D8">
        <w:rPr>
          <w:rFonts w:ascii="Times New Roman" w:eastAsia="Times New Roman" w:hAnsi="Times New Roman" w:cs="Times New Roman"/>
          <w:sz w:val="22"/>
          <w:szCs w:val="22"/>
        </w:rPr>
        <w:t xml:space="preserve">   </w:t>
      </w:r>
      <w:r w:rsidRPr="009B3871">
        <w:rPr>
          <w:rFonts w:ascii="Times New Roman" w:eastAsia="Times New Roman" w:hAnsi="Times New Roman" w:cs="Times New Roman"/>
          <w:sz w:val="22"/>
          <w:szCs w:val="22"/>
        </w:rPr>
        <w:t>(</w:t>
      </w:r>
      <w:proofErr w:type="gramEnd"/>
      <w:r w:rsidRPr="009B3871">
        <w:rPr>
          <w:rFonts w:ascii="Times New Roman" w:eastAsia="Times New Roman" w:hAnsi="Times New Roman" w:cs="Times New Roman"/>
          <w:sz w:val="22"/>
          <w:szCs w:val="22"/>
        </w:rPr>
        <w:t>-1.1%); lo recaudado por los Derechos Arancelarios a la Importación mostr</w:t>
      </w:r>
      <w:r>
        <w:rPr>
          <w:rFonts w:ascii="Times New Roman" w:eastAsia="Times New Roman" w:hAnsi="Times New Roman" w:cs="Times New Roman"/>
          <w:sz w:val="22"/>
          <w:szCs w:val="22"/>
        </w:rPr>
        <w:t>ó</w:t>
      </w:r>
      <w:r w:rsidRPr="009B3871">
        <w:rPr>
          <w:rFonts w:ascii="Times New Roman" w:eastAsia="Times New Roman" w:hAnsi="Times New Roman" w:cs="Times New Roman"/>
          <w:sz w:val="22"/>
          <w:szCs w:val="22"/>
        </w:rPr>
        <w:t xml:space="preserve"> un aumento de Q108.4 millones con respecto a la meta de presupuesto y Q184.4 millones con respecto al año anterior.</w:t>
      </w:r>
    </w:p>
    <w:p w14:paraId="1BE19882" w14:textId="77777777" w:rsidR="006710E8" w:rsidRPr="00751AFD" w:rsidRDefault="006710E8" w:rsidP="000656CC">
      <w:pPr>
        <w:contextualSpacing/>
        <w:jc w:val="both"/>
        <w:rPr>
          <w:rFonts w:ascii="Times New Roman" w:eastAsia="Times New Roman" w:hAnsi="Times New Roman" w:cs="Times New Roman"/>
          <w:sz w:val="22"/>
          <w:szCs w:val="22"/>
        </w:rPr>
      </w:pPr>
    </w:p>
    <w:p w14:paraId="38A485A6" w14:textId="5855FDF7" w:rsidR="006710E8" w:rsidRPr="00751AFD" w:rsidRDefault="006710E8" w:rsidP="000656CC">
      <w:pPr>
        <w:contextualSpacing/>
        <w:jc w:val="both"/>
        <w:rPr>
          <w:rFonts w:ascii="Times New Roman" w:eastAsia="Times New Roman" w:hAnsi="Times New Roman" w:cs="Times New Roman"/>
          <w:sz w:val="22"/>
          <w:szCs w:val="22"/>
        </w:rPr>
      </w:pPr>
      <w:r w:rsidRPr="00751AFD">
        <w:rPr>
          <w:rFonts w:ascii="Times New Roman" w:eastAsia="Times New Roman" w:hAnsi="Times New Roman" w:cs="Times New Roman"/>
          <w:sz w:val="22"/>
          <w:szCs w:val="22"/>
        </w:rPr>
        <w:t xml:space="preserve">Este resultado se </w:t>
      </w:r>
      <w:r w:rsidR="00165209">
        <w:rPr>
          <w:rFonts w:ascii="Times New Roman" w:eastAsia="Times New Roman" w:hAnsi="Times New Roman" w:cs="Times New Roman"/>
          <w:sz w:val="22"/>
          <w:szCs w:val="22"/>
        </w:rPr>
        <w:t xml:space="preserve"> atribuye</w:t>
      </w:r>
      <w:r w:rsidR="00165209" w:rsidRPr="00751AFD">
        <w:rPr>
          <w:rFonts w:ascii="Times New Roman" w:eastAsia="Times New Roman" w:hAnsi="Times New Roman" w:cs="Times New Roman"/>
          <w:sz w:val="22"/>
          <w:szCs w:val="22"/>
        </w:rPr>
        <w:t xml:space="preserve"> </w:t>
      </w:r>
      <w:r w:rsidRPr="00751AFD">
        <w:rPr>
          <w:rFonts w:ascii="Times New Roman" w:eastAsia="Times New Roman" w:hAnsi="Times New Roman" w:cs="Times New Roman"/>
          <w:sz w:val="22"/>
          <w:szCs w:val="22"/>
        </w:rPr>
        <w:t xml:space="preserve">al seguimiento de las medidas implementadas en el ramo de aduanas, en donde se </w:t>
      </w:r>
      <w:r w:rsidR="00165209">
        <w:rPr>
          <w:rFonts w:ascii="Times New Roman" w:eastAsia="Times New Roman" w:hAnsi="Times New Roman" w:cs="Times New Roman"/>
          <w:sz w:val="22"/>
          <w:szCs w:val="22"/>
        </w:rPr>
        <w:t xml:space="preserve"> adoptaron</w:t>
      </w:r>
      <w:r w:rsidR="00165209" w:rsidRPr="00751AFD">
        <w:rPr>
          <w:rFonts w:ascii="Times New Roman" w:eastAsia="Times New Roman" w:hAnsi="Times New Roman" w:cs="Times New Roman"/>
          <w:sz w:val="22"/>
          <w:szCs w:val="22"/>
        </w:rPr>
        <w:t xml:space="preserve"> </w:t>
      </w:r>
      <w:r w:rsidRPr="00751AFD">
        <w:rPr>
          <w:rFonts w:ascii="Times New Roman" w:eastAsia="Times New Roman" w:hAnsi="Times New Roman" w:cs="Times New Roman"/>
          <w:sz w:val="22"/>
          <w:szCs w:val="22"/>
        </w:rPr>
        <w:t>acciones para combatir la defraudación y el contrabando aduanero</w:t>
      </w:r>
      <w:r w:rsidR="009A38FE">
        <w:rPr>
          <w:rFonts w:ascii="Times New Roman" w:eastAsia="Times New Roman" w:hAnsi="Times New Roman" w:cs="Times New Roman"/>
          <w:sz w:val="22"/>
          <w:szCs w:val="22"/>
        </w:rPr>
        <w:t>,</w:t>
      </w:r>
      <w:r w:rsidR="00165209" w:rsidRPr="00751AFD">
        <w:rPr>
          <w:rFonts w:ascii="Times New Roman" w:eastAsia="Times New Roman" w:hAnsi="Times New Roman" w:cs="Times New Roman"/>
          <w:sz w:val="22"/>
          <w:szCs w:val="22"/>
        </w:rPr>
        <w:t xml:space="preserve"> </w:t>
      </w:r>
      <w:r w:rsidRPr="00751AFD">
        <w:rPr>
          <w:rFonts w:ascii="Times New Roman" w:eastAsia="Times New Roman" w:hAnsi="Times New Roman" w:cs="Times New Roman"/>
          <w:sz w:val="22"/>
          <w:szCs w:val="22"/>
        </w:rPr>
        <w:t>tales como</w:t>
      </w:r>
      <w:r w:rsidR="009A38FE">
        <w:rPr>
          <w:rFonts w:ascii="Times New Roman" w:eastAsia="Times New Roman" w:hAnsi="Times New Roman" w:cs="Times New Roman"/>
          <w:sz w:val="22"/>
          <w:szCs w:val="22"/>
        </w:rPr>
        <w:t>:</w:t>
      </w:r>
      <w:r w:rsidRPr="00751AFD">
        <w:rPr>
          <w:rFonts w:ascii="Times New Roman" w:eastAsia="Times New Roman" w:hAnsi="Times New Roman" w:cs="Times New Roman"/>
          <w:sz w:val="22"/>
          <w:szCs w:val="22"/>
        </w:rPr>
        <w:t xml:space="preserve"> mayor eficiencia del control aduanero</w:t>
      </w:r>
      <w:r w:rsidR="009A38FE">
        <w:rPr>
          <w:rFonts w:ascii="Times New Roman" w:eastAsia="Times New Roman" w:hAnsi="Times New Roman" w:cs="Times New Roman"/>
          <w:sz w:val="22"/>
          <w:szCs w:val="22"/>
        </w:rPr>
        <w:t xml:space="preserve">; </w:t>
      </w:r>
      <w:r w:rsidRPr="00751AFD">
        <w:rPr>
          <w:rFonts w:ascii="Times New Roman" w:eastAsia="Times New Roman" w:hAnsi="Times New Roman" w:cs="Times New Roman"/>
          <w:sz w:val="22"/>
          <w:szCs w:val="22"/>
        </w:rPr>
        <w:t>seguimiento del plan de combate al contrabando aduanero mediante la puesta en marcha de puestos de control interinstitucional (a la fecha van 7)</w:t>
      </w:r>
      <w:r w:rsidR="00165209">
        <w:rPr>
          <w:rFonts w:ascii="Times New Roman" w:eastAsia="Times New Roman" w:hAnsi="Times New Roman" w:cs="Times New Roman"/>
          <w:sz w:val="22"/>
          <w:szCs w:val="22"/>
        </w:rPr>
        <w:t>,</w:t>
      </w:r>
      <w:r w:rsidRPr="00751AFD">
        <w:rPr>
          <w:rFonts w:ascii="Times New Roman" w:eastAsia="Times New Roman" w:hAnsi="Times New Roman" w:cs="Times New Roman"/>
          <w:sz w:val="22"/>
          <w:szCs w:val="22"/>
        </w:rPr>
        <w:t xml:space="preserve"> a la simplificación, automatización y transparencia en el ingreso y salida de la carga vía aérea</w:t>
      </w:r>
      <w:r w:rsidR="009A38FE">
        <w:rPr>
          <w:rFonts w:ascii="Times New Roman" w:eastAsia="Times New Roman" w:hAnsi="Times New Roman" w:cs="Times New Roman"/>
          <w:sz w:val="22"/>
          <w:szCs w:val="22"/>
        </w:rPr>
        <w:t>;</w:t>
      </w:r>
      <w:r w:rsidRPr="00751AFD">
        <w:rPr>
          <w:rFonts w:ascii="Times New Roman" w:eastAsia="Times New Roman" w:hAnsi="Times New Roman" w:cs="Times New Roman"/>
          <w:sz w:val="22"/>
          <w:szCs w:val="22"/>
        </w:rPr>
        <w:t xml:space="preserve"> </w:t>
      </w:r>
      <w:r w:rsidRPr="00751AFD">
        <w:rPr>
          <w:rFonts w:ascii="Times New Roman" w:eastAsia="Times New Roman" w:hAnsi="Times New Roman" w:cs="Times New Roman"/>
          <w:sz w:val="22"/>
          <w:szCs w:val="22"/>
        </w:rPr>
        <w:lastRenderedPageBreak/>
        <w:t>fortalecimiento de la gestión de riesgo</w:t>
      </w:r>
      <w:r w:rsidR="009A38FE">
        <w:rPr>
          <w:rFonts w:ascii="Times New Roman" w:eastAsia="Times New Roman" w:hAnsi="Times New Roman" w:cs="Times New Roman"/>
          <w:sz w:val="22"/>
          <w:szCs w:val="22"/>
        </w:rPr>
        <w:t>;</w:t>
      </w:r>
      <w:r w:rsidRPr="00751AFD">
        <w:rPr>
          <w:rFonts w:ascii="Times New Roman" w:eastAsia="Times New Roman" w:hAnsi="Times New Roman" w:cs="Times New Roman"/>
          <w:sz w:val="22"/>
          <w:szCs w:val="22"/>
        </w:rPr>
        <w:t xml:space="preserve"> operativos interinstitucionales en aduanas aéreas, terrestres, marítimas, puestos fronterizos, depósitos aduaneros y zonas francas</w:t>
      </w:r>
      <w:r w:rsidR="009A38FE">
        <w:rPr>
          <w:rFonts w:ascii="Times New Roman" w:eastAsia="Times New Roman" w:hAnsi="Times New Roman" w:cs="Times New Roman"/>
          <w:sz w:val="22"/>
          <w:szCs w:val="22"/>
        </w:rPr>
        <w:t>;</w:t>
      </w:r>
      <w:r w:rsidRPr="00751AFD">
        <w:rPr>
          <w:rFonts w:ascii="Times New Roman" w:eastAsia="Times New Roman" w:hAnsi="Times New Roman" w:cs="Times New Roman"/>
          <w:sz w:val="22"/>
          <w:szCs w:val="22"/>
        </w:rPr>
        <w:t xml:space="preserve"> puesta en marcha del sistema de etiquetas de radiofrecuencia -RFID-</w:t>
      </w:r>
      <w:r w:rsidR="009A38FE">
        <w:rPr>
          <w:rFonts w:ascii="Times New Roman" w:eastAsia="Times New Roman" w:hAnsi="Times New Roman" w:cs="Times New Roman"/>
          <w:sz w:val="22"/>
          <w:szCs w:val="22"/>
        </w:rPr>
        <w:t>;</w:t>
      </w:r>
      <w:r w:rsidRPr="00751AFD">
        <w:rPr>
          <w:rFonts w:ascii="Times New Roman" w:eastAsia="Times New Roman" w:hAnsi="Times New Roman" w:cs="Times New Roman"/>
          <w:sz w:val="22"/>
          <w:szCs w:val="22"/>
        </w:rPr>
        <w:t xml:space="preserve"> fortalecimiento del intercambio de información con otros Estados </w:t>
      </w:r>
      <w:r w:rsidR="00165209" w:rsidRPr="00751AFD">
        <w:rPr>
          <w:rFonts w:ascii="Times New Roman" w:eastAsia="Times New Roman" w:hAnsi="Times New Roman" w:cs="Times New Roman"/>
          <w:sz w:val="22"/>
          <w:szCs w:val="22"/>
        </w:rPr>
        <w:t>Parte</w:t>
      </w:r>
      <w:r w:rsidR="009A38FE">
        <w:rPr>
          <w:rFonts w:ascii="Times New Roman" w:eastAsia="Times New Roman" w:hAnsi="Times New Roman" w:cs="Times New Roman"/>
          <w:sz w:val="22"/>
          <w:szCs w:val="22"/>
        </w:rPr>
        <w:t>;</w:t>
      </w:r>
      <w:r w:rsidRPr="00751AFD">
        <w:rPr>
          <w:rFonts w:ascii="Times New Roman" w:eastAsia="Times New Roman" w:hAnsi="Times New Roman" w:cs="Times New Roman"/>
          <w:sz w:val="22"/>
          <w:szCs w:val="22"/>
        </w:rPr>
        <w:t xml:space="preserve"> fortalecimiento de la valoración aduanera  y a las mejoras en el tiempo de atención de solicitudes entre otras.  </w:t>
      </w:r>
    </w:p>
    <w:p w14:paraId="1AA803A7" w14:textId="77777777" w:rsidR="006710E8" w:rsidRPr="00885B1F" w:rsidRDefault="006710E8" w:rsidP="000656CC">
      <w:pPr>
        <w:contextualSpacing/>
        <w:jc w:val="both"/>
        <w:rPr>
          <w:rFonts w:ascii="Times New Roman" w:eastAsia="Times New Roman" w:hAnsi="Times New Roman" w:cs="Times New Roman"/>
          <w:color w:val="FF0000"/>
          <w:sz w:val="22"/>
          <w:szCs w:val="22"/>
        </w:rPr>
      </w:pPr>
    </w:p>
    <w:p w14:paraId="3AA0E90C" w14:textId="3744C074" w:rsidR="006710E8" w:rsidRDefault="00DA2155" w:rsidP="00DA2155">
      <w:pPr>
        <w:pStyle w:val="Descripcin"/>
        <w:jc w:val="center"/>
        <w:rPr>
          <w:rFonts w:eastAsia="Times New Roman" w:cs="Times New Roman"/>
          <w:b w:val="0"/>
          <w:color w:val="FF0000"/>
          <w:sz w:val="22"/>
          <w:szCs w:val="22"/>
        </w:rPr>
      </w:pPr>
      <w:bookmarkStart w:id="11" w:name="_Toc158103846"/>
      <w:r w:rsidRPr="00DA2155">
        <w:rPr>
          <w:sz w:val="22"/>
          <w:szCs w:val="22"/>
        </w:rPr>
        <w:t xml:space="preserve">Gráfico </w:t>
      </w:r>
      <w:r w:rsidRPr="00DA2155">
        <w:rPr>
          <w:sz w:val="22"/>
          <w:szCs w:val="22"/>
        </w:rPr>
        <w:fldChar w:fldCharType="begin"/>
      </w:r>
      <w:r w:rsidRPr="00DA2155">
        <w:rPr>
          <w:sz w:val="22"/>
          <w:szCs w:val="22"/>
        </w:rPr>
        <w:instrText xml:space="preserve"> SEQ Gráfico \* ARABIC </w:instrText>
      </w:r>
      <w:r w:rsidRPr="00DA2155">
        <w:rPr>
          <w:sz w:val="22"/>
          <w:szCs w:val="22"/>
        </w:rPr>
        <w:fldChar w:fldCharType="separate"/>
      </w:r>
      <w:r w:rsidR="00C015DC">
        <w:rPr>
          <w:noProof/>
          <w:sz w:val="22"/>
          <w:szCs w:val="22"/>
        </w:rPr>
        <w:t>1</w:t>
      </w:r>
      <w:r w:rsidRPr="00DA2155">
        <w:rPr>
          <w:sz w:val="22"/>
          <w:szCs w:val="22"/>
        </w:rPr>
        <w:fldChar w:fldCharType="end"/>
      </w:r>
      <w:r>
        <w:rPr>
          <w:sz w:val="22"/>
          <w:szCs w:val="22"/>
        </w:rPr>
        <w:t>.</w:t>
      </w:r>
      <w:r w:rsidRPr="00DA2155">
        <w:rPr>
          <w:sz w:val="22"/>
          <w:szCs w:val="22"/>
        </w:rPr>
        <w:t xml:space="preserve">  </w:t>
      </w:r>
      <w:bookmarkStart w:id="12" w:name="_Toc125733197"/>
      <w:r w:rsidRPr="001E00F7">
        <w:rPr>
          <w:rFonts w:eastAsia="Times New Roman" w:cs="Times New Roman"/>
          <w:sz w:val="22"/>
          <w:szCs w:val="22"/>
        </w:rPr>
        <w:t>Variación de la recaudación tributaria neta</w:t>
      </w:r>
      <w:bookmarkEnd w:id="11"/>
      <w:bookmarkEnd w:id="12"/>
    </w:p>
    <w:p w14:paraId="4A1940DC" w14:textId="35434F28" w:rsidR="006710E8" w:rsidRDefault="00FD51D8" w:rsidP="006710E8">
      <w:pPr>
        <w:spacing w:line="276" w:lineRule="auto"/>
        <w:contextualSpacing/>
        <w:jc w:val="both"/>
        <w:rPr>
          <w:rFonts w:ascii="Times New Roman" w:eastAsia="Times New Roman" w:hAnsi="Times New Roman" w:cs="Times New Roman"/>
          <w:b/>
          <w:color w:val="FF0000"/>
          <w:sz w:val="22"/>
          <w:szCs w:val="22"/>
        </w:rPr>
      </w:pPr>
      <w:r w:rsidRPr="00FD51D8">
        <w:rPr>
          <w:noProof/>
        </w:rPr>
        <w:drawing>
          <wp:inline distT="0" distB="0" distL="0" distR="0" wp14:anchorId="3A17F6F8" wp14:editId="7BC6BEBB">
            <wp:extent cx="5685155" cy="2949933"/>
            <wp:effectExtent l="0" t="0" r="0" b="3175"/>
            <wp:docPr id="968" name="Imagen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96319" cy="2955726"/>
                    </a:xfrm>
                    <a:prstGeom prst="rect">
                      <a:avLst/>
                    </a:prstGeom>
                    <a:noFill/>
                    <a:ln>
                      <a:noFill/>
                    </a:ln>
                  </pic:spPr>
                </pic:pic>
              </a:graphicData>
            </a:graphic>
          </wp:inline>
        </w:drawing>
      </w:r>
    </w:p>
    <w:p w14:paraId="45DA070C" w14:textId="2CD61762" w:rsidR="006710E8" w:rsidRDefault="006710E8" w:rsidP="006710E8">
      <w:pPr>
        <w:spacing w:line="276" w:lineRule="auto"/>
        <w:contextualSpacing/>
        <w:jc w:val="both"/>
        <w:rPr>
          <w:rFonts w:ascii="Times New Roman" w:eastAsia="Times New Roman" w:hAnsi="Times New Roman" w:cs="Times New Roman"/>
          <w:sz w:val="18"/>
          <w:szCs w:val="18"/>
          <w:lang w:val="es-MX"/>
        </w:rPr>
      </w:pPr>
      <w:r w:rsidRPr="001E00F7">
        <w:rPr>
          <w:rFonts w:ascii="Times New Roman" w:eastAsia="Times New Roman" w:hAnsi="Times New Roman" w:cs="Times New Roman"/>
          <w:sz w:val="18"/>
          <w:szCs w:val="18"/>
          <w:lang w:val="es-MX"/>
        </w:rPr>
        <w:t>Fuente: Dirección de Análisis y Política Fiscal.</w:t>
      </w:r>
    </w:p>
    <w:p w14:paraId="2C4BDBE6" w14:textId="77777777" w:rsidR="000656CC" w:rsidRDefault="000656CC" w:rsidP="006710E8">
      <w:pPr>
        <w:spacing w:line="276" w:lineRule="auto"/>
        <w:contextualSpacing/>
        <w:jc w:val="both"/>
        <w:rPr>
          <w:rFonts w:ascii="Times New Roman" w:eastAsia="Times New Roman" w:hAnsi="Times New Roman" w:cs="Times New Roman"/>
          <w:sz w:val="18"/>
          <w:szCs w:val="18"/>
          <w:lang w:val="es-MX"/>
        </w:rPr>
      </w:pPr>
    </w:p>
    <w:p w14:paraId="7E2C7F4B" w14:textId="6E05569D" w:rsidR="000656CC" w:rsidRPr="001E00F7" w:rsidRDefault="000656CC" w:rsidP="006710E8">
      <w:pPr>
        <w:spacing w:line="276" w:lineRule="auto"/>
        <w:contextualSpacing/>
        <w:jc w:val="both"/>
        <w:rPr>
          <w:rFonts w:ascii="Times New Roman" w:eastAsia="Times New Roman" w:hAnsi="Times New Roman" w:cs="Times New Roman"/>
          <w:b/>
          <w:sz w:val="22"/>
          <w:szCs w:val="22"/>
        </w:rPr>
      </w:pPr>
      <w:r w:rsidRPr="00885B1F">
        <w:rPr>
          <w:rFonts w:ascii="Calibri" w:eastAsia="Times New Roman" w:hAnsi="Calibri" w:cs="Calibri"/>
          <w:noProof/>
          <w:color w:val="FF0000"/>
          <w:sz w:val="22"/>
          <w:szCs w:val="22"/>
        </w:rPr>
        <mc:AlternateContent>
          <mc:Choice Requires="wps">
            <w:drawing>
              <wp:inline distT="0" distB="0" distL="0" distR="0" wp14:anchorId="5DD8BC79" wp14:editId="5F0785EC">
                <wp:extent cx="5612130" cy="3530379"/>
                <wp:effectExtent l="0" t="0" r="26670" b="14605"/>
                <wp:docPr id="970" name="Rectángulo 9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2130" cy="3530379"/>
                        </a:xfrm>
                        <a:prstGeom prst="rect">
                          <a:avLst/>
                        </a:prstGeom>
                        <a:solidFill>
                          <a:srgbClr val="4472C4">
                            <a:lumMod val="20000"/>
                            <a:lumOff val="80000"/>
                          </a:srgbClr>
                        </a:solidFill>
                        <a:ln w="6350" cap="flat" cmpd="sng" algn="ctr">
                          <a:solidFill>
                            <a:sysClr val="windowText" lastClr="000000"/>
                          </a:solidFill>
                          <a:prstDash val="solid"/>
                          <a:miter lim="800000"/>
                        </a:ln>
                        <a:effectLst/>
                      </wps:spPr>
                      <wps:txbx>
                        <w:txbxContent>
                          <w:p w14:paraId="0C1C4C99" w14:textId="77777777" w:rsidR="000656CC" w:rsidRPr="008109D8" w:rsidRDefault="000656CC" w:rsidP="000656CC">
                            <w:pPr>
                              <w:jc w:val="center"/>
                              <w:rPr>
                                <w:rFonts w:ascii="Times New Roman" w:hAnsi="Times New Roman" w:cs="Times New Roman"/>
                                <w:b/>
                                <w:bCs/>
                                <w:sz w:val="19"/>
                                <w:szCs w:val="19"/>
                              </w:rPr>
                            </w:pPr>
                            <w:r w:rsidRPr="008109D8">
                              <w:rPr>
                                <w:rFonts w:ascii="Times New Roman" w:eastAsia="Times New Roman" w:hAnsi="Times New Roman" w:cs="Times New Roman"/>
                                <w:b/>
                                <w:sz w:val="19"/>
                                <w:szCs w:val="19"/>
                                <w:lang w:val="es-MX"/>
                              </w:rPr>
                              <w:t xml:space="preserve">Acciones realizadas por </w:t>
                            </w:r>
                            <w:r>
                              <w:rPr>
                                <w:rFonts w:ascii="Times New Roman" w:eastAsia="Times New Roman" w:hAnsi="Times New Roman" w:cs="Times New Roman"/>
                                <w:b/>
                                <w:sz w:val="19"/>
                                <w:szCs w:val="19"/>
                                <w:lang w:val="es-MX"/>
                              </w:rPr>
                              <w:t xml:space="preserve">la </w:t>
                            </w:r>
                            <w:r w:rsidRPr="008109D8">
                              <w:rPr>
                                <w:rFonts w:ascii="Times New Roman" w:eastAsia="Times New Roman" w:hAnsi="Times New Roman" w:cs="Times New Roman"/>
                                <w:b/>
                                <w:sz w:val="19"/>
                                <w:szCs w:val="19"/>
                                <w:lang w:val="es-MX"/>
                              </w:rPr>
                              <w:t>SAT</w:t>
                            </w:r>
                          </w:p>
                          <w:p w14:paraId="34B32FDF" w14:textId="77777777" w:rsidR="000656CC" w:rsidRPr="008109D8" w:rsidRDefault="000656CC" w:rsidP="000656CC">
                            <w:pPr>
                              <w:jc w:val="center"/>
                              <w:rPr>
                                <w:rFonts w:ascii="Times New Roman" w:hAnsi="Times New Roman" w:cs="Times New Roman"/>
                                <w:b/>
                                <w:bCs/>
                                <w:sz w:val="19"/>
                                <w:szCs w:val="19"/>
                              </w:rPr>
                            </w:pPr>
                          </w:p>
                          <w:p w14:paraId="594050E2" w14:textId="77777777" w:rsidR="000656CC" w:rsidRPr="008109D8" w:rsidRDefault="000656CC" w:rsidP="000656CC">
                            <w:pPr>
                              <w:jc w:val="both"/>
                              <w:rPr>
                                <w:rFonts w:ascii="Times New Roman" w:hAnsi="Times New Roman" w:cs="Times New Roman"/>
                                <w:noProof/>
                                <w:sz w:val="19"/>
                                <w:szCs w:val="19"/>
                                <w:lang w:eastAsia="es-GT"/>
                              </w:rPr>
                            </w:pPr>
                            <w:r w:rsidRPr="008109D8">
                              <w:rPr>
                                <w:rFonts w:ascii="Times New Roman" w:hAnsi="Times New Roman" w:cs="Times New Roman"/>
                                <w:noProof/>
                                <w:sz w:val="19"/>
                                <w:szCs w:val="19"/>
                                <w:lang w:eastAsia="es-GT"/>
                              </w:rPr>
                              <w:t>La Superintendencia de Administración Tributaria, en 2023</w:t>
                            </w:r>
                            <w:r>
                              <w:rPr>
                                <w:rFonts w:ascii="Times New Roman" w:hAnsi="Times New Roman" w:cs="Times New Roman"/>
                                <w:noProof/>
                                <w:sz w:val="19"/>
                                <w:szCs w:val="19"/>
                                <w:lang w:eastAsia="es-GT"/>
                              </w:rPr>
                              <w:t>,</w:t>
                            </w:r>
                            <w:r w:rsidRPr="008109D8">
                              <w:rPr>
                                <w:rFonts w:ascii="Times New Roman" w:hAnsi="Times New Roman" w:cs="Times New Roman"/>
                                <w:noProof/>
                                <w:sz w:val="19"/>
                                <w:szCs w:val="19"/>
                                <w:lang w:eastAsia="es-GT"/>
                              </w:rPr>
                              <w:t xml:space="preserve"> continuó con la implementación de acciones para aumentar la recaudación tributaria en sus intendencias, de las cuales destaca:</w:t>
                            </w:r>
                          </w:p>
                          <w:p w14:paraId="136BC3E6" w14:textId="77777777" w:rsidR="000656CC" w:rsidRPr="008109D8" w:rsidRDefault="000656CC" w:rsidP="000656CC">
                            <w:pPr>
                              <w:jc w:val="both"/>
                              <w:rPr>
                                <w:rFonts w:ascii="Times New Roman" w:hAnsi="Times New Roman" w:cs="Times New Roman"/>
                                <w:noProof/>
                                <w:color w:val="FF0000"/>
                                <w:sz w:val="19"/>
                                <w:szCs w:val="19"/>
                                <w:lang w:eastAsia="es-GT"/>
                              </w:rPr>
                            </w:pPr>
                          </w:p>
                          <w:p w14:paraId="28470135" w14:textId="606F3BDD" w:rsidR="000656CC" w:rsidRDefault="000656CC" w:rsidP="000656CC">
                            <w:pPr>
                              <w:pStyle w:val="Prrafodelista"/>
                              <w:numPr>
                                <w:ilvl w:val="0"/>
                                <w:numId w:val="23"/>
                              </w:numPr>
                              <w:ind w:left="567"/>
                              <w:jc w:val="both"/>
                              <w:rPr>
                                <w:rFonts w:ascii="Times New Roman" w:hAnsi="Times New Roman" w:cs="Times New Roman"/>
                                <w:noProof/>
                                <w:sz w:val="19"/>
                                <w:szCs w:val="19"/>
                                <w:lang w:eastAsia="es-GT"/>
                              </w:rPr>
                            </w:pPr>
                            <w:r w:rsidRPr="008109D8">
                              <w:rPr>
                                <w:rFonts w:ascii="Times New Roman" w:hAnsi="Times New Roman" w:cs="Times New Roman"/>
                                <w:noProof/>
                                <w:sz w:val="19"/>
                                <w:szCs w:val="19"/>
                                <w:lang w:eastAsia="es-GT"/>
                              </w:rPr>
                              <w:t xml:space="preserve">La intendencia de Atención al Contribuyente continuó con la puesta en marcha de sistemas y herramientas que facilitan el acceso y manejo de la Agencia Virtual (modernización del Sistema Declaraguate, con más opciones de formularios, nuevas consultas y delegación de permisos a terceras personas), Sistema de Citas Controladas, Asistente de Respuesta Inteligente Tributaria y Aduanera, Libro Electrónico Tributario, Cese prescrito de Actividades, Sistema de Productores y Exportadores, Aplicación Móvil de SAT (APP Fel de la Declaración Sugerida Preelaborada de Regímenes Simplificados del IVA), Distribución de Placas de Circulación y Atención a través del </w:t>
                            </w:r>
                            <w:r>
                              <w:rPr>
                                <w:rFonts w:ascii="Times New Roman" w:hAnsi="Times New Roman" w:cs="Times New Roman"/>
                                <w:noProof/>
                                <w:sz w:val="19"/>
                                <w:szCs w:val="19"/>
                                <w:lang w:eastAsia="es-GT"/>
                              </w:rPr>
                              <w:t xml:space="preserve"> Contact</w:t>
                            </w:r>
                            <w:r w:rsidRPr="008109D8">
                              <w:rPr>
                                <w:rFonts w:ascii="Times New Roman" w:hAnsi="Times New Roman" w:cs="Times New Roman"/>
                                <w:noProof/>
                                <w:sz w:val="19"/>
                                <w:szCs w:val="19"/>
                                <w:lang w:eastAsia="es-GT"/>
                              </w:rPr>
                              <w:t xml:space="preserve"> Center.</w:t>
                            </w:r>
                          </w:p>
                          <w:p w14:paraId="2658730A" w14:textId="77777777" w:rsidR="000656CC" w:rsidRDefault="000656CC" w:rsidP="000656CC">
                            <w:pPr>
                              <w:pStyle w:val="Prrafodelista"/>
                              <w:ind w:left="567"/>
                              <w:jc w:val="both"/>
                              <w:rPr>
                                <w:rFonts w:ascii="Times New Roman" w:hAnsi="Times New Roman" w:cs="Times New Roman"/>
                                <w:noProof/>
                                <w:sz w:val="19"/>
                                <w:szCs w:val="19"/>
                                <w:lang w:eastAsia="es-GT"/>
                              </w:rPr>
                            </w:pPr>
                          </w:p>
                          <w:p w14:paraId="1B502EF1" w14:textId="336C88B1" w:rsidR="000656CC" w:rsidRPr="000656CC" w:rsidRDefault="000656CC" w:rsidP="000656CC">
                            <w:pPr>
                              <w:pStyle w:val="Prrafodelista"/>
                              <w:numPr>
                                <w:ilvl w:val="0"/>
                                <w:numId w:val="23"/>
                              </w:numPr>
                              <w:ind w:left="567"/>
                              <w:jc w:val="both"/>
                              <w:rPr>
                                <w:rFonts w:ascii="Times New Roman" w:hAnsi="Times New Roman" w:cs="Times New Roman"/>
                                <w:noProof/>
                                <w:sz w:val="19"/>
                                <w:szCs w:val="19"/>
                                <w:lang w:eastAsia="es-GT"/>
                              </w:rPr>
                            </w:pPr>
                            <w:r w:rsidRPr="008109D8">
                              <w:rPr>
                                <w:rFonts w:ascii="Times New Roman" w:hAnsi="Times New Roman" w:cs="Times New Roman"/>
                                <w:noProof/>
                                <w:sz w:val="19"/>
                                <w:szCs w:val="19"/>
                                <w:lang w:eastAsia="es-GT"/>
                              </w:rPr>
                              <w:t xml:space="preserve">La Intendencia de Aduanas implementó mejoras del control de Administración Tributaria y Aduanas a través del Gobierno de Datos, con el fortalecimiento del enfoque sectorial y la profundización en el conocimento transaccional, aprovechando la disponibilidad de información que provee la facturación electrónica y el </w:t>
                            </w:r>
                            <w:r>
                              <w:rPr>
                                <w:rFonts w:ascii="Times New Roman" w:hAnsi="Times New Roman" w:cs="Times New Roman"/>
                                <w:noProof/>
                                <w:sz w:val="19"/>
                                <w:szCs w:val="19"/>
                                <w:lang w:eastAsia="es-GT"/>
                              </w:rPr>
                              <w:t>Registro Tributario Unificado (</w:t>
                            </w:r>
                            <w:r w:rsidRPr="000E5F15">
                              <w:rPr>
                                <w:rFonts w:ascii="Times New Roman" w:hAnsi="Times New Roman" w:cs="Times New Roman"/>
                                <w:noProof/>
                                <w:sz w:val="19"/>
                                <w:szCs w:val="19"/>
                                <w:lang w:eastAsia="es-GT"/>
                              </w:rPr>
                              <w:t>RTU</w:t>
                            </w:r>
                            <w:r>
                              <w:rPr>
                                <w:rFonts w:ascii="Times New Roman" w:hAnsi="Times New Roman" w:cs="Times New Roman"/>
                                <w:noProof/>
                                <w:sz w:val="19"/>
                                <w:szCs w:val="19"/>
                                <w:lang w:eastAsia="es-GT"/>
                              </w:rPr>
                              <w:t>)</w:t>
                            </w:r>
                            <w:r w:rsidRPr="008109D8">
                              <w:rPr>
                                <w:rFonts w:ascii="Times New Roman" w:hAnsi="Times New Roman" w:cs="Times New Roman"/>
                                <w:noProof/>
                                <w:sz w:val="19"/>
                                <w:szCs w:val="19"/>
                                <w:lang w:eastAsia="es-GT"/>
                              </w:rPr>
                              <w:t xml:space="preserve"> Digital. Tambien se robustecieron los controles aduaneros a través de la analítica de datos dentro de paneles y tableros, mediante la adopción del uso de la herramienta de Business Intelligence.  Se implementó la fiscalización por sector económico, mediante la aplicación de modelos Z-Score y M-Score para evaluar la salud financiera y detectar manipulación de estados financieros; y se implementó la Fiscalización electrónica (FISEL) mediante la geolocalización de los negocios y de los auditores tributarios. Se resalta la suscripción del </w:t>
                            </w:r>
                            <w:r>
                              <w:rPr>
                                <w:rFonts w:ascii="Times New Roman" w:hAnsi="Times New Roman" w:cs="Times New Roman"/>
                                <w:noProof/>
                                <w:sz w:val="19"/>
                                <w:szCs w:val="19"/>
                                <w:lang w:eastAsia="es-GT"/>
                              </w:rPr>
                              <w:t>C</w:t>
                            </w:r>
                            <w:r w:rsidRPr="008109D8">
                              <w:rPr>
                                <w:rFonts w:ascii="Times New Roman" w:hAnsi="Times New Roman" w:cs="Times New Roman"/>
                                <w:noProof/>
                                <w:sz w:val="19"/>
                                <w:szCs w:val="19"/>
                                <w:lang w:eastAsia="es-GT"/>
                              </w:rPr>
                              <w:t>onvenio Interinstitucional para la automatización del arribo y zarpe de buques a través de un Modelo establecido por la Organización Marítima Internacional (OMI) de Ventanilla Única Marítima denominado VUMAR.</w:t>
                            </w:r>
                          </w:p>
                          <w:p w14:paraId="47062000" w14:textId="77777777" w:rsidR="000656CC" w:rsidRPr="008109D8" w:rsidRDefault="000656CC" w:rsidP="000656CC">
                            <w:pPr>
                              <w:pStyle w:val="Prrafodelista"/>
                              <w:jc w:val="both"/>
                              <w:rPr>
                                <w:rFonts w:ascii="Times New Roman" w:hAnsi="Times New Roman" w:cs="Times New Roman"/>
                                <w:noProof/>
                                <w:sz w:val="19"/>
                                <w:szCs w:val="19"/>
                                <w:lang w:eastAsia="es-GT"/>
                              </w:rPr>
                            </w:pPr>
                          </w:p>
                          <w:p w14:paraId="58E97049" w14:textId="6CA6F7B6" w:rsidR="000656CC" w:rsidRPr="00070EF0" w:rsidRDefault="000656CC" w:rsidP="000656CC">
                            <w:pPr>
                              <w:pStyle w:val="Prrafodelista"/>
                              <w:jc w:val="center"/>
                              <w:rPr>
                                <w:rFonts w:ascii="Times New Roman" w:hAnsi="Times New Roman" w:cs="Times New Roman"/>
                                <w:noProof/>
                                <w:color w:val="FF0000"/>
                                <w:sz w:val="20"/>
                                <w:szCs w:val="20"/>
                                <w:lang w:eastAsia="es-GT"/>
                              </w:rPr>
                            </w:pPr>
                          </w:p>
                          <w:p w14:paraId="0E85951C" w14:textId="77777777" w:rsidR="000656CC" w:rsidRPr="000D150A" w:rsidRDefault="000656CC" w:rsidP="000656CC">
                            <w:pPr>
                              <w:pStyle w:val="Prrafodelista"/>
                              <w:rPr>
                                <w:rFonts w:ascii="Times New Roman" w:hAnsi="Times New Roman" w:cs="Times New Roman"/>
                                <w:noProof/>
                                <w:color w:val="000000" w:themeColor="text1"/>
                                <w:sz w:val="20"/>
                                <w:szCs w:val="20"/>
                                <w:lang w:eastAsia="es-GT"/>
                              </w:rPr>
                            </w:pPr>
                          </w:p>
                          <w:p w14:paraId="35B61EED" w14:textId="77777777" w:rsidR="000656CC" w:rsidRPr="000D150A" w:rsidRDefault="000656CC" w:rsidP="000656CC">
                            <w:pPr>
                              <w:jc w:val="both"/>
                              <w:rPr>
                                <w:rFonts w:ascii="Times New Roman" w:hAnsi="Times New Roman" w:cs="Times New Roman"/>
                                <w:noProof/>
                                <w:color w:val="000000" w:themeColor="text1"/>
                                <w:sz w:val="2"/>
                                <w:szCs w:val="2"/>
                                <w:lang w:eastAsia="es-GT"/>
                              </w:rPr>
                            </w:pPr>
                          </w:p>
                          <w:p w14:paraId="26CD3614" w14:textId="77777777" w:rsidR="000656CC" w:rsidRDefault="000656CC" w:rsidP="000656CC">
                            <w:pPr>
                              <w:pStyle w:val="Prrafodelista"/>
                              <w:jc w:val="center"/>
                              <w:rPr>
                                <w:rFonts w:ascii="Times New Roman" w:hAnsi="Times New Roman" w:cs="Times New Roman"/>
                                <w:noProof/>
                                <w:color w:val="000000" w:themeColor="text1"/>
                                <w:sz w:val="20"/>
                                <w:szCs w:val="20"/>
                                <w:lang w:eastAsia="es-GT"/>
                              </w:rPr>
                            </w:pPr>
                          </w:p>
                          <w:p w14:paraId="29A057C9" w14:textId="77777777" w:rsidR="000656CC" w:rsidRPr="00066F88" w:rsidRDefault="000656CC" w:rsidP="000656CC">
                            <w:pPr>
                              <w:pStyle w:val="Prrafodelista"/>
                              <w:jc w:val="center"/>
                              <w:rPr>
                                <w:rFonts w:ascii="Times New Roman" w:hAnsi="Times New Roman" w:cs="Times New Roman"/>
                                <w:noProof/>
                                <w:color w:val="000000" w:themeColor="text1"/>
                                <w:sz w:val="20"/>
                                <w:szCs w:val="20"/>
                                <w:lang w:eastAsia="es-GT"/>
                              </w:rPr>
                            </w:pPr>
                          </w:p>
                          <w:p w14:paraId="07548E8B" w14:textId="77777777" w:rsidR="000656CC" w:rsidRPr="006F6A34" w:rsidRDefault="000656CC" w:rsidP="000656CC">
                            <w:pPr>
                              <w:pStyle w:val="Prrafodelista"/>
                              <w:jc w:val="both"/>
                              <w:rPr>
                                <w:rFonts w:ascii="Times New Roman" w:hAnsi="Times New Roman" w:cs="Times New Roman"/>
                                <w:noProof/>
                                <w:color w:val="000000" w:themeColor="text1"/>
                                <w:sz w:val="20"/>
                                <w:szCs w:val="20"/>
                                <w:lang w:eastAsia="es-GT"/>
                              </w:rPr>
                            </w:pPr>
                          </w:p>
                          <w:p w14:paraId="51ED19C6" w14:textId="77777777" w:rsidR="000656CC" w:rsidRPr="006F6A34" w:rsidRDefault="000656CC" w:rsidP="000656CC">
                            <w:pPr>
                              <w:jc w:val="center"/>
                              <w:rPr>
                                <w:rFonts w:ascii="Times New Roman" w:hAnsi="Times New Roman" w:cs="Times New Roman"/>
                                <w:b/>
                                <w:bCs/>
                                <w:sz w:val="20"/>
                                <w:szCs w:val="20"/>
                              </w:rPr>
                            </w:pPr>
                          </w:p>
                          <w:p w14:paraId="1002B260" w14:textId="77777777" w:rsidR="000656CC" w:rsidRPr="006F6A34" w:rsidRDefault="000656CC" w:rsidP="000656CC">
                            <w:pPr>
                              <w:jc w:val="center"/>
                              <w:rPr>
                                <w:rFonts w:ascii="Times New Roman" w:hAnsi="Times New Roman" w:cs="Times New Roman"/>
                                <w:b/>
                                <w:bCs/>
                                <w:sz w:val="20"/>
                                <w:szCs w:val="20"/>
                              </w:rPr>
                            </w:pPr>
                          </w:p>
                          <w:p w14:paraId="5281C080" w14:textId="77777777" w:rsidR="000656CC" w:rsidRDefault="000656CC" w:rsidP="000656CC">
                            <w:pPr>
                              <w:jc w:val="center"/>
                              <w:rPr>
                                <w:rFonts w:ascii="Times New Roman" w:hAnsi="Times New Roman" w:cs="Times New Roman"/>
                                <w:b/>
                                <w:bCs/>
                              </w:rPr>
                            </w:pPr>
                          </w:p>
                          <w:p w14:paraId="56C2CE1C" w14:textId="77777777" w:rsidR="000656CC" w:rsidRDefault="000656CC" w:rsidP="000656CC">
                            <w:pPr>
                              <w:jc w:val="center"/>
                              <w:rPr>
                                <w:rFonts w:ascii="Times New Roman" w:hAnsi="Times New Roman" w:cs="Times New Roman"/>
                                <w:b/>
                                <w:bCs/>
                              </w:rPr>
                            </w:pPr>
                          </w:p>
                          <w:p w14:paraId="0A69D953" w14:textId="77777777" w:rsidR="000656CC" w:rsidRDefault="000656CC" w:rsidP="000656CC">
                            <w:pPr>
                              <w:jc w:val="center"/>
                              <w:rPr>
                                <w:rFonts w:ascii="Times New Roman" w:hAnsi="Times New Roman" w:cs="Times New Roman"/>
                                <w:b/>
                                <w:bCs/>
                              </w:rPr>
                            </w:pPr>
                          </w:p>
                          <w:p w14:paraId="19C2EDC4" w14:textId="77777777" w:rsidR="000656CC" w:rsidRDefault="000656CC" w:rsidP="000656CC">
                            <w:pPr>
                              <w:jc w:val="center"/>
                              <w:rPr>
                                <w:rFonts w:ascii="Times New Roman" w:hAnsi="Times New Roman" w:cs="Times New Roman"/>
                                <w:b/>
                                <w:bCs/>
                              </w:rPr>
                            </w:pPr>
                          </w:p>
                          <w:p w14:paraId="66283CE9" w14:textId="77777777" w:rsidR="000656CC" w:rsidRDefault="000656CC" w:rsidP="000656CC">
                            <w:pPr>
                              <w:jc w:val="center"/>
                              <w:rPr>
                                <w:rFonts w:ascii="Times New Roman" w:hAnsi="Times New Roman" w:cs="Times New Roman"/>
                                <w:b/>
                                <w:bCs/>
                              </w:rPr>
                            </w:pPr>
                          </w:p>
                          <w:p w14:paraId="30B5A624" w14:textId="77777777" w:rsidR="000656CC" w:rsidRDefault="000656CC" w:rsidP="000656CC">
                            <w:pPr>
                              <w:jc w:val="center"/>
                              <w:rPr>
                                <w:rFonts w:ascii="Times New Roman" w:hAnsi="Times New Roman" w:cs="Times New Roman"/>
                                <w:b/>
                                <w:bCs/>
                              </w:rPr>
                            </w:pPr>
                          </w:p>
                          <w:p w14:paraId="43B37158" w14:textId="77777777" w:rsidR="000656CC" w:rsidRDefault="000656CC" w:rsidP="000656CC">
                            <w:pPr>
                              <w:jc w:val="center"/>
                              <w:rPr>
                                <w:rFonts w:ascii="Times New Roman" w:hAnsi="Times New Roman" w:cs="Times New Roman"/>
                                <w:b/>
                                <w:bCs/>
                              </w:rPr>
                            </w:pPr>
                          </w:p>
                          <w:p w14:paraId="561014A2" w14:textId="77777777" w:rsidR="000656CC" w:rsidRDefault="000656CC" w:rsidP="000656CC">
                            <w:pPr>
                              <w:jc w:val="center"/>
                              <w:rPr>
                                <w:rFonts w:ascii="Times New Roman" w:hAnsi="Times New Roman" w:cs="Times New Roman"/>
                                <w:b/>
                                <w:bCs/>
                              </w:rPr>
                            </w:pPr>
                          </w:p>
                          <w:p w14:paraId="41F4789F" w14:textId="77777777" w:rsidR="000656CC" w:rsidRDefault="000656CC" w:rsidP="000656CC">
                            <w:pPr>
                              <w:jc w:val="center"/>
                              <w:rPr>
                                <w:rFonts w:ascii="Times New Roman" w:hAnsi="Times New Roman" w:cs="Times New Roman"/>
                                <w:b/>
                                <w:bCs/>
                              </w:rPr>
                            </w:pPr>
                          </w:p>
                          <w:p w14:paraId="5AC44992" w14:textId="77777777" w:rsidR="000656CC" w:rsidRDefault="000656CC" w:rsidP="000656CC">
                            <w:pPr>
                              <w:jc w:val="center"/>
                              <w:rPr>
                                <w:rFonts w:ascii="Times New Roman" w:hAnsi="Times New Roman" w:cs="Times New Roman"/>
                                <w:b/>
                                <w:bCs/>
                              </w:rPr>
                            </w:pPr>
                          </w:p>
                          <w:p w14:paraId="37474FC4" w14:textId="77777777" w:rsidR="000656CC" w:rsidRDefault="000656CC" w:rsidP="000656CC">
                            <w:pPr>
                              <w:jc w:val="center"/>
                              <w:rPr>
                                <w:rFonts w:ascii="Times New Roman" w:hAnsi="Times New Roman" w:cs="Times New Roman"/>
                                <w:b/>
                                <w:bCs/>
                              </w:rPr>
                            </w:pPr>
                          </w:p>
                          <w:p w14:paraId="45CBD0FE" w14:textId="77777777" w:rsidR="000656CC" w:rsidRPr="008902B7" w:rsidRDefault="000656CC" w:rsidP="000656CC">
                            <w:pPr>
                              <w:jc w:val="center"/>
                              <w:rPr>
                                <w:rFonts w:ascii="Times New Roman" w:hAnsi="Times New Roman" w:cs="Times New Roman"/>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DD8BC79" id="Rectángulo 970" o:spid="_x0000_s1026" style="width:441.9pt;height:27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" fillcolor="#dae3f3" strokecolor="windowText" strokeweight=".5pt">
                <v:path arrowok="t"/>
                <v:textbox>
                  <w:txbxContent>
                    <w:p w14:paraId="0C1C4C99" w14:textId="77777777" w:rsidR="000656CC" w:rsidRPr="008109D8" w:rsidRDefault="000656CC" w:rsidP="000656CC">
                      <w:pPr>
                        <w:jc w:val="center"/>
                        <w:rPr>
                          <w:rFonts w:ascii="Times New Roman" w:hAnsi="Times New Roman" w:cs="Times New Roman"/>
                          <w:b/>
                          <w:bCs/>
                          <w:sz w:val="19"/>
                          <w:szCs w:val="19"/>
                        </w:rPr>
                      </w:pPr>
                      <w:r w:rsidRPr="008109D8">
                        <w:rPr>
                          <w:rFonts w:ascii="Times New Roman" w:eastAsia="Times New Roman" w:hAnsi="Times New Roman" w:cs="Times New Roman"/>
                          <w:b/>
                          <w:sz w:val="19"/>
                          <w:szCs w:val="19"/>
                          <w:lang w:val="es-MX"/>
                        </w:rPr>
                        <w:t xml:space="preserve">Acciones realizadas por </w:t>
                      </w:r>
                      <w:r>
                        <w:rPr>
                          <w:rFonts w:ascii="Times New Roman" w:eastAsia="Times New Roman" w:hAnsi="Times New Roman" w:cs="Times New Roman"/>
                          <w:b/>
                          <w:sz w:val="19"/>
                          <w:szCs w:val="19"/>
                          <w:lang w:val="es-MX"/>
                        </w:rPr>
                        <w:t xml:space="preserve">la </w:t>
                      </w:r>
                      <w:r w:rsidRPr="008109D8">
                        <w:rPr>
                          <w:rFonts w:ascii="Times New Roman" w:eastAsia="Times New Roman" w:hAnsi="Times New Roman" w:cs="Times New Roman"/>
                          <w:b/>
                          <w:sz w:val="19"/>
                          <w:szCs w:val="19"/>
                          <w:lang w:val="es-MX"/>
                        </w:rPr>
                        <w:t>SAT</w:t>
                      </w:r>
                    </w:p>
                    <w:p w14:paraId="34B32FDF" w14:textId="77777777" w:rsidR="000656CC" w:rsidRPr="008109D8" w:rsidRDefault="000656CC" w:rsidP="000656CC">
                      <w:pPr>
                        <w:jc w:val="center"/>
                        <w:rPr>
                          <w:rFonts w:ascii="Times New Roman" w:hAnsi="Times New Roman" w:cs="Times New Roman"/>
                          <w:b/>
                          <w:bCs/>
                          <w:sz w:val="19"/>
                          <w:szCs w:val="19"/>
                        </w:rPr>
                      </w:pPr>
                    </w:p>
                    <w:p w14:paraId="594050E2" w14:textId="77777777" w:rsidR="000656CC" w:rsidRPr="008109D8" w:rsidRDefault="000656CC" w:rsidP="000656CC">
                      <w:pPr>
                        <w:jc w:val="both"/>
                        <w:rPr>
                          <w:rFonts w:ascii="Times New Roman" w:hAnsi="Times New Roman" w:cs="Times New Roman"/>
                          <w:noProof/>
                          <w:sz w:val="19"/>
                          <w:szCs w:val="19"/>
                          <w:lang w:eastAsia="es-GT"/>
                        </w:rPr>
                      </w:pPr>
                      <w:r w:rsidRPr="008109D8">
                        <w:rPr>
                          <w:rFonts w:ascii="Times New Roman" w:hAnsi="Times New Roman" w:cs="Times New Roman"/>
                          <w:noProof/>
                          <w:sz w:val="19"/>
                          <w:szCs w:val="19"/>
                          <w:lang w:eastAsia="es-GT"/>
                        </w:rPr>
                        <w:t>La Superintendencia de Administración Tributaria, en 2023</w:t>
                      </w:r>
                      <w:r>
                        <w:rPr>
                          <w:rFonts w:ascii="Times New Roman" w:hAnsi="Times New Roman" w:cs="Times New Roman"/>
                          <w:noProof/>
                          <w:sz w:val="19"/>
                          <w:szCs w:val="19"/>
                          <w:lang w:eastAsia="es-GT"/>
                        </w:rPr>
                        <w:t>,</w:t>
                      </w:r>
                      <w:r w:rsidRPr="008109D8">
                        <w:rPr>
                          <w:rFonts w:ascii="Times New Roman" w:hAnsi="Times New Roman" w:cs="Times New Roman"/>
                          <w:noProof/>
                          <w:sz w:val="19"/>
                          <w:szCs w:val="19"/>
                          <w:lang w:eastAsia="es-GT"/>
                        </w:rPr>
                        <w:t xml:space="preserve"> continuó con la implementación de acciones para aumentar la recaudación tributaria en sus intendencias, de las cuales destaca:</w:t>
                      </w:r>
                    </w:p>
                    <w:p w14:paraId="136BC3E6" w14:textId="77777777" w:rsidR="000656CC" w:rsidRPr="008109D8" w:rsidRDefault="000656CC" w:rsidP="000656CC">
                      <w:pPr>
                        <w:jc w:val="both"/>
                        <w:rPr>
                          <w:rFonts w:ascii="Times New Roman" w:hAnsi="Times New Roman" w:cs="Times New Roman"/>
                          <w:noProof/>
                          <w:color w:val="FF0000"/>
                          <w:sz w:val="19"/>
                          <w:szCs w:val="19"/>
                          <w:lang w:eastAsia="es-GT"/>
                        </w:rPr>
                      </w:pPr>
                    </w:p>
                    <w:p w14:paraId="28470135" w14:textId="606F3BDD" w:rsidR="000656CC" w:rsidRDefault="000656CC" w:rsidP="000656CC">
                      <w:pPr>
                        <w:pStyle w:val="Prrafodelista"/>
                        <w:numPr>
                          <w:ilvl w:val="0"/>
                          <w:numId w:val="23"/>
                        </w:numPr>
                        <w:ind w:left="567"/>
                        <w:jc w:val="both"/>
                        <w:rPr>
                          <w:rFonts w:ascii="Times New Roman" w:hAnsi="Times New Roman" w:cs="Times New Roman"/>
                          <w:noProof/>
                          <w:sz w:val="19"/>
                          <w:szCs w:val="19"/>
                          <w:lang w:eastAsia="es-GT"/>
                        </w:rPr>
                      </w:pPr>
                      <w:r w:rsidRPr="008109D8">
                        <w:rPr>
                          <w:rFonts w:ascii="Times New Roman" w:hAnsi="Times New Roman" w:cs="Times New Roman"/>
                          <w:noProof/>
                          <w:sz w:val="19"/>
                          <w:szCs w:val="19"/>
                          <w:lang w:eastAsia="es-GT"/>
                        </w:rPr>
                        <w:t xml:space="preserve">La intendencia de Atención al Contribuyente continuó con la puesta en marcha de sistemas y herramientas que facilitan el acceso y manejo de la Agencia Virtual (modernización del Sistema Declaraguate, con más opciones de formularios, nuevas consultas y delegación de permisos a terceras personas), Sistema de Citas Controladas, Asistente de Respuesta Inteligente Tributaria y Aduanera, Libro Electrónico Tributario, Cese prescrito de Actividades, Sistema de Productores y Exportadores, Aplicación Móvil de SAT (APP Fel de la Declaración Sugerida Preelaborada de Regímenes Simplificados del IVA), Distribución de Placas de Circulación y Atención a través del </w:t>
                      </w:r>
                      <w:r>
                        <w:rPr>
                          <w:rFonts w:ascii="Times New Roman" w:hAnsi="Times New Roman" w:cs="Times New Roman"/>
                          <w:noProof/>
                          <w:sz w:val="19"/>
                          <w:szCs w:val="19"/>
                          <w:lang w:eastAsia="es-GT"/>
                        </w:rPr>
                        <w:t xml:space="preserve"> Contact</w:t>
                      </w:r>
                      <w:r w:rsidRPr="008109D8">
                        <w:rPr>
                          <w:rFonts w:ascii="Times New Roman" w:hAnsi="Times New Roman" w:cs="Times New Roman"/>
                          <w:noProof/>
                          <w:sz w:val="19"/>
                          <w:szCs w:val="19"/>
                          <w:lang w:eastAsia="es-GT"/>
                        </w:rPr>
                        <w:t xml:space="preserve"> Center.</w:t>
                      </w:r>
                    </w:p>
                    <w:p w14:paraId="2658730A" w14:textId="77777777" w:rsidR="000656CC" w:rsidRDefault="000656CC" w:rsidP="000656CC">
                      <w:pPr>
                        <w:pStyle w:val="Prrafodelista"/>
                        <w:ind w:left="567"/>
                        <w:jc w:val="both"/>
                        <w:rPr>
                          <w:rFonts w:ascii="Times New Roman" w:hAnsi="Times New Roman" w:cs="Times New Roman"/>
                          <w:noProof/>
                          <w:sz w:val="19"/>
                          <w:szCs w:val="19"/>
                          <w:lang w:eastAsia="es-GT"/>
                        </w:rPr>
                      </w:pPr>
                    </w:p>
                    <w:p w14:paraId="1B502EF1" w14:textId="336C88B1" w:rsidR="000656CC" w:rsidRPr="000656CC" w:rsidRDefault="000656CC" w:rsidP="000656CC">
                      <w:pPr>
                        <w:pStyle w:val="Prrafodelista"/>
                        <w:numPr>
                          <w:ilvl w:val="0"/>
                          <w:numId w:val="23"/>
                        </w:numPr>
                        <w:ind w:left="567"/>
                        <w:jc w:val="both"/>
                        <w:rPr>
                          <w:rFonts w:ascii="Times New Roman" w:hAnsi="Times New Roman" w:cs="Times New Roman"/>
                          <w:noProof/>
                          <w:sz w:val="19"/>
                          <w:szCs w:val="19"/>
                          <w:lang w:eastAsia="es-GT"/>
                        </w:rPr>
                      </w:pPr>
                      <w:r w:rsidRPr="008109D8">
                        <w:rPr>
                          <w:rFonts w:ascii="Times New Roman" w:hAnsi="Times New Roman" w:cs="Times New Roman"/>
                          <w:noProof/>
                          <w:sz w:val="19"/>
                          <w:szCs w:val="19"/>
                          <w:lang w:eastAsia="es-GT"/>
                        </w:rPr>
                        <w:t xml:space="preserve">La Intendencia de Aduanas implementó mejoras del control de Administración Tributaria y Aduanas a través del Gobierno de Datos, con el fortalecimiento del enfoque sectorial y la profundización en el conocimento transaccional, aprovechando la disponibilidad de información que provee la facturación electrónica y el </w:t>
                      </w:r>
                      <w:r>
                        <w:rPr>
                          <w:rFonts w:ascii="Times New Roman" w:hAnsi="Times New Roman" w:cs="Times New Roman"/>
                          <w:noProof/>
                          <w:sz w:val="19"/>
                          <w:szCs w:val="19"/>
                          <w:lang w:eastAsia="es-GT"/>
                        </w:rPr>
                        <w:t>Registro Tributario Unificado (</w:t>
                      </w:r>
                      <w:r w:rsidRPr="000E5F15">
                        <w:rPr>
                          <w:rFonts w:ascii="Times New Roman" w:hAnsi="Times New Roman" w:cs="Times New Roman"/>
                          <w:noProof/>
                          <w:sz w:val="19"/>
                          <w:szCs w:val="19"/>
                          <w:lang w:eastAsia="es-GT"/>
                        </w:rPr>
                        <w:t>RTU</w:t>
                      </w:r>
                      <w:r>
                        <w:rPr>
                          <w:rFonts w:ascii="Times New Roman" w:hAnsi="Times New Roman" w:cs="Times New Roman"/>
                          <w:noProof/>
                          <w:sz w:val="19"/>
                          <w:szCs w:val="19"/>
                          <w:lang w:eastAsia="es-GT"/>
                        </w:rPr>
                        <w:t>)</w:t>
                      </w:r>
                      <w:r w:rsidRPr="008109D8">
                        <w:rPr>
                          <w:rFonts w:ascii="Times New Roman" w:hAnsi="Times New Roman" w:cs="Times New Roman"/>
                          <w:noProof/>
                          <w:sz w:val="19"/>
                          <w:szCs w:val="19"/>
                          <w:lang w:eastAsia="es-GT"/>
                        </w:rPr>
                        <w:t xml:space="preserve"> Digital. Tambien se robustecieron los controles aduaneros a través de la analítica de datos dentro de paneles y tableros, mediante la adopción del uso de la herramienta de Business Intelligence.  Se implementó la fiscalización por sector económico, mediante la aplicación de modelos Z-Score y M-Score para evaluar la salud financiera y detectar manipulación de estados financieros; y se implementó la Fiscalización electrónica (FISEL) mediante la geolocalización de los negocios y de los auditores tributarios. Se resalta la suscripción del </w:t>
                      </w:r>
                      <w:r>
                        <w:rPr>
                          <w:rFonts w:ascii="Times New Roman" w:hAnsi="Times New Roman" w:cs="Times New Roman"/>
                          <w:noProof/>
                          <w:sz w:val="19"/>
                          <w:szCs w:val="19"/>
                          <w:lang w:eastAsia="es-GT"/>
                        </w:rPr>
                        <w:t>C</w:t>
                      </w:r>
                      <w:r w:rsidRPr="008109D8">
                        <w:rPr>
                          <w:rFonts w:ascii="Times New Roman" w:hAnsi="Times New Roman" w:cs="Times New Roman"/>
                          <w:noProof/>
                          <w:sz w:val="19"/>
                          <w:szCs w:val="19"/>
                          <w:lang w:eastAsia="es-GT"/>
                        </w:rPr>
                        <w:t>onvenio Interinstitucional para la automatización del arribo y zarpe de buques a través de un Modelo establecido por la Organización Marítima Internacional (OMI) de Ventanilla Única Marítima denominado VUMAR.</w:t>
                      </w:r>
                    </w:p>
                    <w:p w14:paraId="47062000" w14:textId="77777777" w:rsidR="000656CC" w:rsidRPr="008109D8" w:rsidRDefault="000656CC" w:rsidP="000656CC">
                      <w:pPr>
                        <w:pStyle w:val="Prrafodelista"/>
                        <w:jc w:val="both"/>
                        <w:rPr>
                          <w:rFonts w:ascii="Times New Roman" w:hAnsi="Times New Roman" w:cs="Times New Roman"/>
                          <w:noProof/>
                          <w:sz w:val="19"/>
                          <w:szCs w:val="19"/>
                          <w:lang w:eastAsia="es-GT"/>
                        </w:rPr>
                      </w:pPr>
                    </w:p>
                    <w:p w14:paraId="58E97049" w14:textId="6CA6F7B6" w:rsidR="000656CC" w:rsidRPr="00070EF0" w:rsidRDefault="000656CC" w:rsidP="000656CC">
                      <w:pPr>
                        <w:pStyle w:val="Prrafodelista"/>
                        <w:jc w:val="center"/>
                        <w:rPr>
                          <w:rFonts w:ascii="Times New Roman" w:hAnsi="Times New Roman" w:cs="Times New Roman"/>
                          <w:noProof/>
                          <w:color w:val="FF0000"/>
                          <w:sz w:val="20"/>
                          <w:szCs w:val="20"/>
                          <w:lang w:eastAsia="es-GT"/>
                        </w:rPr>
                      </w:pPr>
                    </w:p>
                    <w:p w14:paraId="0E85951C" w14:textId="77777777" w:rsidR="000656CC" w:rsidRPr="000D150A" w:rsidRDefault="000656CC" w:rsidP="000656CC">
                      <w:pPr>
                        <w:pStyle w:val="Prrafodelista"/>
                        <w:rPr>
                          <w:rFonts w:ascii="Times New Roman" w:hAnsi="Times New Roman" w:cs="Times New Roman"/>
                          <w:noProof/>
                          <w:color w:val="000000" w:themeColor="text1"/>
                          <w:sz w:val="20"/>
                          <w:szCs w:val="20"/>
                          <w:lang w:eastAsia="es-GT"/>
                        </w:rPr>
                      </w:pPr>
                    </w:p>
                    <w:p w14:paraId="35B61EED" w14:textId="77777777" w:rsidR="000656CC" w:rsidRPr="000D150A" w:rsidRDefault="000656CC" w:rsidP="000656CC">
                      <w:pPr>
                        <w:jc w:val="both"/>
                        <w:rPr>
                          <w:rFonts w:ascii="Times New Roman" w:hAnsi="Times New Roman" w:cs="Times New Roman"/>
                          <w:noProof/>
                          <w:color w:val="000000" w:themeColor="text1"/>
                          <w:sz w:val="2"/>
                          <w:szCs w:val="2"/>
                          <w:lang w:eastAsia="es-GT"/>
                        </w:rPr>
                      </w:pPr>
                    </w:p>
                    <w:p w14:paraId="26CD3614" w14:textId="77777777" w:rsidR="000656CC" w:rsidRDefault="000656CC" w:rsidP="000656CC">
                      <w:pPr>
                        <w:pStyle w:val="Prrafodelista"/>
                        <w:jc w:val="center"/>
                        <w:rPr>
                          <w:rFonts w:ascii="Times New Roman" w:hAnsi="Times New Roman" w:cs="Times New Roman"/>
                          <w:noProof/>
                          <w:color w:val="000000" w:themeColor="text1"/>
                          <w:sz w:val="20"/>
                          <w:szCs w:val="20"/>
                          <w:lang w:eastAsia="es-GT"/>
                        </w:rPr>
                      </w:pPr>
                    </w:p>
                    <w:p w14:paraId="29A057C9" w14:textId="77777777" w:rsidR="000656CC" w:rsidRPr="00066F88" w:rsidRDefault="000656CC" w:rsidP="000656CC">
                      <w:pPr>
                        <w:pStyle w:val="Prrafodelista"/>
                        <w:jc w:val="center"/>
                        <w:rPr>
                          <w:rFonts w:ascii="Times New Roman" w:hAnsi="Times New Roman" w:cs="Times New Roman"/>
                          <w:noProof/>
                          <w:color w:val="000000" w:themeColor="text1"/>
                          <w:sz w:val="20"/>
                          <w:szCs w:val="20"/>
                          <w:lang w:eastAsia="es-GT"/>
                        </w:rPr>
                      </w:pPr>
                    </w:p>
                    <w:p w14:paraId="07548E8B" w14:textId="77777777" w:rsidR="000656CC" w:rsidRPr="006F6A34" w:rsidRDefault="000656CC" w:rsidP="000656CC">
                      <w:pPr>
                        <w:pStyle w:val="Prrafodelista"/>
                        <w:jc w:val="both"/>
                        <w:rPr>
                          <w:rFonts w:ascii="Times New Roman" w:hAnsi="Times New Roman" w:cs="Times New Roman"/>
                          <w:noProof/>
                          <w:color w:val="000000" w:themeColor="text1"/>
                          <w:sz w:val="20"/>
                          <w:szCs w:val="20"/>
                          <w:lang w:eastAsia="es-GT"/>
                        </w:rPr>
                      </w:pPr>
                    </w:p>
                    <w:p w14:paraId="51ED19C6" w14:textId="77777777" w:rsidR="000656CC" w:rsidRPr="006F6A34" w:rsidRDefault="000656CC" w:rsidP="000656CC">
                      <w:pPr>
                        <w:jc w:val="center"/>
                        <w:rPr>
                          <w:rFonts w:ascii="Times New Roman" w:hAnsi="Times New Roman" w:cs="Times New Roman"/>
                          <w:b/>
                          <w:bCs/>
                          <w:sz w:val="20"/>
                          <w:szCs w:val="20"/>
                        </w:rPr>
                      </w:pPr>
                    </w:p>
                    <w:p w14:paraId="1002B260" w14:textId="77777777" w:rsidR="000656CC" w:rsidRPr="006F6A34" w:rsidRDefault="000656CC" w:rsidP="000656CC">
                      <w:pPr>
                        <w:jc w:val="center"/>
                        <w:rPr>
                          <w:rFonts w:ascii="Times New Roman" w:hAnsi="Times New Roman" w:cs="Times New Roman"/>
                          <w:b/>
                          <w:bCs/>
                          <w:sz w:val="20"/>
                          <w:szCs w:val="20"/>
                        </w:rPr>
                      </w:pPr>
                    </w:p>
                    <w:p w14:paraId="5281C080" w14:textId="77777777" w:rsidR="000656CC" w:rsidRDefault="000656CC" w:rsidP="000656CC">
                      <w:pPr>
                        <w:jc w:val="center"/>
                        <w:rPr>
                          <w:rFonts w:ascii="Times New Roman" w:hAnsi="Times New Roman" w:cs="Times New Roman"/>
                          <w:b/>
                          <w:bCs/>
                        </w:rPr>
                      </w:pPr>
                    </w:p>
                    <w:p w14:paraId="56C2CE1C" w14:textId="77777777" w:rsidR="000656CC" w:rsidRDefault="000656CC" w:rsidP="000656CC">
                      <w:pPr>
                        <w:jc w:val="center"/>
                        <w:rPr>
                          <w:rFonts w:ascii="Times New Roman" w:hAnsi="Times New Roman" w:cs="Times New Roman"/>
                          <w:b/>
                          <w:bCs/>
                        </w:rPr>
                      </w:pPr>
                    </w:p>
                    <w:p w14:paraId="0A69D953" w14:textId="77777777" w:rsidR="000656CC" w:rsidRDefault="000656CC" w:rsidP="000656CC">
                      <w:pPr>
                        <w:jc w:val="center"/>
                        <w:rPr>
                          <w:rFonts w:ascii="Times New Roman" w:hAnsi="Times New Roman" w:cs="Times New Roman"/>
                          <w:b/>
                          <w:bCs/>
                        </w:rPr>
                      </w:pPr>
                    </w:p>
                    <w:p w14:paraId="19C2EDC4" w14:textId="77777777" w:rsidR="000656CC" w:rsidRDefault="000656CC" w:rsidP="000656CC">
                      <w:pPr>
                        <w:jc w:val="center"/>
                        <w:rPr>
                          <w:rFonts w:ascii="Times New Roman" w:hAnsi="Times New Roman" w:cs="Times New Roman"/>
                          <w:b/>
                          <w:bCs/>
                        </w:rPr>
                      </w:pPr>
                    </w:p>
                    <w:p w14:paraId="66283CE9" w14:textId="77777777" w:rsidR="000656CC" w:rsidRDefault="000656CC" w:rsidP="000656CC">
                      <w:pPr>
                        <w:jc w:val="center"/>
                        <w:rPr>
                          <w:rFonts w:ascii="Times New Roman" w:hAnsi="Times New Roman" w:cs="Times New Roman"/>
                          <w:b/>
                          <w:bCs/>
                        </w:rPr>
                      </w:pPr>
                    </w:p>
                    <w:p w14:paraId="30B5A624" w14:textId="77777777" w:rsidR="000656CC" w:rsidRDefault="000656CC" w:rsidP="000656CC">
                      <w:pPr>
                        <w:jc w:val="center"/>
                        <w:rPr>
                          <w:rFonts w:ascii="Times New Roman" w:hAnsi="Times New Roman" w:cs="Times New Roman"/>
                          <w:b/>
                          <w:bCs/>
                        </w:rPr>
                      </w:pPr>
                    </w:p>
                    <w:p w14:paraId="43B37158" w14:textId="77777777" w:rsidR="000656CC" w:rsidRDefault="000656CC" w:rsidP="000656CC">
                      <w:pPr>
                        <w:jc w:val="center"/>
                        <w:rPr>
                          <w:rFonts w:ascii="Times New Roman" w:hAnsi="Times New Roman" w:cs="Times New Roman"/>
                          <w:b/>
                          <w:bCs/>
                        </w:rPr>
                      </w:pPr>
                    </w:p>
                    <w:p w14:paraId="561014A2" w14:textId="77777777" w:rsidR="000656CC" w:rsidRDefault="000656CC" w:rsidP="000656CC">
                      <w:pPr>
                        <w:jc w:val="center"/>
                        <w:rPr>
                          <w:rFonts w:ascii="Times New Roman" w:hAnsi="Times New Roman" w:cs="Times New Roman"/>
                          <w:b/>
                          <w:bCs/>
                        </w:rPr>
                      </w:pPr>
                    </w:p>
                    <w:p w14:paraId="41F4789F" w14:textId="77777777" w:rsidR="000656CC" w:rsidRDefault="000656CC" w:rsidP="000656CC">
                      <w:pPr>
                        <w:jc w:val="center"/>
                        <w:rPr>
                          <w:rFonts w:ascii="Times New Roman" w:hAnsi="Times New Roman" w:cs="Times New Roman"/>
                          <w:b/>
                          <w:bCs/>
                        </w:rPr>
                      </w:pPr>
                    </w:p>
                    <w:p w14:paraId="5AC44992" w14:textId="77777777" w:rsidR="000656CC" w:rsidRDefault="000656CC" w:rsidP="000656CC">
                      <w:pPr>
                        <w:jc w:val="center"/>
                        <w:rPr>
                          <w:rFonts w:ascii="Times New Roman" w:hAnsi="Times New Roman" w:cs="Times New Roman"/>
                          <w:b/>
                          <w:bCs/>
                        </w:rPr>
                      </w:pPr>
                    </w:p>
                    <w:p w14:paraId="37474FC4" w14:textId="77777777" w:rsidR="000656CC" w:rsidRDefault="000656CC" w:rsidP="000656CC">
                      <w:pPr>
                        <w:jc w:val="center"/>
                        <w:rPr>
                          <w:rFonts w:ascii="Times New Roman" w:hAnsi="Times New Roman" w:cs="Times New Roman"/>
                          <w:b/>
                          <w:bCs/>
                        </w:rPr>
                      </w:pPr>
                    </w:p>
                    <w:p w14:paraId="45CBD0FE" w14:textId="77777777" w:rsidR="000656CC" w:rsidRPr="008902B7" w:rsidRDefault="000656CC" w:rsidP="000656CC">
                      <w:pPr>
                        <w:jc w:val="center"/>
                        <w:rPr>
                          <w:rFonts w:ascii="Times New Roman" w:hAnsi="Times New Roman" w:cs="Times New Roman"/>
                          <w:b/>
                          <w:bCs/>
                        </w:rPr>
                      </w:pPr>
                    </w:p>
                  </w:txbxContent>
                </v:textbox>
                <w10:anchorlock/>
              </v:rect>
            </w:pict>
          </mc:Fallback>
        </mc:AlternateContent>
      </w:r>
    </w:p>
    <w:p w14:paraId="584D2A01" w14:textId="44EC8C4F" w:rsidR="006710E8" w:rsidRDefault="006710E8" w:rsidP="006710E8">
      <w:pPr>
        <w:spacing w:line="276" w:lineRule="auto"/>
        <w:contextualSpacing/>
        <w:jc w:val="both"/>
        <w:rPr>
          <w:rFonts w:ascii="Times New Roman" w:eastAsia="Times New Roman" w:hAnsi="Times New Roman" w:cs="Times New Roman"/>
          <w:color w:val="FF0000"/>
          <w:sz w:val="22"/>
          <w:szCs w:val="22"/>
        </w:rPr>
      </w:pPr>
      <w:r w:rsidRPr="00885B1F">
        <w:rPr>
          <w:rFonts w:ascii="Calibri" w:eastAsia="Times New Roman" w:hAnsi="Calibri" w:cs="Calibri"/>
          <w:noProof/>
          <w:color w:val="FF0000"/>
          <w:sz w:val="22"/>
          <w:szCs w:val="22"/>
        </w:rPr>
        <w:lastRenderedPageBreak/>
        <mc:AlternateContent>
          <mc:Choice Requires="wps">
            <w:drawing>
              <wp:inline distT="0" distB="0" distL="0" distR="0" wp14:anchorId="1328C083" wp14:editId="41E083E7">
                <wp:extent cx="5612130" cy="6337190"/>
                <wp:effectExtent l="0" t="0" r="26670" b="26035"/>
                <wp:docPr id="58" name="Rectángulo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2130" cy="6337190"/>
                        </a:xfrm>
                        <a:prstGeom prst="rect">
                          <a:avLst/>
                        </a:prstGeom>
                        <a:solidFill>
                          <a:srgbClr val="4472C4">
                            <a:lumMod val="20000"/>
                            <a:lumOff val="80000"/>
                          </a:srgbClr>
                        </a:solidFill>
                        <a:ln w="6350" cap="flat" cmpd="sng" algn="ctr">
                          <a:solidFill>
                            <a:sysClr val="windowText" lastClr="000000"/>
                          </a:solidFill>
                          <a:prstDash val="solid"/>
                          <a:miter lim="800000"/>
                        </a:ln>
                        <a:effectLst/>
                      </wps:spPr>
                      <wps:txbx>
                        <w:txbxContent>
                          <w:p w14:paraId="0E8B4031" w14:textId="77777777" w:rsidR="006710E8" w:rsidRPr="008109D8" w:rsidRDefault="006710E8" w:rsidP="006710E8">
                            <w:pPr>
                              <w:pStyle w:val="Prrafodelista"/>
                              <w:jc w:val="both"/>
                              <w:rPr>
                                <w:rFonts w:ascii="Times New Roman" w:hAnsi="Times New Roman" w:cs="Times New Roman"/>
                                <w:noProof/>
                                <w:sz w:val="19"/>
                                <w:szCs w:val="19"/>
                                <w:lang w:eastAsia="es-GT"/>
                              </w:rPr>
                            </w:pPr>
                          </w:p>
                          <w:p w14:paraId="7C9D2B0A" w14:textId="77777777" w:rsidR="006710E8" w:rsidRPr="008109D8" w:rsidRDefault="006710E8" w:rsidP="000656CC">
                            <w:pPr>
                              <w:pStyle w:val="Prrafodelista"/>
                              <w:numPr>
                                <w:ilvl w:val="0"/>
                                <w:numId w:val="23"/>
                              </w:numPr>
                              <w:ind w:left="567"/>
                              <w:jc w:val="both"/>
                              <w:rPr>
                                <w:rFonts w:ascii="Times New Roman" w:hAnsi="Times New Roman" w:cs="Times New Roman"/>
                                <w:noProof/>
                                <w:sz w:val="19"/>
                                <w:szCs w:val="19"/>
                                <w:lang w:eastAsia="es-GT"/>
                              </w:rPr>
                            </w:pPr>
                            <w:r w:rsidRPr="008109D8">
                              <w:rPr>
                                <w:rFonts w:ascii="Times New Roman" w:hAnsi="Times New Roman" w:cs="Times New Roman"/>
                                <w:noProof/>
                                <w:sz w:val="19"/>
                                <w:szCs w:val="19"/>
                                <w:lang w:eastAsia="es-GT"/>
                              </w:rPr>
                              <w:t>La Intendencia de Asuntos Jurídicos realizó más de 6,000 acciones legales en forma efectiva y en apego a los derechos de los contribuyentes, y más de 400 mesas técnicas que permitieron coordinaciones efectivas con el Ministerio Público dentro de los procesos penales; se destaca la depuración de la cartera de expedientes legales y la clasificación de la cartera de expedientes judiciales activos; se elaboraron más de 450 dictámenes relacionados con la interpretación, integración y aplicación de la legislación tributaria; y se propiciaron acercamientos con los contribuyentes mediante citas, mesas técnicas, llamadas telefónicas y otras formas de comunicación.</w:t>
                            </w:r>
                          </w:p>
                          <w:p w14:paraId="34892654" w14:textId="77777777" w:rsidR="006710E8" w:rsidRPr="008109D8" w:rsidRDefault="006710E8" w:rsidP="000656CC">
                            <w:pPr>
                              <w:ind w:left="567"/>
                              <w:jc w:val="both"/>
                              <w:rPr>
                                <w:rFonts w:ascii="Times New Roman" w:hAnsi="Times New Roman" w:cs="Times New Roman"/>
                                <w:noProof/>
                                <w:color w:val="FF0000"/>
                                <w:sz w:val="19"/>
                                <w:szCs w:val="19"/>
                                <w:lang w:eastAsia="es-GT"/>
                              </w:rPr>
                            </w:pPr>
                          </w:p>
                          <w:p w14:paraId="0C903C8F" w14:textId="77777777" w:rsidR="006710E8" w:rsidRPr="008109D8" w:rsidRDefault="006710E8" w:rsidP="000656CC">
                            <w:pPr>
                              <w:pStyle w:val="Prrafodelista"/>
                              <w:numPr>
                                <w:ilvl w:val="0"/>
                                <w:numId w:val="23"/>
                              </w:numPr>
                              <w:ind w:left="567"/>
                              <w:jc w:val="both"/>
                              <w:rPr>
                                <w:rFonts w:ascii="Times New Roman" w:hAnsi="Times New Roman" w:cs="Times New Roman"/>
                                <w:noProof/>
                                <w:sz w:val="19"/>
                                <w:szCs w:val="19"/>
                                <w:lang w:eastAsia="es-GT"/>
                              </w:rPr>
                            </w:pPr>
                            <w:r w:rsidRPr="008109D8">
                              <w:rPr>
                                <w:rFonts w:ascii="Times New Roman" w:hAnsi="Times New Roman" w:cs="Times New Roman"/>
                                <w:noProof/>
                                <w:sz w:val="19"/>
                                <w:szCs w:val="19"/>
                                <w:lang w:eastAsia="es-GT"/>
                              </w:rPr>
                              <w:t>La Intendencia de Fiscalización fortaleció y complementó la herramienta de Fiscalización Electrónica (FISEL) para los procesos de operativos fiscales y avanzó en la implementación de mejoras al sistema de gestión  de información financiera, programas de fiscalización para combatir tipologías de evasión y elusión tributaria, e implementó la metodología de fiscalización por sector económico y control de proveedores recurrentes de exportadores por sector económico.</w:t>
                            </w:r>
                          </w:p>
                          <w:p w14:paraId="146FFDD6" w14:textId="77777777" w:rsidR="006710E8" w:rsidRPr="008109D8" w:rsidRDefault="006710E8" w:rsidP="000656CC">
                            <w:pPr>
                              <w:pStyle w:val="Prrafodelista"/>
                              <w:ind w:left="567"/>
                              <w:jc w:val="both"/>
                              <w:rPr>
                                <w:rFonts w:ascii="Times New Roman" w:hAnsi="Times New Roman" w:cs="Times New Roman"/>
                                <w:noProof/>
                                <w:sz w:val="19"/>
                                <w:szCs w:val="19"/>
                                <w:lang w:eastAsia="es-GT"/>
                              </w:rPr>
                            </w:pPr>
                          </w:p>
                          <w:p w14:paraId="2769C3F3" w14:textId="0F597394" w:rsidR="006710E8" w:rsidRPr="008109D8" w:rsidRDefault="006710E8" w:rsidP="000656CC">
                            <w:pPr>
                              <w:pStyle w:val="Prrafodelista"/>
                              <w:numPr>
                                <w:ilvl w:val="0"/>
                                <w:numId w:val="23"/>
                              </w:numPr>
                              <w:ind w:left="567"/>
                              <w:jc w:val="both"/>
                              <w:rPr>
                                <w:rFonts w:ascii="Times New Roman" w:hAnsi="Times New Roman" w:cs="Times New Roman"/>
                                <w:noProof/>
                                <w:sz w:val="19"/>
                                <w:szCs w:val="19"/>
                                <w:lang w:eastAsia="es-GT"/>
                              </w:rPr>
                            </w:pPr>
                            <w:r w:rsidRPr="008109D8">
                              <w:rPr>
                                <w:rFonts w:ascii="Times New Roman" w:hAnsi="Times New Roman" w:cs="Times New Roman"/>
                                <w:noProof/>
                                <w:sz w:val="19"/>
                                <w:szCs w:val="19"/>
                                <w:lang w:eastAsia="es-GT"/>
                              </w:rPr>
                              <w:t xml:space="preserve">La Intendencia de Recaudación </w:t>
                            </w:r>
                            <w:r w:rsidR="00F80363" w:rsidRPr="008109D8">
                              <w:rPr>
                                <w:rFonts w:ascii="Times New Roman" w:hAnsi="Times New Roman" w:cs="Times New Roman"/>
                                <w:noProof/>
                                <w:sz w:val="19"/>
                                <w:szCs w:val="19"/>
                                <w:lang w:eastAsia="es-GT"/>
                              </w:rPr>
                              <w:t>contin</w:t>
                            </w:r>
                            <w:r w:rsidR="00F80363">
                              <w:rPr>
                                <w:rFonts w:ascii="Times New Roman" w:hAnsi="Times New Roman" w:cs="Times New Roman"/>
                                <w:noProof/>
                                <w:sz w:val="19"/>
                                <w:szCs w:val="19"/>
                                <w:lang w:eastAsia="es-GT"/>
                              </w:rPr>
                              <w:t>uó</w:t>
                            </w:r>
                            <w:r w:rsidR="00F80363" w:rsidRPr="008109D8">
                              <w:rPr>
                                <w:rFonts w:ascii="Times New Roman" w:hAnsi="Times New Roman" w:cs="Times New Roman"/>
                                <w:noProof/>
                                <w:sz w:val="19"/>
                                <w:szCs w:val="19"/>
                                <w:lang w:eastAsia="es-GT"/>
                              </w:rPr>
                              <w:t xml:space="preserve"> </w:t>
                            </w:r>
                            <w:r w:rsidRPr="008109D8">
                              <w:rPr>
                                <w:rFonts w:ascii="Times New Roman" w:hAnsi="Times New Roman" w:cs="Times New Roman"/>
                                <w:noProof/>
                                <w:sz w:val="19"/>
                                <w:szCs w:val="19"/>
                                <w:lang w:eastAsia="es-GT"/>
                              </w:rPr>
                              <w:t xml:space="preserve">con los sistemas y herramientas de facilitación y control con lo que se </w:t>
                            </w:r>
                            <w:r w:rsidR="00F80363" w:rsidRPr="008109D8">
                              <w:rPr>
                                <w:rFonts w:ascii="Times New Roman" w:hAnsi="Times New Roman" w:cs="Times New Roman"/>
                                <w:noProof/>
                                <w:sz w:val="19"/>
                                <w:szCs w:val="19"/>
                                <w:lang w:eastAsia="es-GT"/>
                              </w:rPr>
                              <w:t>logr</w:t>
                            </w:r>
                            <w:r w:rsidR="00F80363">
                              <w:rPr>
                                <w:rFonts w:ascii="Times New Roman" w:hAnsi="Times New Roman" w:cs="Times New Roman"/>
                                <w:noProof/>
                                <w:sz w:val="19"/>
                                <w:szCs w:val="19"/>
                                <w:lang w:eastAsia="es-GT"/>
                              </w:rPr>
                              <w:t>ó</w:t>
                            </w:r>
                            <w:r w:rsidR="00F80363" w:rsidRPr="008109D8">
                              <w:rPr>
                                <w:rFonts w:ascii="Times New Roman" w:hAnsi="Times New Roman" w:cs="Times New Roman"/>
                                <w:noProof/>
                                <w:sz w:val="19"/>
                                <w:szCs w:val="19"/>
                                <w:lang w:eastAsia="es-GT"/>
                              </w:rPr>
                              <w:t xml:space="preserve"> </w:t>
                            </w:r>
                            <w:r w:rsidRPr="008109D8">
                              <w:rPr>
                                <w:rFonts w:ascii="Times New Roman" w:hAnsi="Times New Roman" w:cs="Times New Roman"/>
                                <w:noProof/>
                                <w:sz w:val="19"/>
                                <w:szCs w:val="19"/>
                                <w:lang w:eastAsia="es-GT"/>
                              </w:rPr>
                              <w:t xml:space="preserve">un aumentó </w:t>
                            </w:r>
                            <w:r w:rsidR="00F80363">
                              <w:rPr>
                                <w:rFonts w:ascii="Times New Roman" w:hAnsi="Times New Roman" w:cs="Times New Roman"/>
                                <w:noProof/>
                                <w:sz w:val="19"/>
                                <w:szCs w:val="19"/>
                                <w:lang w:eastAsia="es-GT"/>
                              </w:rPr>
                              <w:t xml:space="preserve">en </w:t>
                            </w:r>
                            <w:r w:rsidRPr="008109D8">
                              <w:rPr>
                                <w:rFonts w:ascii="Times New Roman" w:hAnsi="Times New Roman" w:cs="Times New Roman"/>
                                <w:noProof/>
                                <w:sz w:val="19"/>
                                <w:szCs w:val="19"/>
                                <w:lang w:eastAsia="es-GT"/>
                              </w:rPr>
                              <w:t xml:space="preserve">el control de la facturación y presentación de declaraciones; se concluyó la fase 3 de la modernización del RTU Digital, </w:t>
                            </w:r>
                            <w:r w:rsidR="00F80363">
                              <w:rPr>
                                <w:rFonts w:ascii="Times New Roman" w:hAnsi="Times New Roman" w:cs="Times New Roman"/>
                                <w:noProof/>
                                <w:sz w:val="19"/>
                                <w:szCs w:val="19"/>
                                <w:lang w:eastAsia="es-GT"/>
                              </w:rPr>
                              <w:t xml:space="preserve"> modernización</w:t>
                            </w:r>
                            <w:r w:rsidR="00F80363" w:rsidRPr="008109D8">
                              <w:rPr>
                                <w:rFonts w:ascii="Times New Roman" w:hAnsi="Times New Roman" w:cs="Times New Roman"/>
                                <w:noProof/>
                                <w:sz w:val="19"/>
                                <w:szCs w:val="19"/>
                                <w:lang w:eastAsia="es-GT"/>
                              </w:rPr>
                              <w:t xml:space="preserve"> </w:t>
                            </w:r>
                            <w:r w:rsidRPr="008109D8">
                              <w:rPr>
                                <w:rFonts w:ascii="Times New Roman" w:hAnsi="Times New Roman" w:cs="Times New Roman"/>
                                <w:noProof/>
                                <w:sz w:val="19"/>
                                <w:szCs w:val="19"/>
                                <w:lang w:eastAsia="es-GT"/>
                              </w:rPr>
                              <w:t>de registros, implementación de mejoras al Sistema Integrado para el control de ingresos facturados de los regímenes simplificados del IVA, mejoras al sistema de Retenciones WEB-IVA, Retenciones WEB-ISR Rentas del trabajo.  Se continuó con el avance del Gobierno de Datos, mejoras al Sistema de Facilidades de pago, así como implementación de ajustes al Sistema de Control de Exoneraciones individuales y masivas, y modernización del software de la herramienta calendario tributario.</w:t>
                            </w:r>
                          </w:p>
                          <w:p w14:paraId="1F8F0683" w14:textId="41EFC683" w:rsidR="006710E8" w:rsidRDefault="006710E8" w:rsidP="006710E8">
                            <w:pPr>
                              <w:jc w:val="both"/>
                              <w:rPr>
                                <w:rFonts w:ascii="Times New Roman" w:hAnsi="Times New Roman" w:cs="Times New Roman"/>
                                <w:noProof/>
                                <w:color w:val="FF0000"/>
                                <w:sz w:val="20"/>
                                <w:szCs w:val="20"/>
                                <w:lang w:eastAsia="es-GT"/>
                              </w:rPr>
                            </w:pPr>
                          </w:p>
                          <w:p w14:paraId="269F7100" w14:textId="77777777" w:rsidR="00DA2AB6" w:rsidRPr="00070EF0" w:rsidRDefault="00DA2AB6" w:rsidP="006710E8">
                            <w:pPr>
                              <w:jc w:val="both"/>
                              <w:rPr>
                                <w:rFonts w:ascii="Times New Roman" w:hAnsi="Times New Roman" w:cs="Times New Roman"/>
                                <w:noProof/>
                                <w:color w:val="FF0000"/>
                                <w:sz w:val="20"/>
                                <w:szCs w:val="20"/>
                                <w:lang w:eastAsia="es-GT"/>
                              </w:rPr>
                            </w:pPr>
                          </w:p>
                          <w:p w14:paraId="4CF9A322" w14:textId="77777777" w:rsidR="006710E8" w:rsidRPr="00070EF0" w:rsidRDefault="006710E8" w:rsidP="006710E8">
                            <w:pPr>
                              <w:pStyle w:val="Prrafodelista"/>
                              <w:jc w:val="center"/>
                              <w:rPr>
                                <w:rFonts w:ascii="Times New Roman" w:hAnsi="Times New Roman" w:cs="Times New Roman"/>
                                <w:noProof/>
                                <w:color w:val="FF0000"/>
                                <w:sz w:val="20"/>
                                <w:szCs w:val="20"/>
                                <w:lang w:eastAsia="es-GT"/>
                              </w:rPr>
                            </w:pPr>
                            <w:r w:rsidRPr="00070EF0">
                              <w:rPr>
                                <w:rFonts w:ascii="Times New Roman" w:hAnsi="Times New Roman" w:cs="Times New Roman"/>
                                <w:noProof/>
                                <w:color w:val="FF0000"/>
                                <w:lang w:eastAsia="es-GT"/>
                              </w:rPr>
                              <w:drawing>
                                <wp:inline distT="0" distB="0" distL="0" distR="0" wp14:anchorId="5952AFB9" wp14:editId="18992383">
                                  <wp:extent cx="4905840" cy="2425148"/>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0982" cy="2432633"/>
                                          </a:xfrm>
                                          <a:prstGeom prst="rect">
                                            <a:avLst/>
                                          </a:prstGeom>
                                          <a:noFill/>
                                          <a:ln>
                                            <a:noFill/>
                                          </a:ln>
                                        </pic:spPr>
                                      </pic:pic>
                                    </a:graphicData>
                                  </a:graphic>
                                </wp:inline>
                              </w:drawing>
                            </w:r>
                          </w:p>
                          <w:p w14:paraId="1FF43D80" w14:textId="77777777" w:rsidR="006710E8" w:rsidRPr="000D150A" w:rsidRDefault="006710E8" w:rsidP="006710E8">
                            <w:pPr>
                              <w:pStyle w:val="Prrafodelista"/>
                              <w:rPr>
                                <w:rFonts w:ascii="Times New Roman" w:hAnsi="Times New Roman" w:cs="Times New Roman"/>
                                <w:noProof/>
                                <w:color w:val="000000" w:themeColor="text1"/>
                                <w:sz w:val="20"/>
                                <w:szCs w:val="20"/>
                                <w:lang w:eastAsia="es-GT"/>
                              </w:rPr>
                            </w:pPr>
                          </w:p>
                          <w:p w14:paraId="77E80B6C" w14:textId="77777777" w:rsidR="006710E8" w:rsidRPr="000D150A" w:rsidRDefault="006710E8" w:rsidP="006710E8">
                            <w:pPr>
                              <w:jc w:val="both"/>
                              <w:rPr>
                                <w:rFonts w:ascii="Times New Roman" w:hAnsi="Times New Roman" w:cs="Times New Roman"/>
                                <w:noProof/>
                                <w:color w:val="000000" w:themeColor="text1"/>
                                <w:sz w:val="2"/>
                                <w:szCs w:val="2"/>
                                <w:lang w:eastAsia="es-GT"/>
                              </w:rPr>
                            </w:pPr>
                          </w:p>
                          <w:p w14:paraId="1C0B29B8" w14:textId="77777777" w:rsidR="006710E8" w:rsidRDefault="006710E8" w:rsidP="006710E8">
                            <w:pPr>
                              <w:pStyle w:val="Prrafodelista"/>
                              <w:jc w:val="center"/>
                              <w:rPr>
                                <w:rFonts w:ascii="Times New Roman" w:hAnsi="Times New Roman" w:cs="Times New Roman"/>
                                <w:noProof/>
                                <w:color w:val="000000" w:themeColor="text1"/>
                                <w:sz w:val="20"/>
                                <w:szCs w:val="20"/>
                                <w:lang w:eastAsia="es-GT"/>
                              </w:rPr>
                            </w:pPr>
                          </w:p>
                          <w:p w14:paraId="734C3881" w14:textId="77777777" w:rsidR="006710E8" w:rsidRPr="00066F88" w:rsidRDefault="006710E8" w:rsidP="006710E8">
                            <w:pPr>
                              <w:pStyle w:val="Prrafodelista"/>
                              <w:jc w:val="center"/>
                              <w:rPr>
                                <w:rFonts w:ascii="Times New Roman" w:hAnsi="Times New Roman" w:cs="Times New Roman"/>
                                <w:noProof/>
                                <w:color w:val="000000" w:themeColor="text1"/>
                                <w:sz w:val="20"/>
                                <w:szCs w:val="20"/>
                                <w:lang w:eastAsia="es-GT"/>
                              </w:rPr>
                            </w:pPr>
                          </w:p>
                          <w:p w14:paraId="4E20A3B3" w14:textId="77777777" w:rsidR="006710E8" w:rsidRPr="006F6A34" w:rsidRDefault="006710E8" w:rsidP="006710E8">
                            <w:pPr>
                              <w:pStyle w:val="Prrafodelista"/>
                              <w:jc w:val="both"/>
                              <w:rPr>
                                <w:rFonts w:ascii="Times New Roman" w:hAnsi="Times New Roman" w:cs="Times New Roman"/>
                                <w:noProof/>
                                <w:color w:val="000000" w:themeColor="text1"/>
                                <w:sz w:val="20"/>
                                <w:szCs w:val="20"/>
                                <w:lang w:eastAsia="es-GT"/>
                              </w:rPr>
                            </w:pPr>
                          </w:p>
                          <w:p w14:paraId="5534E72A" w14:textId="77777777" w:rsidR="006710E8" w:rsidRPr="006F6A34" w:rsidRDefault="006710E8" w:rsidP="006710E8">
                            <w:pPr>
                              <w:jc w:val="center"/>
                              <w:rPr>
                                <w:rFonts w:ascii="Times New Roman" w:hAnsi="Times New Roman" w:cs="Times New Roman"/>
                                <w:b/>
                                <w:bCs/>
                                <w:sz w:val="20"/>
                                <w:szCs w:val="20"/>
                              </w:rPr>
                            </w:pPr>
                          </w:p>
                          <w:p w14:paraId="699507A1" w14:textId="77777777" w:rsidR="006710E8" w:rsidRPr="006F6A34" w:rsidRDefault="006710E8" w:rsidP="006710E8">
                            <w:pPr>
                              <w:jc w:val="center"/>
                              <w:rPr>
                                <w:rFonts w:ascii="Times New Roman" w:hAnsi="Times New Roman" w:cs="Times New Roman"/>
                                <w:b/>
                                <w:bCs/>
                                <w:sz w:val="20"/>
                                <w:szCs w:val="20"/>
                              </w:rPr>
                            </w:pPr>
                          </w:p>
                          <w:p w14:paraId="15528F5F" w14:textId="77777777" w:rsidR="006710E8" w:rsidRDefault="006710E8" w:rsidP="006710E8">
                            <w:pPr>
                              <w:jc w:val="center"/>
                              <w:rPr>
                                <w:rFonts w:ascii="Times New Roman" w:hAnsi="Times New Roman" w:cs="Times New Roman"/>
                                <w:b/>
                                <w:bCs/>
                              </w:rPr>
                            </w:pPr>
                          </w:p>
                          <w:p w14:paraId="1B52E7DC" w14:textId="77777777" w:rsidR="006710E8" w:rsidRDefault="006710E8" w:rsidP="006710E8">
                            <w:pPr>
                              <w:jc w:val="center"/>
                              <w:rPr>
                                <w:rFonts w:ascii="Times New Roman" w:hAnsi="Times New Roman" w:cs="Times New Roman"/>
                                <w:b/>
                                <w:bCs/>
                              </w:rPr>
                            </w:pPr>
                          </w:p>
                          <w:p w14:paraId="5695AD2D" w14:textId="77777777" w:rsidR="006710E8" w:rsidRDefault="006710E8" w:rsidP="006710E8">
                            <w:pPr>
                              <w:jc w:val="center"/>
                              <w:rPr>
                                <w:rFonts w:ascii="Times New Roman" w:hAnsi="Times New Roman" w:cs="Times New Roman"/>
                                <w:b/>
                                <w:bCs/>
                              </w:rPr>
                            </w:pPr>
                          </w:p>
                          <w:p w14:paraId="47217169" w14:textId="77777777" w:rsidR="006710E8" w:rsidRDefault="006710E8" w:rsidP="006710E8">
                            <w:pPr>
                              <w:jc w:val="center"/>
                              <w:rPr>
                                <w:rFonts w:ascii="Times New Roman" w:hAnsi="Times New Roman" w:cs="Times New Roman"/>
                                <w:b/>
                                <w:bCs/>
                              </w:rPr>
                            </w:pPr>
                          </w:p>
                          <w:p w14:paraId="6908AFB8" w14:textId="77777777" w:rsidR="006710E8" w:rsidRDefault="006710E8" w:rsidP="006710E8">
                            <w:pPr>
                              <w:jc w:val="center"/>
                              <w:rPr>
                                <w:rFonts w:ascii="Times New Roman" w:hAnsi="Times New Roman" w:cs="Times New Roman"/>
                                <w:b/>
                                <w:bCs/>
                              </w:rPr>
                            </w:pPr>
                          </w:p>
                          <w:p w14:paraId="0D4A193D" w14:textId="77777777" w:rsidR="006710E8" w:rsidRDefault="006710E8" w:rsidP="006710E8">
                            <w:pPr>
                              <w:jc w:val="center"/>
                              <w:rPr>
                                <w:rFonts w:ascii="Times New Roman" w:hAnsi="Times New Roman" w:cs="Times New Roman"/>
                                <w:b/>
                                <w:bCs/>
                              </w:rPr>
                            </w:pPr>
                          </w:p>
                          <w:p w14:paraId="6EB6E225" w14:textId="77777777" w:rsidR="006710E8" w:rsidRDefault="006710E8" w:rsidP="006710E8">
                            <w:pPr>
                              <w:jc w:val="center"/>
                              <w:rPr>
                                <w:rFonts w:ascii="Times New Roman" w:hAnsi="Times New Roman" w:cs="Times New Roman"/>
                                <w:b/>
                                <w:bCs/>
                              </w:rPr>
                            </w:pPr>
                          </w:p>
                          <w:p w14:paraId="790E8CFD" w14:textId="77777777" w:rsidR="006710E8" w:rsidRDefault="006710E8" w:rsidP="006710E8">
                            <w:pPr>
                              <w:jc w:val="center"/>
                              <w:rPr>
                                <w:rFonts w:ascii="Times New Roman" w:hAnsi="Times New Roman" w:cs="Times New Roman"/>
                                <w:b/>
                                <w:bCs/>
                              </w:rPr>
                            </w:pPr>
                          </w:p>
                          <w:p w14:paraId="3E43C750" w14:textId="77777777" w:rsidR="006710E8" w:rsidRDefault="006710E8" w:rsidP="006710E8">
                            <w:pPr>
                              <w:jc w:val="center"/>
                              <w:rPr>
                                <w:rFonts w:ascii="Times New Roman" w:hAnsi="Times New Roman" w:cs="Times New Roman"/>
                                <w:b/>
                                <w:bCs/>
                              </w:rPr>
                            </w:pPr>
                          </w:p>
                          <w:p w14:paraId="49421636" w14:textId="77777777" w:rsidR="006710E8" w:rsidRDefault="006710E8" w:rsidP="006710E8">
                            <w:pPr>
                              <w:jc w:val="center"/>
                              <w:rPr>
                                <w:rFonts w:ascii="Times New Roman" w:hAnsi="Times New Roman" w:cs="Times New Roman"/>
                                <w:b/>
                                <w:bCs/>
                              </w:rPr>
                            </w:pPr>
                          </w:p>
                          <w:p w14:paraId="075B00C5" w14:textId="77777777" w:rsidR="006710E8" w:rsidRDefault="006710E8" w:rsidP="006710E8">
                            <w:pPr>
                              <w:jc w:val="center"/>
                              <w:rPr>
                                <w:rFonts w:ascii="Times New Roman" w:hAnsi="Times New Roman" w:cs="Times New Roman"/>
                                <w:b/>
                                <w:bCs/>
                              </w:rPr>
                            </w:pPr>
                          </w:p>
                          <w:p w14:paraId="49392F4D" w14:textId="77777777" w:rsidR="006710E8" w:rsidRPr="008902B7" w:rsidRDefault="006710E8" w:rsidP="006710E8">
                            <w:pPr>
                              <w:jc w:val="center"/>
                              <w:rPr>
                                <w:rFonts w:ascii="Times New Roman" w:hAnsi="Times New Roman" w:cs="Times New Roman"/>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328C083" id="Rectángulo 58" o:spid="_x0000_s1027" style="width:441.9pt;height:49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" fillcolor="#dae3f3" strokecolor="windowText" strokeweight=".5pt">
                <v:path arrowok="t"/>
                <v:textbox>
                  <w:txbxContent>
                    <w:p w14:paraId="0E8B4031" w14:textId="77777777" w:rsidR="006710E8" w:rsidRPr="008109D8" w:rsidRDefault="006710E8" w:rsidP="006710E8">
                      <w:pPr>
                        <w:pStyle w:val="Prrafodelista"/>
                        <w:jc w:val="both"/>
                        <w:rPr>
                          <w:rFonts w:ascii="Times New Roman" w:hAnsi="Times New Roman" w:cs="Times New Roman"/>
                          <w:noProof/>
                          <w:sz w:val="19"/>
                          <w:szCs w:val="19"/>
                          <w:lang w:eastAsia="es-GT"/>
                        </w:rPr>
                      </w:pPr>
                    </w:p>
                    <w:p w14:paraId="7C9D2B0A" w14:textId="77777777" w:rsidR="006710E8" w:rsidRPr="008109D8" w:rsidRDefault="006710E8" w:rsidP="000656CC">
                      <w:pPr>
                        <w:pStyle w:val="Prrafodelista"/>
                        <w:numPr>
                          <w:ilvl w:val="0"/>
                          <w:numId w:val="23"/>
                        </w:numPr>
                        <w:ind w:left="567"/>
                        <w:jc w:val="both"/>
                        <w:rPr>
                          <w:rFonts w:ascii="Times New Roman" w:hAnsi="Times New Roman" w:cs="Times New Roman"/>
                          <w:noProof/>
                          <w:sz w:val="19"/>
                          <w:szCs w:val="19"/>
                          <w:lang w:eastAsia="es-GT"/>
                        </w:rPr>
                      </w:pPr>
                      <w:r w:rsidRPr="008109D8">
                        <w:rPr>
                          <w:rFonts w:ascii="Times New Roman" w:hAnsi="Times New Roman" w:cs="Times New Roman"/>
                          <w:noProof/>
                          <w:sz w:val="19"/>
                          <w:szCs w:val="19"/>
                          <w:lang w:eastAsia="es-GT"/>
                        </w:rPr>
                        <w:t>La Intendencia de Asuntos Jurídicos realizó más de 6,000 acciones legales en forma efectiva y en apego a los derechos de los contribuyentes, y más de 400 mesas técnicas que permitieron coordinaciones efectivas con el Ministerio Público dentro de los procesos penales; se destaca la depuración de la cartera de expedientes legales y la clasificación de la cartera de expedientes judiciales activos; se elaboraron más de 450 dictámenes relacionados con la interpretación, integración y aplicación de la legislación tributaria; y se propiciaron acercamientos con los contribuyentes mediante citas, mesas técnicas, llamadas telefónicas y otras formas de comunicación.</w:t>
                      </w:r>
                    </w:p>
                    <w:p w14:paraId="34892654" w14:textId="77777777" w:rsidR="006710E8" w:rsidRPr="008109D8" w:rsidRDefault="006710E8" w:rsidP="000656CC">
                      <w:pPr>
                        <w:ind w:left="567"/>
                        <w:jc w:val="both"/>
                        <w:rPr>
                          <w:rFonts w:ascii="Times New Roman" w:hAnsi="Times New Roman" w:cs="Times New Roman"/>
                          <w:noProof/>
                          <w:color w:val="FF0000"/>
                          <w:sz w:val="19"/>
                          <w:szCs w:val="19"/>
                          <w:lang w:eastAsia="es-GT"/>
                        </w:rPr>
                      </w:pPr>
                    </w:p>
                    <w:p w14:paraId="0C903C8F" w14:textId="77777777" w:rsidR="006710E8" w:rsidRPr="008109D8" w:rsidRDefault="006710E8" w:rsidP="000656CC">
                      <w:pPr>
                        <w:pStyle w:val="Prrafodelista"/>
                        <w:numPr>
                          <w:ilvl w:val="0"/>
                          <w:numId w:val="23"/>
                        </w:numPr>
                        <w:ind w:left="567"/>
                        <w:jc w:val="both"/>
                        <w:rPr>
                          <w:rFonts w:ascii="Times New Roman" w:hAnsi="Times New Roman" w:cs="Times New Roman"/>
                          <w:noProof/>
                          <w:sz w:val="19"/>
                          <w:szCs w:val="19"/>
                          <w:lang w:eastAsia="es-GT"/>
                        </w:rPr>
                      </w:pPr>
                      <w:r w:rsidRPr="008109D8">
                        <w:rPr>
                          <w:rFonts w:ascii="Times New Roman" w:hAnsi="Times New Roman" w:cs="Times New Roman"/>
                          <w:noProof/>
                          <w:sz w:val="19"/>
                          <w:szCs w:val="19"/>
                          <w:lang w:eastAsia="es-GT"/>
                        </w:rPr>
                        <w:t>La Intendencia de Fiscalización fortaleció y complementó la herramienta de Fiscalización Electrónica (FISEL) para los procesos de operativos fiscales y avanzó en la implementación de mejoras al sistema de gestión  de información financiera, programas de fiscalización para combatir tipologías de evasión y elusión tributaria, e implementó la metodología de fiscalización por sector económico y control de proveedores recurrentes de exportadores por sector económico.</w:t>
                      </w:r>
                    </w:p>
                    <w:p w14:paraId="146FFDD6" w14:textId="77777777" w:rsidR="006710E8" w:rsidRPr="008109D8" w:rsidRDefault="006710E8" w:rsidP="000656CC">
                      <w:pPr>
                        <w:pStyle w:val="Prrafodelista"/>
                        <w:ind w:left="567"/>
                        <w:jc w:val="both"/>
                        <w:rPr>
                          <w:rFonts w:ascii="Times New Roman" w:hAnsi="Times New Roman" w:cs="Times New Roman"/>
                          <w:noProof/>
                          <w:sz w:val="19"/>
                          <w:szCs w:val="19"/>
                          <w:lang w:eastAsia="es-GT"/>
                        </w:rPr>
                      </w:pPr>
                    </w:p>
                    <w:p w14:paraId="2769C3F3" w14:textId="0F597394" w:rsidR="006710E8" w:rsidRPr="008109D8" w:rsidRDefault="006710E8" w:rsidP="000656CC">
                      <w:pPr>
                        <w:pStyle w:val="Prrafodelista"/>
                        <w:numPr>
                          <w:ilvl w:val="0"/>
                          <w:numId w:val="23"/>
                        </w:numPr>
                        <w:ind w:left="567"/>
                        <w:jc w:val="both"/>
                        <w:rPr>
                          <w:rFonts w:ascii="Times New Roman" w:hAnsi="Times New Roman" w:cs="Times New Roman"/>
                          <w:noProof/>
                          <w:sz w:val="19"/>
                          <w:szCs w:val="19"/>
                          <w:lang w:eastAsia="es-GT"/>
                        </w:rPr>
                      </w:pPr>
                      <w:r w:rsidRPr="008109D8">
                        <w:rPr>
                          <w:rFonts w:ascii="Times New Roman" w:hAnsi="Times New Roman" w:cs="Times New Roman"/>
                          <w:noProof/>
                          <w:sz w:val="19"/>
                          <w:szCs w:val="19"/>
                          <w:lang w:eastAsia="es-GT"/>
                        </w:rPr>
                        <w:t xml:space="preserve">La Intendencia de Recaudación </w:t>
                      </w:r>
                      <w:r w:rsidR="00F80363" w:rsidRPr="008109D8">
                        <w:rPr>
                          <w:rFonts w:ascii="Times New Roman" w:hAnsi="Times New Roman" w:cs="Times New Roman"/>
                          <w:noProof/>
                          <w:sz w:val="19"/>
                          <w:szCs w:val="19"/>
                          <w:lang w:eastAsia="es-GT"/>
                        </w:rPr>
                        <w:t>contin</w:t>
                      </w:r>
                      <w:r w:rsidR="00F80363">
                        <w:rPr>
                          <w:rFonts w:ascii="Times New Roman" w:hAnsi="Times New Roman" w:cs="Times New Roman"/>
                          <w:noProof/>
                          <w:sz w:val="19"/>
                          <w:szCs w:val="19"/>
                          <w:lang w:eastAsia="es-GT"/>
                        </w:rPr>
                        <w:t>uó</w:t>
                      </w:r>
                      <w:r w:rsidR="00F80363" w:rsidRPr="008109D8">
                        <w:rPr>
                          <w:rFonts w:ascii="Times New Roman" w:hAnsi="Times New Roman" w:cs="Times New Roman"/>
                          <w:noProof/>
                          <w:sz w:val="19"/>
                          <w:szCs w:val="19"/>
                          <w:lang w:eastAsia="es-GT"/>
                        </w:rPr>
                        <w:t xml:space="preserve"> </w:t>
                      </w:r>
                      <w:r w:rsidRPr="008109D8">
                        <w:rPr>
                          <w:rFonts w:ascii="Times New Roman" w:hAnsi="Times New Roman" w:cs="Times New Roman"/>
                          <w:noProof/>
                          <w:sz w:val="19"/>
                          <w:szCs w:val="19"/>
                          <w:lang w:eastAsia="es-GT"/>
                        </w:rPr>
                        <w:t xml:space="preserve">con los sistemas y herramientas de facilitación y control con lo que se </w:t>
                      </w:r>
                      <w:r w:rsidR="00F80363" w:rsidRPr="008109D8">
                        <w:rPr>
                          <w:rFonts w:ascii="Times New Roman" w:hAnsi="Times New Roman" w:cs="Times New Roman"/>
                          <w:noProof/>
                          <w:sz w:val="19"/>
                          <w:szCs w:val="19"/>
                          <w:lang w:eastAsia="es-GT"/>
                        </w:rPr>
                        <w:t>logr</w:t>
                      </w:r>
                      <w:r w:rsidR="00F80363">
                        <w:rPr>
                          <w:rFonts w:ascii="Times New Roman" w:hAnsi="Times New Roman" w:cs="Times New Roman"/>
                          <w:noProof/>
                          <w:sz w:val="19"/>
                          <w:szCs w:val="19"/>
                          <w:lang w:eastAsia="es-GT"/>
                        </w:rPr>
                        <w:t>ó</w:t>
                      </w:r>
                      <w:r w:rsidR="00F80363" w:rsidRPr="008109D8">
                        <w:rPr>
                          <w:rFonts w:ascii="Times New Roman" w:hAnsi="Times New Roman" w:cs="Times New Roman"/>
                          <w:noProof/>
                          <w:sz w:val="19"/>
                          <w:szCs w:val="19"/>
                          <w:lang w:eastAsia="es-GT"/>
                        </w:rPr>
                        <w:t xml:space="preserve"> </w:t>
                      </w:r>
                      <w:r w:rsidRPr="008109D8">
                        <w:rPr>
                          <w:rFonts w:ascii="Times New Roman" w:hAnsi="Times New Roman" w:cs="Times New Roman"/>
                          <w:noProof/>
                          <w:sz w:val="19"/>
                          <w:szCs w:val="19"/>
                          <w:lang w:eastAsia="es-GT"/>
                        </w:rPr>
                        <w:t xml:space="preserve">un aumentó </w:t>
                      </w:r>
                      <w:r w:rsidR="00F80363">
                        <w:rPr>
                          <w:rFonts w:ascii="Times New Roman" w:hAnsi="Times New Roman" w:cs="Times New Roman"/>
                          <w:noProof/>
                          <w:sz w:val="19"/>
                          <w:szCs w:val="19"/>
                          <w:lang w:eastAsia="es-GT"/>
                        </w:rPr>
                        <w:t xml:space="preserve">en </w:t>
                      </w:r>
                      <w:r w:rsidRPr="008109D8">
                        <w:rPr>
                          <w:rFonts w:ascii="Times New Roman" w:hAnsi="Times New Roman" w:cs="Times New Roman"/>
                          <w:noProof/>
                          <w:sz w:val="19"/>
                          <w:szCs w:val="19"/>
                          <w:lang w:eastAsia="es-GT"/>
                        </w:rPr>
                        <w:t xml:space="preserve">el control de la facturación y presentación de declaraciones; se concluyó la fase 3 de la modernización del RTU Digital, </w:t>
                      </w:r>
                      <w:r w:rsidR="00F80363">
                        <w:rPr>
                          <w:rFonts w:ascii="Times New Roman" w:hAnsi="Times New Roman" w:cs="Times New Roman"/>
                          <w:noProof/>
                          <w:sz w:val="19"/>
                          <w:szCs w:val="19"/>
                          <w:lang w:eastAsia="es-GT"/>
                        </w:rPr>
                        <w:t xml:space="preserve"> modernización</w:t>
                      </w:r>
                      <w:r w:rsidR="00F80363" w:rsidRPr="008109D8">
                        <w:rPr>
                          <w:rFonts w:ascii="Times New Roman" w:hAnsi="Times New Roman" w:cs="Times New Roman"/>
                          <w:noProof/>
                          <w:sz w:val="19"/>
                          <w:szCs w:val="19"/>
                          <w:lang w:eastAsia="es-GT"/>
                        </w:rPr>
                        <w:t xml:space="preserve"> </w:t>
                      </w:r>
                      <w:r w:rsidRPr="008109D8">
                        <w:rPr>
                          <w:rFonts w:ascii="Times New Roman" w:hAnsi="Times New Roman" w:cs="Times New Roman"/>
                          <w:noProof/>
                          <w:sz w:val="19"/>
                          <w:szCs w:val="19"/>
                          <w:lang w:eastAsia="es-GT"/>
                        </w:rPr>
                        <w:t>de registros, implementación de mejoras al Sistema Integrado para el control de ingresos facturados de los regímenes simplificados del IVA, mejoras al sistema de Retenciones WEB-IVA, Retenciones WEB-ISR Rentas del trabajo.  Se continuó con el avance del Gobierno de Datos, mejoras al Sistema de Facilidades de pago, así como implementación de ajustes al Sistema de Control de Exoneraciones individuales y masivas, y modernización del software de la herramienta calendario tributario.</w:t>
                      </w:r>
                    </w:p>
                    <w:p w14:paraId="1F8F0683" w14:textId="41EFC683" w:rsidR="006710E8" w:rsidRDefault="006710E8" w:rsidP="006710E8">
                      <w:pPr>
                        <w:jc w:val="both"/>
                        <w:rPr>
                          <w:rFonts w:ascii="Times New Roman" w:hAnsi="Times New Roman" w:cs="Times New Roman"/>
                          <w:noProof/>
                          <w:color w:val="FF0000"/>
                          <w:sz w:val="20"/>
                          <w:szCs w:val="20"/>
                          <w:lang w:eastAsia="es-GT"/>
                        </w:rPr>
                      </w:pPr>
                    </w:p>
                    <w:p w14:paraId="269F7100" w14:textId="77777777" w:rsidR="00DA2AB6" w:rsidRPr="00070EF0" w:rsidRDefault="00DA2AB6" w:rsidP="006710E8">
                      <w:pPr>
                        <w:jc w:val="both"/>
                        <w:rPr>
                          <w:rFonts w:ascii="Times New Roman" w:hAnsi="Times New Roman" w:cs="Times New Roman"/>
                          <w:noProof/>
                          <w:color w:val="FF0000"/>
                          <w:sz w:val="20"/>
                          <w:szCs w:val="20"/>
                          <w:lang w:eastAsia="es-GT"/>
                        </w:rPr>
                      </w:pPr>
                    </w:p>
                    <w:p w14:paraId="4CF9A322" w14:textId="77777777" w:rsidR="006710E8" w:rsidRPr="00070EF0" w:rsidRDefault="006710E8" w:rsidP="006710E8">
                      <w:pPr>
                        <w:pStyle w:val="Prrafodelista"/>
                        <w:jc w:val="center"/>
                        <w:rPr>
                          <w:rFonts w:ascii="Times New Roman" w:hAnsi="Times New Roman" w:cs="Times New Roman"/>
                          <w:noProof/>
                          <w:color w:val="FF0000"/>
                          <w:sz w:val="20"/>
                          <w:szCs w:val="20"/>
                          <w:lang w:eastAsia="es-GT"/>
                        </w:rPr>
                      </w:pPr>
                      <w:r w:rsidRPr="00070EF0">
                        <w:rPr>
                          <w:rFonts w:ascii="Times New Roman" w:hAnsi="Times New Roman" w:cs="Times New Roman"/>
                          <w:noProof/>
                          <w:color w:val="FF0000"/>
                          <w:lang w:eastAsia="es-GT"/>
                        </w:rPr>
                        <w:drawing>
                          <wp:inline distT="0" distB="0" distL="0" distR="0" wp14:anchorId="5952AFB9" wp14:editId="18992383">
                            <wp:extent cx="4905840" cy="2425148"/>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0982" cy="2432633"/>
                                    </a:xfrm>
                                    <a:prstGeom prst="rect">
                                      <a:avLst/>
                                    </a:prstGeom>
                                    <a:noFill/>
                                    <a:ln>
                                      <a:noFill/>
                                    </a:ln>
                                  </pic:spPr>
                                </pic:pic>
                              </a:graphicData>
                            </a:graphic>
                          </wp:inline>
                        </w:drawing>
                      </w:r>
                    </w:p>
                    <w:p w14:paraId="1FF43D80" w14:textId="77777777" w:rsidR="006710E8" w:rsidRPr="000D150A" w:rsidRDefault="006710E8" w:rsidP="006710E8">
                      <w:pPr>
                        <w:pStyle w:val="Prrafodelista"/>
                        <w:rPr>
                          <w:rFonts w:ascii="Times New Roman" w:hAnsi="Times New Roman" w:cs="Times New Roman"/>
                          <w:noProof/>
                          <w:color w:val="000000" w:themeColor="text1"/>
                          <w:sz w:val="20"/>
                          <w:szCs w:val="20"/>
                          <w:lang w:eastAsia="es-GT"/>
                        </w:rPr>
                      </w:pPr>
                    </w:p>
                    <w:p w14:paraId="77E80B6C" w14:textId="77777777" w:rsidR="006710E8" w:rsidRPr="000D150A" w:rsidRDefault="006710E8" w:rsidP="006710E8">
                      <w:pPr>
                        <w:jc w:val="both"/>
                        <w:rPr>
                          <w:rFonts w:ascii="Times New Roman" w:hAnsi="Times New Roman" w:cs="Times New Roman"/>
                          <w:noProof/>
                          <w:color w:val="000000" w:themeColor="text1"/>
                          <w:sz w:val="2"/>
                          <w:szCs w:val="2"/>
                          <w:lang w:eastAsia="es-GT"/>
                        </w:rPr>
                      </w:pPr>
                    </w:p>
                    <w:p w14:paraId="1C0B29B8" w14:textId="77777777" w:rsidR="006710E8" w:rsidRDefault="006710E8" w:rsidP="006710E8">
                      <w:pPr>
                        <w:pStyle w:val="Prrafodelista"/>
                        <w:jc w:val="center"/>
                        <w:rPr>
                          <w:rFonts w:ascii="Times New Roman" w:hAnsi="Times New Roman" w:cs="Times New Roman"/>
                          <w:noProof/>
                          <w:color w:val="000000" w:themeColor="text1"/>
                          <w:sz w:val="20"/>
                          <w:szCs w:val="20"/>
                          <w:lang w:eastAsia="es-GT"/>
                        </w:rPr>
                      </w:pPr>
                    </w:p>
                    <w:p w14:paraId="734C3881" w14:textId="77777777" w:rsidR="006710E8" w:rsidRPr="00066F88" w:rsidRDefault="006710E8" w:rsidP="006710E8">
                      <w:pPr>
                        <w:pStyle w:val="Prrafodelista"/>
                        <w:jc w:val="center"/>
                        <w:rPr>
                          <w:rFonts w:ascii="Times New Roman" w:hAnsi="Times New Roman" w:cs="Times New Roman"/>
                          <w:noProof/>
                          <w:color w:val="000000" w:themeColor="text1"/>
                          <w:sz w:val="20"/>
                          <w:szCs w:val="20"/>
                          <w:lang w:eastAsia="es-GT"/>
                        </w:rPr>
                      </w:pPr>
                    </w:p>
                    <w:p w14:paraId="4E20A3B3" w14:textId="77777777" w:rsidR="006710E8" w:rsidRPr="006F6A34" w:rsidRDefault="006710E8" w:rsidP="006710E8">
                      <w:pPr>
                        <w:pStyle w:val="Prrafodelista"/>
                        <w:jc w:val="both"/>
                        <w:rPr>
                          <w:rFonts w:ascii="Times New Roman" w:hAnsi="Times New Roman" w:cs="Times New Roman"/>
                          <w:noProof/>
                          <w:color w:val="000000" w:themeColor="text1"/>
                          <w:sz w:val="20"/>
                          <w:szCs w:val="20"/>
                          <w:lang w:eastAsia="es-GT"/>
                        </w:rPr>
                      </w:pPr>
                    </w:p>
                    <w:p w14:paraId="5534E72A" w14:textId="77777777" w:rsidR="006710E8" w:rsidRPr="006F6A34" w:rsidRDefault="006710E8" w:rsidP="006710E8">
                      <w:pPr>
                        <w:jc w:val="center"/>
                        <w:rPr>
                          <w:rFonts w:ascii="Times New Roman" w:hAnsi="Times New Roman" w:cs="Times New Roman"/>
                          <w:b/>
                          <w:bCs/>
                          <w:sz w:val="20"/>
                          <w:szCs w:val="20"/>
                        </w:rPr>
                      </w:pPr>
                    </w:p>
                    <w:p w14:paraId="699507A1" w14:textId="77777777" w:rsidR="006710E8" w:rsidRPr="006F6A34" w:rsidRDefault="006710E8" w:rsidP="006710E8">
                      <w:pPr>
                        <w:jc w:val="center"/>
                        <w:rPr>
                          <w:rFonts w:ascii="Times New Roman" w:hAnsi="Times New Roman" w:cs="Times New Roman"/>
                          <w:b/>
                          <w:bCs/>
                          <w:sz w:val="20"/>
                          <w:szCs w:val="20"/>
                        </w:rPr>
                      </w:pPr>
                    </w:p>
                    <w:p w14:paraId="15528F5F" w14:textId="77777777" w:rsidR="006710E8" w:rsidRDefault="006710E8" w:rsidP="006710E8">
                      <w:pPr>
                        <w:jc w:val="center"/>
                        <w:rPr>
                          <w:rFonts w:ascii="Times New Roman" w:hAnsi="Times New Roman" w:cs="Times New Roman"/>
                          <w:b/>
                          <w:bCs/>
                        </w:rPr>
                      </w:pPr>
                    </w:p>
                    <w:p w14:paraId="1B52E7DC" w14:textId="77777777" w:rsidR="006710E8" w:rsidRDefault="006710E8" w:rsidP="006710E8">
                      <w:pPr>
                        <w:jc w:val="center"/>
                        <w:rPr>
                          <w:rFonts w:ascii="Times New Roman" w:hAnsi="Times New Roman" w:cs="Times New Roman"/>
                          <w:b/>
                          <w:bCs/>
                        </w:rPr>
                      </w:pPr>
                    </w:p>
                    <w:p w14:paraId="5695AD2D" w14:textId="77777777" w:rsidR="006710E8" w:rsidRDefault="006710E8" w:rsidP="006710E8">
                      <w:pPr>
                        <w:jc w:val="center"/>
                        <w:rPr>
                          <w:rFonts w:ascii="Times New Roman" w:hAnsi="Times New Roman" w:cs="Times New Roman"/>
                          <w:b/>
                          <w:bCs/>
                        </w:rPr>
                      </w:pPr>
                    </w:p>
                    <w:p w14:paraId="47217169" w14:textId="77777777" w:rsidR="006710E8" w:rsidRDefault="006710E8" w:rsidP="006710E8">
                      <w:pPr>
                        <w:jc w:val="center"/>
                        <w:rPr>
                          <w:rFonts w:ascii="Times New Roman" w:hAnsi="Times New Roman" w:cs="Times New Roman"/>
                          <w:b/>
                          <w:bCs/>
                        </w:rPr>
                      </w:pPr>
                    </w:p>
                    <w:p w14:paraId="6908AFB8" w14:textId="77777777" w:rsidR="006710E8" w:rsidRDefault="006710E8" w:rsidP="006710E8">
                      <w:pPr>
                        <w:jc w:val="center"/>
                        <w:rPr>
                          <w:rFonts w:ascii="Times New Roman" w:hAnsi="Times New Roman" w:cs="Times New Roman"/>
                          <w:b/>
                          <w:bCs/>
                        </w:rPr>
                      </w:pPr>
                    </w:p>
                    <w:p w14:paraId="0D4A193D" w14:textId="77777777" w:rsidR="006710E8" w:rsidRDefault="006710E8" w:rsidP="006710E8">
                      <w:pPr>
                        <w:jc w:val="center"/>
                        <w:rPr>
                          <w:rFonts w:ascii="Times New Roman" w:hAnsi="Times New Roman" w:cs="Times New Roman"/>
                          <w:b/>
                          <w:bCs/>
                        </w:rPr>
                      </w:pPr>
                    </w:p>
                    <w:p w14:paraId="6EB6E225" w14:textId="77777777" w:rsidR="006710E8" w:rsidRDefault="006710E8" w:rsidP="006710E8">
                      <w:pPr>
                        <w:jc w:val="center"/>
                        <w:rPr>
                          <w:rFonts w:ascii="Times New Roman" w:hAnsi="Times New Roman" w:cs="Times New Roman"/>
                          <w:b/>
                          <w:bCs/>
                        </w:rPr>
                      </w:pPr>
                    </w:p>
                    <w:p w14:paraId="790E8CFD" w14:textId="77777777" w:rsidR="006710E8" w:rsidRDefault="006710E8" w:rsidP="006710E8">
                      <w:pPr>
                        <w:jc w:val="center"/>
                        <w:rPr>
                          <w:rFonts w:ascii="Times New Roman" w:hAnsi="Times New Roman" w:cs="Times New Roman"/>
                          <w:b/>
                          <w:bCs/>
                        </w:rPr>
                      </w:pPr>
                    </w:p>
                    <w:p w14:paraId="3E43C750" w14:textId="77777777" w:rsidR="006710E8" w:rsidRDefault="006710E8" w:rsidP="006710E8">
                      <w:pPr>
                        <w:jc w:val="center"/>
                        <w:rPr>
                          <w:rFonts w:ascii="Times New Roman" w:hAnsi="Times New Roman" w:cs="Times New Roman"/>
                          <w:b/>
                          <w:bCs/>
                        </w:rPr>
                      </w:pPr>
                    </w:p>
                    <w:p w14:paraId="49421636" w14:textId="77777777" w:rsidR="006710E8" w:rsidRDefault="006710E8" w:rsidP="006710E8">
                      <w:pPr>
                        <w:jc w:val="center"/>
                        <w:rPr>
                          <w:rFonts w:ascii="Times New Roman" w:hAnsi="Times New Roman" w:cs="Times New Roman"/>
                          <w:b/>
                          <w:bCs/>
                        </w:rPr>
                      </w:pPr>
                    </w:p>
                    <w:p w14:paraId="075B00C5" w14:textId="77777777" w:rsidR="006710E8" w:rsidRDefault="006710E8" w:rsidP="006710E8">
                      <w:pPr>
                        <w:jc w:val="center"/>
                        <w:rPr>
                          <w:rFonts w:ascii="Times New Roman" w:hAnsi="Times New Roman" w:cs="Times New Roman"/>
                          <w:b/>
                          <w:bCs/>
                        </w:rPr>
                      </w:pPr>
                    </w:p>
                    <w:p w14:paraId="49392F4D" w14:textId="77777777" w:rsidR="006710E8" w:rsidRPr="008902B7" w:rsidRDefault="006710E8" w:rsidP="006710E8">
                      <w:pPr>
                        <w:jc w:val="center"/>
                        <w:rPr>
                          <w:rFonts w:ascii="Times New Roman" w:hAnsi="Times New Roman" w:cs="Times New Roman"/>
                          <w:b/>
                          <w:bCs/>
                        </w:rPr>
                      </w:pPr>
                    </w:p>
                  </w:txbxContent>
                </v:textbox>
                <w10:anchorlock/>
              </v:rect>
            </w:pict>
          </mc:Fallback>
        </mc:AlternateContent>
      </w:r>
    </w:p>
    <w:p w14:paraId="41CF7A68" w14:textId="77777777" w:rsidR="000656CC" w:rsidRPr="00885B1F" w:rsidRDefault="000656CC" w:rsidP="006710E8">
      <w:pPr>
        <w:spacing w:line="276" w:lineRule="auto"/>
        <w:contextualSpacing/>
        <w:jc w:val="both"/>
        <w:rPr>
          <w:rFonts w:ascii="Times New Roman" w:eastAsia="Times New Roman" w:hAnsi="Times New Roman" w:cs="Times New Roman"/>
          <w:color w:val="FF0000"/>
          <w:sz w:val="22"/>
          <w:szCs w:val="22"/>
        </w:rPr>
      </w:pPr>
    </w:p>
    <w:p w14:paraId="23514F9E" w14:textId="77777777" w:rsidR="006710E8" w:rsidRPr="00FA48E2" w:rsidRDefault="006710E8" w:rsidP="006710E8">
      <w:pPr>
        <w:keepNext/>
        <w:keepLines/>
        <w:numPr>
          <w:ilvl w:val="1"/>
          <w:numId w:val="21"/>
        </w:numPr>
        <w:spacing w:line="276" w:lineRule="auto"/>
        <w:ind w:left="567" w:hanging="283"/>
        <w:contextualSpacing/>
        <w:outlineLvl w:val="1"/>
        <w:rPr>
          <w:rFonts w:ascii="Times New Roman" w:eastAsiaTheme="majorEastAsia" w:hAnsi="Times New Roman" w:cs="Times New Roman"/>
          <w:b/>
          <w:bCs/>
          <w:sz w:val="22"/>
          <w:szCs w:val="26"/>
        </w:rPr>
      </w:pPr>
      <w:bookmarkStart w:id="13" w:name="_Toc64025428"/>
      <w:bookmarkStart w:id="14" w:name="_Toc94259622"/>
      <w:r w:rsidRPr="00FA48E2">
        <w:rPr>
          <w:rFonts w:ascii="Times New Roman" w:eastAsia="Times New Roman" w:hAnsi="Times New Roman" w:cs="Times New Roman"/>
          <w:sz w:val="22"/>
          <w:szCs w:val="22"/>
        </w:rPr>
        <w:t xml:space="preserve"> </w:t>
      </w:r>
      <w:bookmarkStart w:id="15" w:name="_Toc155865448"/>
      <w:bookmarkStart w:id="16" w:name="_Toc160196845"/>
      <w:r w:rsidRPr="0048246B">
        <w:rPr>
          <w:rFonts w:ascii="Times New Roman" w:eastAsiaTheme="majorEastAsia" w:hAnsi="Times New Roman" w:cs="Times New Roman"/>
          <w:b/>
          <w:bCs/>
          <w:szCs w:val="28"/>
        </w:rPr>
        <w:t>Impuesto Sobre la Renta -ISR-</w:t>
      </w:r>
      <w:bookmarkEnd w:id="13"/>
      <w:bookmarkEnd w:id="14"/>
      <w:r w:rsidRPr="0048246B">
        <w:rPr>
          <w:rFonts w:ascii="Times New Roman" w:eastAsiaTheme="majorEastAsia" w:hAnsi="Times New Roman" w:cs="Times New Roman"/>
          <w:b/>
          <w:bCs/>
          <w:szCs w:val="28"/>
        </w:rPr>
        <w:t xml:space="preserve"> y el Impuesto de Solidaridad -ISO-</w:t>
      </w:r>
      <w:bookmarkEnd w:id="15"/>
      <w:bookmarkEnd w:id="16"/>
    </w:p>
    <w:p w14:paraId="01681F6B" w14:textId="77777777" w:rsidR="006710E8" w:rsidRPr="00FA48E2" w:rsidRDefault="006710E8" w:rsidP="000656CC">
      <w:pPr>
        <w:contextualSpacing/>
        <w:jc w:val="both"/>
        <w:rPr>
          <w:rFonts w:ascii="Times New Roman" w:eastAsia="Times New Roman" w:hAnsi="Times New Roman" w:cs="Times New Roman"/>
          <w:sz w:val="22"/>
          <w:szCs w:val="22"/>
          <w:lang w:val="es-MX"/>
        </w:rPr>
      </w:pPr>
    </w:p>
    <w:p w14:paraId="1289F622" w14:textId="7D0D0433" w:rsidR="006710E8" w:rsidRPr="00FA48E2" w:rsidRDefault="006710E8" w:rsidP="000656CC">
      <w:pPr>
        <w:contextualSpacing/>
        <w:jc w:val="both"/>
        <w:rPr>
          <w:rFonts w:ascii="Times New Roman" w:eastAsia="Times New Roman" w:hAnsi="Times New Roman" w:cs="Times New Roman"/>
          <w:sz w:val="22"/>
          <w:szCs w:val="22"/>
          <w:lang w:val="es-MX"/>
        </w:rPr>
      </w:pPr>
      <w:r w:rsidRPr="00FA48E2">
        <w:rPr>
          <w:rFonts w:ascii="Times New Roman" w:eastAsia="Times New Roman" w:hAnsi="Times New Roman" w:cs="Times New Roman"/>
          <w:sz w:val="22"/>
          <w:szCs w:val="22"/>
          <w:lang w:val="es-MX"/>
        </w:rPr>
        <w:t>Estos dos impuestos lograron recaudar, en su conjunto, Q35,649.4 millones</w:t>
      </w:r>
      <w:r w:rsidR="003116B1" w:rsidRPr="00FA48E2">
        <w:rPr>
          <w:rFonts w:ascii="Times New Roman" w:eastAsia="Times New Roman" w:hAnsi="Times New Roman" w:cs="Times New Roman"/>
          <w:sz w:val="22"/>
          <w:szCs w:val="22"/>
          <w:lang w:val="es-MX"/>
        </w:rPr>
        <w:t xml:space="preserve"> </w:t>
      </w:r>
      <w:r w:rsidRPr="00FA48E2">
        <w:rPr>
          <w:rFonts w:ascii="Times New Roman" w:eastAsia="Times New Roman" w:hAnsi="Times New Roman" w:cs="Times New Roman"/>
          <w:sz w:val="22"/>
          <w:szCs w:val="22"/>
          <w:lang w:val="es-MX"/>
        </w:rPr>
        <w:t>de un estimado de Q30,178.7 millones, lo que generó una brecha positiva de Q5,470.7 millones respecto a la meta.</w:t>
      </w:r>
    </w:p>
    <w:p w14:paraId="51B43AE9" w14:textId="77777777" w:rsidR="006710E8" w:rsidRPr="00885B1F" w:rsidRDefault="006710E8" w:rsidP="000656CC">
      <w:pPr>
        <w:contextualSpacing/>
        <w:jc w:val="both"/>
        <w:rPr>
          <w:rFonts w:ascii="Times New Roman" w:eastAsia="Times New Roman" w:hAnsi="Times New Roman" w:cs="Times New Roman"/>
          <w:color w:val="FF0000"/>
          <w:sz w:val="22"/>
          <w:szCs w:val="22"/>
          <w:lang w:val="es-MX"/>
        </w:rPr>
      </w:pPr>
    </w:p>
    <w:p w14:paraId="0A44E9B5" w14:textId="051CCB1D" w:rsidR="006710E8" w:rsidRPr="00885B1F" w:rsidRDefault="006710E8" w:rsidP="000656CC">
      <w:pPr>
        <w:contextualSpacing/>
        <w:jc w:val="both"/>
        <w:rPr>
          <w:rFonts w:ascii="Times New Roman" w:eastAsia="Times New Roman" w:hAnsi="Times New Roman" w:cs="Times New Roman"/>
          <w:color w:val="FF0000"/>
          <w:sz w:val="22"/>
          <w:szCs w:val="22"/>
          <w:lang w:val="es-MX"/>
        </w:rPr>
      </w:pPr>
      <w:r w:rsidRPr="007C2F91">
        <w:rPr>
          <w:rFonts w:ascii="Times New Roman" w:eastAsia="Times New Roman" w:hAnsi="Times New Roman" w:cs="Times New Roman"/>
          <w:sz w:val="22"/>
          <w:szCs w:val="22"/>
          <w:lang w:val="es-MX"/>
        </w:rPr>
        <w:t xml:space="preserve">La recaudación del ISR se caracterizó a lo largo del año por superar la meta de presupuesto y la recaudación del año anterior, </w:t>
      </w:r>
      <w:r>
        <w:rPr>
          <w:rFonts w:ascii="Times New Roman" w:eastAsia="Times New Roman" w:hAnsi="Times New Roman" w:cs="Times New Roman"/>
          <w:sz w:val="22"/>
          <w:szCs w:val="22"/>
          <w:lang w:val="es-MX"/>
        </w:rPr>
        <w:t>el promedio mensual acumulado respecto a la meta fue de 17.7%</w:t>
      </w:r>
      <w:r w:rsidRPr="007C2F91">
        <w:rPr>
          <w:rFonts w:ascii="Times New Roman" w:eastAsia="Times New Roman" w:hAnsi="Times New Roman" w:cs="Times New Roman"/>
          <w:sz w:val="22"/>
          <w:szCs w:val="22"/>
          <w:lang w:val="es-MX"/>
        </w:rPr>
        <w:t>, y</w:t>
      </w:r>
      <w:r>
        <w:rPr>
          <w:rFonts w:ascii="Times New Roman" w:eastAsia="Times New Roman" w:hAnsi="Times New Roman" w:cs="Times New Roman"/>
          <w:sz w:val="22"/>
          <w:szCs w:val="22"/>
          <w:lang w:val="es-MX"/>
        </w:rPr>
        <w:t xml:space="preserve"> de 12.6% respecto a lo observado en 2022, </w:t>
      </w:r>
      <w:r w:rsidRPr="007C2F91">
        <w:rPr>
          <w:rFonts w:ascii="Times New Roman" w:eastAsia="Times New Roman" w:hAnsi="Times New Roman" w:cs="Times New Roman"/>
          <w:sz w:val="22"/>
          <w:szCs w:val="22"/>
          <w:lang w:val="es-MX"/>
        </w:rPr>
        <w:t xml:space="preserve">luego de vencimientos importantes como la liquidación anual </w:t>
      </w:r>
      <w:r w:rsidRPr="007C2F91">
        <w:rPr>
          <w:rFonts w:ascii="Times New Roman" w:eastAsia="Times New Roman" w:hAnsi="Times New Roman" w:cs="Times New Roman"/>
          <w:sz w:val="22"/>
          <w:szCs w:val="22"/>
          <w:lang w:val="es-MX"/>
        </w:rPr>
        <w:lastRenderedPageBreak/>
        <w:t>en marzo y los pagos trimestrales percibidos en el año</w:t>
      </w:r>
      <w:r>
        <w:rPr>
          <w:rFonts w:ascii="Times New Roman" w:eastAsia="Times New Roman" w:hAnsi="Times New Roman" w:cs="Times New Roman"/>
          <w:sz w:val="22"/>
          <w:szCs w:val="22"/>
          <w:lang w:val="es-MX"/>
        </w:rPr>
        <w:t>.</w:t>
      </w:r>
      <w:r w:rsidRPr="007C2F91">
        <w:rPr>
          <w:rFonts w:ascii="Times New Roman" w:eastAsia="Times New Roman" w:hAnsi="Times New Roman" w:cs="Times New Roman"/>
          <w:sz w:val="22"/>
          <w:szCs w:val="22"/>
          <w:lang w:val="es-MX"/>
        </w:rPr>
        <w:t xml:space="preserve"> </w:t>
      </w:r>
      <w:r>
        <w:rPr>
          <w:rFonts w:ascii="Times New Roman" w:eastAsia="Times New Roman" w:hAnsi="Times New Roman" w:cs="Times New Roman"/>
          <w:sz w:val="22"/>
          <w:szCs w:val="22"/>
          <w:lang w:val="es-MX"/>
        </w:rPr>
        <w:t xml:space="preserve"> E</w:t>
      </w:r>
      <w:r w:rsidRPr="007C2F91">
        <w:rPr>
          <w:rFonts w:ascii="Times New Roman" w:eastAsia="Times New Roman" w:hAnsi="Times New Roman" w:cs="Times New Roman"/>
          <w:sz w:val="22"/>
          <w:szCs w:val="22"/>
          <w:lang w:val="es-MX"/>
        </w:rPr>
        <w:t>l régimen de actividades lucrativas</w:t>
      </w:r>
      <w:r w:rsidRPr="007C2F91">
        <w:rPr>
          <w:rFonts w:ascii="Times New Roman" w:eastAsia="Times New Roman" w:hAnsi="Times New Roman" w:cs="Times New Roman"/>
          <w:sz w:val="22"/>
          <w:szCs w:val="22"/>
          <w:vertAlign w:val="superscript"/>
          <w:lang w:val="es-MX"/>
        </w:rPr>
        <w:footnoteReference w:id="2"/>
      </w:r>
      <w:r w:rsidRPr="007C2F91">
        <w:rPr>
          <w:rFonts w:ascii="Times New Roman" w:eastAsia="Times New Roman" w:hAnsi="Times New Roman" w:cs="Times New Roman"/>
          <w:sz w:val="22"/>
          <w:szCs w:val="22"/>
          <w:lang w:val="es-MX"/>
        </w:rPr>
        <w:t xml:space="preserve"> creció en 13.1% respecto a lo recaudado en 2022</w:t>
      </w:r>
      <w:r w:rsidR="001066AA">
        <w:rPr>
          <w:rFonts w:ascii="Times New Roman" w:eastAsia="Times New Roman" w:hAnsi="Times New Roman" w:cs="Times New Roman"/>
          <w:sz w:val="22"/>
          <w:szCs w:val="22"/>
          <w:lang w:val="es-MX"/>
        </w:rPr>
        <w:t>,</w:t>
      </w:r>
      <w:r w:rsidRPr="007C2F91">
        <w:rPr>
          <w:rFonts w:ascii="Times New Roman" w:eastAsia="Times New Roman" w:hAnsi="Times New Roman" w:cs="Times New Roman"/>
          <w:sz w:val="22"/>
          <w:szCs w:val="22"/>
          <w:lang w:val="es-MX"/>
        </w:rPr>
        <w:t xml:space="preserve"> siendo el régimen sobre renta imponible el que más aportó a este resultado, los otros regímenes (relación de dependencia, retención a no domiciliados, productos financieros y otros ingresos) mostraron resultados positivos pero moderados.  </w:t>
      </w:r>
    </w:p>
    <w:p w14:paraId="10C67383" w14:textId="77777777" w:rsidR="006710E8" w:rsidRPr="00AE239B" w:rsidRDefault="006710E8" w:rsidP="000656CC">
      <w:pPr>
        <w:contextualSpacing/>
        <w:jc w:val="both"/>
        <w:rPr>
          <w:rFonts w:ascii="Times New Roman" w:eastAsia="Times New Roman" w:hAnsi="Times New Roman" w:cs="Times New Roman"/>
          <w:sz w:val="22"/>
          <w:szCs w:val="22"/>
          <w:lang w:val="es-MX"/>
        </w:rPr>
      </w:pPr>
    </w:p>
    <w:p w14:paraId="284A2941" w14:textId="3E8E51E7" w:rsidR="006710E8" w:rsidRPr="00AE239B" w:rsidRDefault="006710E8" w:rsidP="000656CC">
      <w:pPr>
        <w:contextualSpacing/>
        <w:jc w:val="both"/>
        <w:rPr>
          <w:rFonts w:ascii="Times New Roman" w:eastAsia="Times New Roman" w:hAnsi="Times New Roman" w:cs="Times New Roman"/>
          <w:sz w:val="22"/>
          <w:szCs w:val="22"/>
          <w:lang w:val="es-MX"/>
        </w:rPr>
      </w:pPr>
      <w:r w:rsidRPr="00AE239B">
        <w:rPr>
          <w:rFonts w:ascii="Times New Roman" w:eastAsia="Times New Roman" w:hAnsi="Times New Roman" w:cs="Times New Roman"/>
          <w:sz w:val="22"/>
          <w:szCs w:val="22"/>
          <w:lang w:val="es-MX"/>
        </w:rPr>
        <w:t xml:space="preserve">El desempeño positivo en </w:t>
      </w:r>
      <w:r w:rsidR="0045021B">
        <w:rPr>
          <w:rFonts w:ascii="Times New Roman" w:eastAsia="Times New Roman" w:hAnsi="Times New Roman" w:cs="Times New Roman"/>
          <w:sz w:val="22"/>
          <w:szCs w:val="22"/>
          <w:lang w:val="es-MX"/>
        </w:rPr>
        <w:t>el ISR</w:t>
      </w:r>
      <w:r w:rsidRPr="00AE239B">
        <w:rPr>
          <w:rFonts w:ascii="Times New Roman" w:eastAsia="Times New Roman" w:hAnsi="Times New Roman" w:cs="Times New Roman"/>
          <w:sz w:val="22"/>
          <w:szCs w:val="22"/>
          <w:lang w:val="es-MX"/>
        </w:rPr>
        <w:t xml:space="preserve"> obedece en gran medida a los esfuerzos realizados por la SAT, mismos que se han implementado mediante mecanismos que permitieron aumentar la percepción de riesgo de los contribuyentes, a la facilitación de suscripción de convenios de pago, mejoras en su plataforma digital, así como mejoras en la gestión de fiscalización y gestión judicial y el monitoreo de contribuyentes mediante el cumplimiento tributario -IPT-, que está enfocado sobre la base de recaudación potencial de la Actividad Económica. </w:t>
      </w:r>
    </w:p>
    <w:p w14:paraId="401D7316" w14:textId="77777777" w:rsidR="006710E8" w:rsidRPr="00885B1F" w:rsidRDefault="006710E8" w:rsidP="000656CC">
      <w:pPr>
        <w:contextualSpacing/>
        <w:jc w:val="both"/>
        <w:rPr>
          <w:rFonts w:ascii="Times New Roman" w:eastAsia="Times New Roman" w:hAnsi="Times New Roman" w:cs="Times New Roman"/>
          <w:b/>
          <w:bCs/>
          <w:color w:val="FF0000"/>
          <w:sz w:val="22"/>
          <w:szCs w:val="22"/>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4642"/>
      </w:tblGrid>
      <w:tr w:rsidR="006710E8" w:rsidRPr="004675C7" w14:paraId="10F6B118" w14:textId="77777777" w:rsidTr="00B341EB">
        <w:tc>
          <w:tcPr>
            <w:tcW w:w="4228" w:type="dxa"/>
          </w:tcPr>
          <w:p w14:paraId="44D4EFFA" w14:textId="0EE790F0" w:rsidR="006710E8" w:rsidRPr="00DA2155" w:rsidRDefault="00DA2155" w:rsidP="00DA2155">
            <w:pPr>
              <w:pStyle w:val="Descripcin"/>
              <w:keepNext/>
              <w:spacing w:after="0"/>
              <w:jc w:val="center"/>
            </w:pPr>
            <w:bookmarkStart w:id="17" w:name="_Toc125733198"/>
            <w:bookmarkStart w:id="18" w:name="_Toc158103847"/>
            <w:r w:rsidRPr="00DA2155">
              <w:rPr>
                <w:sz w:val="22"/>
                <w:szCs w:val="22"/>
              </w:rPr>
              <w:t xml:space="preserve">Gráfico </w:t>
            </w:r>
            <w:r w:rsidRPr="00DA2155">
              <w:rPr>
                <w:sz w:val="22"/>
                <w:szCs w:val="22"/>
              </w:rPr>
              <w:fldChar w:fldCharType="begin"/>
            </w:r>
            <w:r w:rsidRPr="00DA2155">
              <w:rPr>
                <w:sz w:val="22"/>
                <w:szCs w:val="22"/>
              </w:rPr>
              <w:instrText xml:space="preserve"> SEQ Gráfico \* ARABIC </w:instrText>
            </w:r>
            <w:r w:rsidRPr="00DA2155">
              <w:rPr>
                <w:sz w:val="22"/>
                <w:szCs w:val="22"/>
              </w:rPr>
              <w:fldChar w:fldCharType="separate"/>
            </w:r>
            <w:r w:rsidR="00C015DC">
              <w:rPr>
                <w:noProof/>
                <w:sz w:val="22"/>
                <w:szCs w:val="22"/>
              </w:rPr>
              <w:t>2</w:t>
            </w:r>
            <w:r w:rsidRPr="00DA2155">
              <w:rPr>
                <w:sz w:val="22"/>
                <w:szCs w:val="22"/>
              </w:rPr>
              <w:fldChar w:fldCharType="end"/>
            </w:r>
            <w:r>
              <w:rPr>
                <w:sz w:val="22"/>
                <w:szCs w:val="22"/>
              </w:rPr>
              <w:t>.</w:t>
            </w:r>
            <w:r w:rsidRPr="00DA2155">
              <w:rPr>
                <w:sz w:val="22"/>
                <w:szCs w:val="22"/>
              </w:rPr>
              <w:t xml:space="preserve">  </w:t>
            </w:r>
            <w:r w:rsidR="006710E8" w:rsidRPr="004675C7">
              <w:rPr>
                <w:rFonts w:eastAsia="Times New Roman"/>
                <w:sz w:val="22"/>
                <w:szCs w:val="20"/>
                <w:lang w:val="es-MX"/>
              </w:rPr>
              <w:t>Variación del ISR de actividades lucrativas</w:t>
            </w:r>
            <w:bookmarkEnd w:id="17"/>
            <w:bookmarkEnd w:id="18"/>
          </w:p>
          <w:p w14:paraId="3807339F" w14:textId="77777777" w:rsidR="006710E8" w:rsidRPr="004675C7" w:rsidRDefault="006710E8" w:rsidP="00B341EB">
            <w:pPr>
              <w:spacing w:line="276" w:lineRule="auto"/>
              <w:contextualSpacing/>
              <w:jc w:val="center"/>
              <w:rPr>
                <w:rFonts w:ascii="Times New Roman" w:eastAsia="Times New Roman" w:hAnsi="Times New Roman"/>
                <w:sz w:val="22"/>
                <w:szCs w:val="22"/>
                <w:lang w:val="es-MX"/>
              </w:rPr>
            </w:pPr>
            <w:r w:rsidRPr="004675C7">
              <w:rPr>
                <w:rFonts w:ascii="Times New Roman" w:eastAsia="Times New Roman" w:hAnsi="Times New Roman"/>
                <w:sz w:val="22"/>
                <w:szCs w:val="22"/>
                <w:lang w:val="es-MX"/>
              </w:rPr>
              <w:t>Porcentajes</w:t>
            </w:r>
          </w:p>
        </w:tc>
        <w:tc>
          <w:tcPr>
            <w:tcW w:w="4610" w:type="dxa"/>
          </w:tcPr>
          <w:p w14:paraId="07542086" w14:textId="1E97A48A" w:rsidR="006710E8" w:rsidRPr="00DA2155" w:rsidRDefault="00DA2155" w:rsidP="00DA2155">
            <w:pPr>
              <w:pStyle w:val="Descripcin"/>
              <w:keepNext/>
              <w:spacing w:after="0"/>
              <w:jc w:val="center"/>
            </w:pPr>
            <w:bookmarkStart w:id="19" w:name="_Toc125733199"/>
            <w:bookmarkStart w:id="20" w:name="_Toc158103848"/>
            <w:r w:rsidRPr="00DA2155">
              <w:rPr>
                <w:sz w:val="22"/>
                <w:szCs w:val="22"/>
              </w:rPr>
              <w:t xml:space="preserve">Gráfico </w:t>
            </w:r>
            <w:r w:rsidRPr="00DA2155">
              <w:rPr>
                <w:sz w:val="22"/>
                <w:szCs w:val="22"/>
              </w:rPr>
              <w:fldChar w:fldCharType="begin"/>
            </w:r>
            <w:r w:rsidRPr="00DA2155">
              <w:rPr>
                <w:sz w:val="22"/>
                <w:szCs w:val="22"/>
              </w:rPr>
              <w:instrText xml:space="preserve"> SEQ Gráfico \* ARABIC </w:instrText>
            </w:r>
            <w:r w:rsidRPr="00DA2155">
              <w:rPr>
                <w:sz w:val="22"/>
                <w:szCs w:val="22"/>
              </w:rPr>
              <w:fldChar w:fldCharType="separate"/>
            </w:r>
            <w:r w:rsidR="00C015DC">
              <w:rPr>
                <w:noProof/>
                <w:sz w:val="22"/>
                <w:szCs w:val="22"/>
              </w:rPr>
              <w:t>3</w:t>
            </w:r>
            <w:r w:rsidRPr="00DA2155">
              <w:rPr>
                <w:sz w:val="22"/>
                <w:szCs w:val="22"/>
              </w:rPr>
              <w:fldChar w:fldCharType="end"/>
            </w:r>
            <w:r>
              <w:rPr>
                <w:sz w:val="22"/>
                <w:szCs w:val="22"/>
              </w:rPr>
              <w:t>.</w:t>
            </w:r>
            <w:r w:rsidRPr="00DA2155">
              <w:rPr>
                <w:sz w:val="22"/>
                <w:szCs w:val="22"/>
              </w:rPr>
              <w:t xml:space="preserve">  </w:t>
            </w:r>
            <w:r w:rsidR="006710E8" w:rsidRPr="004675C7">
              <w:rPr>
                <w:rFonts w:eastAsia="Times New Roman"/>
                <w:sz w:val="22"/>
                <w:szCs w:val="20"/>
                <w:lang w:val="es-MX"/>
              </w:rPr>
              <w:t>Variación del ISR en relación de dependencia</w:t>
            </w:r>
            <w:bookmarkEnd w:id="19"/>
            <w:bookmarkEnd w:id="20"/>
          </w:p>
          <w:p w14:paraId="41706C47" w14:textId="77777777" w:rsidR="006710E8" w:rsidRPr="004675C7" w:rsidRDefault="006710E8" w:rsidP="00B341EB">
            <w:pPr>
              <w:spacing w:line="276" w:lineRule="auto"/>
              <w:contextualSpacing/>
              <w:jc w:val="center"/>
              <w:rPr>
                <w:rFonts w:ascii="Times New Roman" w:eastAsia="Times New Roman" w:hAnsi="Times New Roman"/>
                <w:sz w:val="22"/>
                <w:szCs w:val="22"/>
                <w:lang w:val="es-MX"/>
              </w:rPr>
            </w:pPr>
            <w:r w:rsidRPr="004675C7">
              <w:rPr>
                <w:rFonts w:ascii="Times New Roman" w:eastAsia="Times New Roman" w:hAnsi="Times New Roman"/>
                <w:sz w:val="22"/>
                <w:szCs w:val="22"/>
                <w:lang w:val="es-MX"/>
              </w:rPr>
              <w:t>Porcentajes</w:t>
            </w:r>
          </w:p>
        </w:tc>
      </w:tr>
      <w:tr w:rsidR="006710E8" w:rsidRPr="004675C7" w14:paraId="0C8FB4A7" w14:textId="77777777" w:rsidTr="00B341EB">
        <w:tblPrEx>
          <w:tblCellMar>
            <w:left w:w="70" w:type="dxa"/>
            <w:right w:w="70" w:type="dxa"/>
          </w:tblCellMar>
        </w:tblPrEx>
        <w:tc>
          <w:tcPr>
            <w:tcW w:w="4228" w:type="dxa"/>
          </w:tcPr>
          <w:p w14:paraId="62F49C44" w14:textId="77777777" w:rsidR="006710E8" w:rsidRPr="004675C7" w:rsidRDefault="006710E8" w:rsidP="00B341EB">
            <w:pPr>
              <w:spacing w:line="276" w:lineRule="auto"/>
              <w:contextualSpacing/>
              <w:jc w:val="both"/>
              <w:rPr>
                <w:rFonts w:ascii="Times New Roman" w:eastAsia="Times New Roman" w:hAnsi="Times New Roman"/>
                <w:sz w:val="22"/>
                <w:szCs w:val="22"/>
                <w:lang w:val="es-MX"/>
              </w:rPr>
            </w:pPr>
            <w:r>
              <w:rPr>
                <w:noProof/>
              </w:rPr>
              <w:drawing>
                <wp:inline distT="0" distB="0" distL="0" distR="0" wp14:anchorId="2524E817" wp14:editId="5E45BB94">
                  <wp:extent cx="2639833" cy="2202511"/>
                  <wp:effectExtent l="0" t="0" r="8255" b="7620"/>
                  <wp:docPr id="60" name="Gráfico 60">
                    <a:extLst xmlns:a="http://schemas.openxmlformats.org/drawingml/2006/main">
                      <a:ext uri="{FF2B5EF4-FFF2-40B4-BE49-F238E27FC236}">
                        <a16:creationId xmlns:a16="http://schemas.microsoft.com/office/drawing/2014/main" id="{D566BEED-8B81-462F-BD22-104A76631B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610" w:type="dxa"/>
          </w:tcPr>
          <w:p w14:paraId="5D1BBF88" w14:textId="77777777" w:rsidR="006710E8" w:rsidRPr="004675C7" w:rsidRDefault="006710E8" w:rsidP="00B341EB">
            <w:pPr>
              <w:spacing w:line="276" w:lineRule="auto"/>
              <w:contextualSpacing/>
              <w:jc w:val="both"/>
              <w:rPr>
                <w:rFonts w:ascii="Times New Roman" w:eastAsia="Times New Roman" w:hAnsi="Times New Roman"/>
                <w:sz w:val="22"/>
                <w:szCs w:val="22"/>
                <w:lang w:val="es-MX"/>
              </w:rPr>
            </w:pPr>
            <w:r>
              <w:rPr>
                <w:noProof/>
              </w:rPr>
              <w:drawing>
                <wp:inline distT="0" distB="0" distL="0" distR="0" wp14:anchorId="5743109E" wp14:editId="33BEDF21">
                  <wp:extent cx="2938780" cy="2154803"/>
                  <wp:effectExtent l="0" t="0" r="0" b="0"/>
                  <wp:docPr id="61" name="Gráfico 61">
                    <a:extLst xmlns:a="http://schemas.openxmlformats.org/drawingml/2006/main">
                      <a:ext uri="{FF2B5EF4-FFF2-40B4-BE49-F238E27FC236}">
                        <a16:creationId xmlns:a16="http://schemas.microsoft.com/office/drawing/2014/main" id="{FA668389-EFFB-4D23-8CBE-1B1E57E910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14:paraId="001221E5" w14:textId="77777777" w:rsidR="006710E8" w:rsidRPr="004675C7" w:rsidRDefault="006710E8" w:rsidP="006710E8">
      <w:pPr>
        <w:spacing w:line="276" w:lineRule="auto"/>
        <w:contextualSpacing/>
        <w:jc w:val="both"/>
        <w:rPr>
          <w:rFonts w:ascii="Times New Roman" w:eastAsia="Times New Roman" w:hAnsi="Times New Roman" w:cs="Times New Roman"/>
          <w:sz w:val="18"/>
          <w:szCs w:val="16"/>
          <w:lang w:val="es-MX"/>
        </w:rPr>
      </w:pPr>
      <w:r w:rsidRPr="004675C7">
        <w:rPr>
          <w:rFonts w:ascii="Times New Roman" w:eastAsia="Times New Roman" w:hAnsi="Times New Roman" w:cs="Times New Roman"/>
          <w:sz w:val="18"/>
          <w:szCs w:val="16"/>
          <w:lang w:val="es-MX"/>
        </w:rPr>
        <w:t xml:space="preserve">        Fuente: Dirección de Análisis y Política Fiscal.</w:t>
      </w:r>
    </w:p>
    <w:p w14:paraId="52AAFCA5" w14:textId="77777777" w:rsidR="006710E8" w:rsidRPr="00885B1F" w:rsidRDefault="006710E8" w:rsidP="000656CC">
      <w:pPr>
        <w:contextualSpacing/>
        <w:jc w:val="both"/>
        <w:rPr>
          <w:rFonts w:ascii="Times New Roman" w:eastAsia="Times New Roman" w:hAnsi="Times New Roman" w:cs="Times New Roman"/>
          <w:color w:val="FF0000"/>
          <w:sz w:val="22"/>
          <w:szCs w:val="22"/>
          <w:lang w:val="es-MX"/>
        </w:rPr>
      </w:pPr>
    </w:p>
    <w:p w14:paraId="04AB3777" w14:textId="750E4057" w:rsidR="006710E8" w:rsidRDefault="006710E8" w:rsidP="000656CC">
      <w:pPr>
        <w:contextualSpacing/>
        <w:jc w:val="both"/>
        <w:rPr>
          <w:rFonts w:ascii="Times New Roman" w:eastAsia="Times New Roman" w:hAnsi="Times New Roman" w:cs="Times New Roman"/>
          <w:sz w:val="22"/>
          <w:szCs w:val="22"/>
          <w:lang w:val="es-MX"/>
        </w:rPr>
      </w:pPr>
      <w:r w:rsidRPr="00AC1C2F">
        <w:rPr>
          <w:rFonts w:ascii="Times New Roman" w:eastAsia="Times New Roman" w:hAnsi="Times New Roman" w:cs="Times New Roman"/>
          <w:sz w:val="22"/>
          <w:szCs w:val="22"/>
          <w:lang w:val="es-MX"/>
        </w:rPr>
        <w:t xml:space="preserve">La </w:t>
      </w:r>
      <w:r>
        <w:rPr>
          <w:rFonts w:ascii="Times New Roman" w:eastAsia="Times New Roman" w:hAnsi="Times New Roman" w:cs="Times New Roman"/>
          <w:sz w:val="22"/>
          <w:szCs w:val="22"/>
          <w:lang w:val="es-MX"/>
        </w:rPr>
        <w:t xml:space="preserve">recaudación tributaria del ISR por actividad económica a diciembre </w:t>
      </w:r>
      <w:r w:rsidR="00AB012C">
        <w:rPr>
          <w:rFonts w:ascii="Times New Roman" w:eastAsia="Times New Roman" w:hAnsi="Times New Roman" w:cs="Times New Roman"/>
          <w:sz w:val="22"/>
          <w:szCs w:val="22"/>
          <w:lang w:val="es-MX"/>
        </w:rPr>
        <w:t xml:space="preserve">2023 está </w:t>
      </w:r>
      <w:r>
        <w:rPr>
          <w:rFonts w:ascii="Times New Roman" w:eastAsia="Times New Roman" w:hAnsi="Times New Roman" w:cs="Times New Roman"/>
          <w:sz w:val="22"/>
          <w:szCs w:val="22"/>
          <w:lang w:val="es-MX"/>
        </w:rPr>
        <w:t xml:space="preserve">explicada por 11 actividades de 21 que publica la SAT, dichas actividades aportan el 92.3% de la recaudación total del ISR, destacan de ellas el Comercio al por mayor y al por menor </w:t>
      </w:r>
      <w:r w:rsidR="001066AA">
        <w:rPr>
          <w:rFonts w:ascii="Times New Roman" w:eastAsia="Times New Roman" w:hAnsi="Times New Roman" w:cs="Times New Roman"/>
          <w:sz w:val="22"/>
          <w:szCs w:val="22"/>
          <w:lang w:val="es-MX"/>
        </w:rPr>
        <w:t>(</w:t>
      </w:r>
      <w:r>
        <w:rPr>
          <w:rFonts w:ascii="Times New Roman" w:eastAsia="Times New Roman" w:hAnsi="Times New Roman" w:cs="Times New Roman"/>
          <w:sz w:val="22"/>
          <w:szCs w:val="22"/>
          <w:lang w:val="es-MX"/>
        </w:rPr>
        <w:t>24.8%</w:t>
      </w:r>
      <w:r w:rsidR="001066AA">
        <w:rPr>
          <w:rFonts w:ascii="Times New Roman" w:eastAsia="Times New Roman" w:hAnsi="Times New Roman" w:cs="Times New Roman"/>
          <w:sz w:val="22"/>
          <w:szCs w:val="22"/>
          <w:lang w:val="es-MX"/>
        </w:rPr>
        <w:t>)</w:t>
      </w:r>
      <w:r>
        <w:rPr>
          <w:rFonts w:ascii="Times New Roman" w:eastAsia="Times New Roman" w:hAnsi="Times New Roman" w:cs="Times New Roman"/>
          <w:sz w:val="22"/>
          <w:szCs w:val="22"/>
          <w:lang w:val="es-MX"/>
        </w:rPr>
        <w:t xml:space="preserve">, Industrias manufactureras </w:t>
      </w:r>
      <w:r w:rsidR="001066AA">
        <w:rPr>
          <w:rFonts w:ascii="Times New Roman" w:eastAsia="Times New Roman" w:hAnsi="Times New Roman" w:cs="Times New Roman"/>
          <w:sz w:val="22"/>
          <w:szCs w:val="22"/>
          <w:lang w:val="es-MX"/>
        </w:rPr>
        <w:t>(</w:t>
      </w:r>
      <w:r>
        <w:rPr>
          <w:rFonts w:ascii="Times New Roman" w:eastAsia="Times New Roman" w:hAnsi="Times New Roman" w:cs="Times New Roman"/>
          <w:sz w:val="22"/>
          <w:szCs w:val="22"/>
          <w:lang w:val="es-MX"/>
        </w:rPr>
        <w:t>18.6%</w:t>
      </w:r>
      <w:r w:rsidR="001066AA">
        <w:rPr>
          <w:rFonts w:ascii="Times New Roman" w:eastAsia="Times New Roman" w:hAnsi="Times New Roman" w:cs="Times New Roman"/>
          <w:sz w:val="22"/>
          <w:szCs w:val="22"/>
          <w:lang w:val="es-MX"/>
        </w:rPr>
        <w:t>)</w:t>
      </w:r>
      <w:r>
        <w:rPr>
          <w:rFonts w:ascii="Times New Roman" w:eastAsia="Times New Roman" w:hAnsi="Times New Roman" w:cs="Times New Roman"/>
          <w:sz w:val="22"/>
          <w:szCs w:val="22"/>
          <w:lang w:val="es-MX"/>
        </w:rPr>
        <w:t xml:space="preserve">, Actividades financieras y de seguros </w:t>
      </w:r>
      <w:r w:rsidR="001066AA">
        <w:rPr>
          <w:rFonts w:ascii="Times New Roman" w:eastAsia="Times New Roman" w:hAnsi="Times New Roman" w:cs="Times New Roman"/>
          <w:sz w:val="22"/>
          <w:szCs w:val="22"/>
          <w:lang w:val="es-MX"/>
        </w:rPr>
        <w:t>(</w:t>
      </w:r>
      <w:r>
        <w:rPr>
          <w:rFonts w:ascii="Times New Roman" w:eastAsia="Times New Roman" w:hAnsi="Times New Roman" w:cs="Times New Roman"/>
          <w:sz w:val="22"/>
          <w:szCs w:val="22"/>
          <w:lang w:val="es-MX"/>
        </w:rPr>
        <w:t>14.2%</w:t>
      </w:r>
      <w:r w:rsidR="001066AA">
        <w:rPr>
          <w:rFonts w:ascii="Times New Roman" w:eastAsia="Times New Roman" w:hAnsi="Times New Roman" w:cs="Times New Roman"/>
          <w:sz w:val="22"/>
          <w:szCs w:val="22"/>
          <w:lang w:val="es-MX"/>
        </w:rPr>
        <w:t>)</w:t>
      </w:r>
      <w:r>
        <w:rPr>
          <w:rFonts w:ascii="Times New Roman" w:eastAsia="Times New Roman" w:hAnsi="Times New Roman" w:cs="Times New Roman"/>
          <w:sz w:val="22"/>
          <w:szCs w:val="22"/>
          <w:lang w:val="es-MX"/>
        </w:rPr>
        <w:t xml:space="preserve">.  La variación interanual respecto a diciembre 2022 denota que </w:t>
      </w:r>
      <w:r w:rsidR="001066AA">
        <w:rPr>
          <w:rFonts w:ascii="Times New Roman" w:eastAsia="Times New Roman" w:hAnsi="Times New Roman" w:cs="Times New Roman"/>
          <w:sz w:val="22"/>
          <w:szCs w:val="22"/>
          <w:lang w:val="es-MX"/>
        </w:rPr>
        <w:t xml:space="preserve">la recaudación por </w:t>
      </w:r>
      <w:r>
        <w:rPr>
          <w:rFonts w:ascii="Times New Roman" w:eastAsia="Times New Roman" w:hAnsi="Times New Roman" w:cs="Times New Roman"/>
          <w:sz w:val="22"/>
          <w:szCs w:val="22"/>
          <w:lang w:val="es-MX"/>
        </w:rPr>
        <w:t>estas tres actividades creci</w:t>
      </w:r>
      <w:r w:rsidR="001066AA">
        <w:rPr>
          <w:rFonts w:ascii="Times New Roman" w:eastAsia="Times New Roman" w:hAnsi="Times New Roman" w:cs="Times New Roman"/>
          <w:sz w:val="22"/>
          <w:szCs w:val="22"/>
          <w:lang w:val="es-MX"/>
        </w:rPr>
        <w:t>ó</w:t>
      </w:r>
      <w:r>
        <w:rPr>
          <w:rFonts w:ascii="Times New Roman" w:eastAsia="Times New Roman" w:hAnsi="Times New Roman" w:cs="Times New Roman"/>
          <w:sz w:val="22"/>
          <w:szCs w:val="22"/>
          <w:lang w:val="es-MX"/>
        </w:rPr>
        <w:t xml:space="preserve"> en 12.5%, 16.0% y 11.6% respectivamente;</w:t>
      </w:r>
      <w:r w:rsidR="00AB41B0">
        <w:rPr>
          <w:rFonts w:ascii="Times New Roman" w:eastAsia="Times New Roman" w:hAnsi="Times New Roman" w:cs="Times New Roman"/>
          <w:sz w:val="22"/>
          <w:szCs w:val="22"/>
          <w:lang w:val="es-MX"/>
        </w:rPr>
        <w:t xml:space="preserve"> </w:t>
      </w:r>
      <w:r>
        <w:rPr>
          <w:rFonts w:ascii="Times New Roman" w:eastAsia="Times New Roman" w:hAnsi="Times New Roman" w:cs="Times New Roman"/>
          <w:sz w:val="22"/>
          <w:szCs w:val="22"/>
          <w:lang w:val="es-MX"/>
        </w:rPr>
        <w:t>la actividad de Información y comunicaciones, que aporta e</w:t>
      </w:r>
      <w:r w:rsidR="0045021B">
        <w:rPr>
          <w:rFonts w:ascii="Times New Roman" w:eastAsia="Times New Roman" w:hAnsi="Times New Roman" w:cs="Times New Roman"/>
          <w:sz w:val="22"/>
          <w:szCs w:val="22"/>
          <w:lang w:val="es-MX"/>
        </w:rPr>
        <w:t>l</w:t>
      </w:r>
      <w:r>
        <w:rPr>
          <w:rFonts w:ascii="Times New Roman" w:eastAsia="Times New Roman" w:hAnsi="Times New Roman" w:cs="Times New Roman"/>
          <w:sz w:val="22"/>
          <w:szCs w:val="22"/>
          <w:lang w:val="es-MX"/>
        </w:rPr>
        <w:t xml:space="preserve"> 7.0% al ISR, creció 2.2% respecto a lo observado en 2022</w:t>
      </w:r>
      <w:r w:rsidR="00AB41B0">
        <w:rPr>
          <w:rFonts w:ascii="Times New Roman" w:eastAsia="Times New Roman" w:hAnsi="Times New Roman" w:cs="Times New Roman"/>
          <w:sz w:val="22"/>
          <w:szCs w:val="22"/>
          <w:lang w:val="es-MX"/>
        </w:rPr>
        <w:t>.</w:t>
      </w:r>
      <w:r>
        <w:rPr>
          <w:rFonts w:ascii="Times New Roman" w:eastAsia="Times New Roman" w:hAnsi="Times New Roman" w:cs="Times New Roman"/>
          <w:sz w:val="22"/>
          <w:szCs w:val="22"/>
          <w:lang w:val="es-MX"/>
        </w:rPr>
        <w:t xml:space="preserve"> </w:t>
      </w:r>
      <w:r w:rsidR="00AB41B0">
        <w:rPr>
          <w:rFonts w:ascii="Times New Roman" w:eastAsia="Times New Roman" w:hAnsi="Times New Roman" w:cs="Times New Roman"/>
          <w:sz w:val="22"/>
          <w:szCs w:val="22"/>
          <w:lang w:val="es-MX"/>
        </w:rPr>
        <w:t>S</w:t>
      </w:r>
      <w:r>
        <w:rPr>
          <w:rFonts w:ascii="Times New Roman" w:eastAsia="Times New Roman" w:hAnsi="Times New Roman" w:cs="Times New Roman"/>
          <w:sz w:val="22"/>
          <w:szCs w:val="22"/>
          <w:lang w:val="es-MX"/>
        </w:rPr>
        <w:t xml:space="preserve">obresale que </w:t>
      </w:r>
      <w:r w:rsidR="00B24EE4">
        <w:rPr>
          <w:rFonts w:ascii="Times New Roman" w:eastAsia="Times New Roman" w:hAnsi="Times New Roman" w:cs="Times New Roman"/>
          <w:sz w:val="22"/>
          <w:szCs w:val="22"/>
          <w:lang w:val="es-MX"/>
        </w:rPr>
        <w:t>la recaudación por las Actividades Profesionales y Suministro de Electricidad mostró</w:t>
      </w:r>
      <w:r w:rsidR="00AB41B0">
        <w:rPr>
          <w:rFonts w:ascii="Times New Roman" w:eastAsia="Times New Roman" w:hAnsi="Times New Roman" w:cs="Times New Roman"/>
          <w:sz w:val="22"/>
          <w:szCs w:val="22"/>
          <w:lang w:val="es-MX"/>
        </w:rPr>
        <w:t xml:space="preserve"> mayor crecimiento, con </w:t>
      </w:r>
      <w:r>
        <w:rPr>
          <w:rFonts w:ascii="Times New Roman" w:eastAsia="Times New Roman" w:hAnsi="Times New Roman" w:cs="Times New Roman"/>
          <w:sz w:val="22"/>
          <w:szCs w:val="22"/>
          <w:lang w:val="es-MX"/>
        </w:rPr>
        <w:t xml:space="preserve">23.8% y 20.0%, sin embargo, su aporte es del 3.4% y 3.8%.  Por otra parte, </w:t>
      </w:r>
      <w:r w:rsidR="00AB41B0">
        <w:rPr>
          <w:rFonts w:ascii="Times New Roman" w:eastAsia="Times New Roman" w:hAnsi="Times New Roman" w:cs="Times New Roman"/>
          <w:sz w:val="22"/>
          <w:szCs w:val="22"/>
          <w:lang w:val="es-MX"/>
        </w:rPr>
        <w:t xml:space="preserve">la recaudación por </w:t>
      </w:r>
      <w:r>
        <w:rPr>
          <w:rFonts w:ascii="Times New Roman" w:eastAsia="Times New Roman" w:hAnsi="Times New Roman" w:cs="Times New Roman"/>
          <w:sz w:val="22"/>
          <w:szCs w:val="22"/>
          <w:lang w:val="es-MX"/>
        </w:rPr>
        <w:t>la actividad de Agricultura decreció en este grupo en 26.8%</w:t>
      </w:r>
      <w:r w:rsidR="00AB41B0">
        <w:rPr>
          <w:rFonts w:ascii="Times New Roman" w:eastAsia="Times New Roman" w:hAnsi="Times New Roman" w:cs="Times New Roman"/>
          <w:sz w:val="22"/>
          <w:szCs w:val="22"/>
          <w:lang w:val="es-MX"/>
        </w:rPr>
        <w:t>,</w:t>
      </w:r>
      <w:r>
        <w:rPr>
          <w:rFonts w:ascii="Times New Roman" w:eastAsia="Times New Roman" w:hAnsi="Times New Roman" w:cs="Times New Roman"/>
          <w:sz w:val="22"/>
          <w:szCs w:val="22"/>
          <w:lang w:val="es-MX"/>
        </w:rPr>
        <w:t xml:space="preserve"> pero su aporte a la recaudación es de 3.3%.</w:t>
      </w:r>
    </w:p>
    <w:p w14:paraId="15D506D2" w14:textId="786908D1" w:rsidR="006710E8" w:rsidRPr="00DA2155" w:rsidRDefault="00DA2155" w:rsidP="000656CC">
      <w:pPr>
        <w:pStyle w:val="Descripcin"/>
        <w:keepNext/>
        <w:rPr>
          <w:sz w:val="22"/>
          <w:szCs w:val="22"/>
        </w:rPr>
      </w:pPr>
      <w:bookmarkStart w:id="21" w:name="_Toc158103849"/>
      <w:r w:rsidRPr="00DA2155">
        <w:rPr>
          <w:sz w:val="22"/>
          <w:szCs w:val="22"/>
        </w:rPr>
        <w:lastRenderedPageBreak/>
        <w:t xml:space="preserve">Gráfico </w:t>
      </w:r>
      <w:r w:rsidRPr="00DA2155">
        <w:rPr>
          <w:sz w:val="22"/>
          <w:szCs w:val="22"/>
        </w:rPr>
        <w:fldChar w:fldCharType="begin"/>
      </w:r>
      <w:r w:rsidRPr="00DA2155">
        <w:rPr>
          <w:sz w:val="22"/>
          <w:szCs w:val="22"/>
        </w:rPr>
        <w:instrText xml:space="preserve"> SEQ Gráfico \* ARABIC </w:instrText>
      </w:r>
      <w:r w:rsidRPr="00DA2155">
        <w:rPr>
          <w:sz w:val="22"/>
          <w:szCs w:val="22"/>
        </w:rPr>
        <w:fldChar w:fldCharType="separate"/>
      </w:r>
      <w:r w:rsidR="00C015DC">
        <w:rPr>
          <w:noProof/>
          <w:sz w:val="22"/>
          <w:szCs w:val="22"/>
        </w:rPr>
        <w:t>4</w:t>
      </w:r>
      <w:r w:rsidRPr="00DA2155">
        <w:rPr>
          <w:sz w:val="22"/>
          <w:szCs w:val="22"/>
        </w:rPr>
        <w:fldChar w:fldCharType="end"/>
      </w:r>
      <w:r>
        <w:rPr>
          <w:sz w:val="22"/>
          <w:szCs w:val="22"/>
        </w:rPr>
        <w:t xml:space="preserve">.  </w:t>
      </w:r>
      <w:r w:rsidR="006710E8" w:rsidRPr="001E00F7">
        <w:rPr>
          <w:rFonts w:eastAsia="Times New Roman" w:cs="Times New Roman"/>
          <w:sz w:val="22"/>
          <w:szCs w:val="22"/>
        </w:rPr>
        <w:t xml:space="preserve">Variación </w:t>
      </w:r>
      <w:r w:rsidR="006710E8">
        <w:rPr>
          <w:rFonts w:eastAsia="Times New Roman" w:cs="Times New Roman"/>
          <w:sz w:val="22"/>
          <w:szCs w:val="22"/>
        </w:rPr>
        <w:t xml:space="preserve">interanual acumulada 2023 – 2022 de </w:t>
      </w:r>
      <w:r w:rsidR="00D80D79">
        <w:rPr>
          <w:rFonts w:eastAsia="Times New Roman" w:cs="Times New Roman"/>
          <w:sz w:val="22"/>
          <w:szCs w:val="22"/>
        </w:rPr>
        <w:t xml:space="preserve">la recaudación por </w:t>
      </w:r>
      <w:r w:rsidR="006710E8">
        <w:rPr>
          <w:rFonts w:eastAsia="Times New Roman" w:cs="Times New Roman"/>
          <w:sz w:val="22"/>
          <w:szCs w:val="22"/>
        </w:rPr>
        <w:t>actividades económicas que aportan el 92.3% a la</w:t>
      </w:r>
      <w:r w:rsidR="006710E8" w:rsidRPr="001E00F7">
        <w:rPr>
          <w:rFonts w:eastAsia="Times New Roman" w:cs="Times New Roman"/>
          <w:sz w:val="22"/>
          <w:szCs w:val="22"/>
        </w:rPr>
        <w:t xml:space="preserve"> recaudación </w:t>
      </w:r>
      <w:r w:rsidR="006710E8">
        <w:rPr>
          <w:rFonts w:eastAsia="Times New Roman" w:cs="Times New Roman"/>
          <w:sz w:val="22"/>
          <w:szCs w:val="22"/>
        </w:rPr>
        <w:t>del ISR</w:t>
      </w:r>
      <w:bookmarkEnd w:id="21"/>
    </w:p>
    <w:p w14:paraId="287362AF" w14:textId="77777777" w:rsidR="006710E8" w:rsidRDefault="006710E8" w:rsidP="006710E8">
      <w:pPr>
        <w:spacing w:line="276" w:lineRule="auto"/>
        <w:contextualSpacing/>
        <w:jc w:val="center"/>
        <w:rPr>
          <w:rFonts w:ascii="Times New Roman" w:eastAsia="Times New Roman" w:hAnsi="Times New Roman" w:cs="Times New Roman"/>
          <w:b/>
          <w:color w:val="FF0000"/>
          <w:sz w:val="22"/>
          <w:szCs w:val="22"/>
        </w:rPr>
      </w:pPr>
      <w:r>
        <w:rPr>
          <w:rFonts w:ascii="Times New Roman" w:eastAsia="Times New Roman" w:hAnsi="Times New Roman" w:cs="Times New Roman"/>
          <w:noProof/>
          <w:sz w:val="22"/>
          <w:szCs w:val="22"/>
        </w:rPr>
        <w:drawing>
          <wp:inline distT="0" distB="0" distL="0" distR="0" wp14:anchorId="5C99F146" wp14:editId="786EAC90">
            <wp:extent cx="5486400" cy="3172570"/>
            <wp:effectExtent l="0" t="0" r="0" b="8890"/>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D9D967C" w14:textId="77777777" w:rsidR="006710E8" w:rsidRDefault="006710E8" w:rsidP="006710E8">
      <w:pPr>
        <w:spacing w:line="276" w:lineRule="auto"/>
        <w:contextualSpacing/>
        <w:jc w:val="both"/>
        <w:rPr>
          <w:rFonts w:ascii="Times New Roman" w:eastAsia="Times New Roman" w:hAnsi="Times New Roman" w:cs="Times New Roman"/>
          <w:sz w:val="18"/>
          <w:szCs w:val="16"/>
          <w:lang w:val="es-MX"/>
        </w:rPr>
      </w:pPr>
      <w:r w:rsidRPr="004675C7">
        <w:rPr>
          <w:rFonts w:ascii="Times New Roman" w:eastAsia="Times New Roman" w:hAnsi="Times New Roman" w:cs="Times New Roman"/>
          <w:sz w:val="18"/>
          <w:szCs w:val="16"/>
          <w:lang w:val="es-MX"/>
        </w:rPr>
        <w:t>Fuente: Dirección de Análisis y Política Fiscal.</w:t>
      </w:r>
    </w:p>
    <w:p w14:paraId="51A2F4C1" w14:textId="77777777" w:rsidR="006710E8" w:rsidRDefault="006710E8" w:rsidP="000656CC">
      <w:pPr>
        <w:contextualSpacing/>
        <w:jc w:val="both"/>
        <w:rPr>
          <w:rFonts w:ascii="Times New Roman" w:eastAsia="Times New Roman" w:hAnsi="Times New Roman" w:cs="Times New Roman"/>
          <w:sz w:val="18"/>
          <w:szCs w:val="16"/>
          <w:lang w:val="es-MX"/>
        </w:rPr>
      </w:pPr>
    </w:p>
    <w:p w14:paraId="3DCECF82" w14:textId="7C54BFCB" w:rsidR="004A0A14" w:rsidRPr="00DA2AB6" w:rsidRDefault="006710E8" w:rsidP="000656CC">
      <w:pPr>
        <w:contextualSpacing/>
        <w:jc w:val="both"/>
        <w:rPr>
          <w:rFonts w:ascii="Times New Roman" w:eastAsia="Times New Roman" w:hAnsi="Times New Roman" w:cs="Times New Roman"/>
          <w:sz w:val="22"/>
          <w:szCs w:val="22"/>
        </w:rPr>
      </w:pPr>
      <w:r w:rsidRPr="00065A98">
        <w:rPr>
          <w:rFonts w:ascii="Times New Roman" w:eastAsia="Times New Roman" w:hAnsi="Times New Roman" w:cs="Times New Roman"/>
          <w:sz w:val="22"/>
          <w:szCs w:val="22"/>
        </w:rPr>
        <w:t>De las actividades que aportan el 57.6% de la recaudación del Impuesto Sobre la Renta se tiene que</w:t>
      </w:r>
      <w:r w:rsidR="00354821">
        <w:rPr>
          <w:rFonts w:ascii="Times New Roman" w:eastAsia="Times New Roman" w:hAnsi="Times New Roman" w:cs="Times New Roman"/>
          <w:sz w:val="22"/>
          <w:szCs w:val="22"/>
        </w:rPr>
        <w:t xml:space="preserve">, </w:t>
      </w:r>
      <w:r w:rsidR="0045021B">
        <w:rPr>
          <w:rFonts w:ascii="Times New Roman" w:eastAsia="Times New Roman" w:hAnsi="Times New Roman" w:cs="Times New Roman"/>
          <w:sz w:val="22"/>
          <w:szCs w:val="22"/>
        </w:rPr>
        <w:t xml:space="preserve">de </w:t>
      </w:r>
      <w:r w:rsidR="00354821">
        <w:rPr>
          <w:rFonts w:ascii="Times New Roman" w:eastAsia="Times New Roman" w:hAnsi="Times New Roman" w:cs="Times New Roman"/>
          <w:sz w:val="22"/>
          <w:szCs w:val="22"/>
        </w:rPr>
        <w:t>la recaudación</w:t>
      </w:r>
      <w:r w:rsidRPr="00065A98">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en </w:t>
      </w:r>
      <w:r w:rsidRPr="00065A98">
        <w:rPr>
          <w:rFonts w:ascii="Times New Roman" w:eastAsia="Times New Roman" w:hAnsi="Times New Roman" w:cs="Times New Roman"/>
          <w:sz w:val="22"/>
          <w:szCs w:val="22"/>
        </w:rPr>
        <w:t xml:space="preserve">la </w:t>
      </w:r>
      <w:r w:rsidR="00354821">
        <w:rPr>
          <w:rFonts w:ascii="Times New Roman" w:eastAsia="Times New Roman" w:hAnsi="Times New Roman" w:cs="Times New Roman"/>
          <w:sz w:val="22"/>
          <w:szCs w:val="22"/>
        </w:rPr>
        <w:t xml:space="preserve">actividad </w:t>
      </w:r>
      <w:r w:rsidRPr="00065A98">
        <w:rPr>
          <w:rFonts w:ascii="Times New Roman" w:eastAsia="Times New Roman" w:hAnsi="Times New Roman" w:cs="Times New Roman"/>
          <w:sz w:val="22"/>
          <w:szCs w:val="22"/>
        </w:rPr>
        <w:t>de Comercio al por mayor y al por menor destaca que</w:t>
      </w:r>
      <w:r w:rsidR="00354821">
        <w:rPr>
          <w:rFonts w:ascii="Times New Roman" w:eastAsia="Times New Roman" w:hAnsi="Times New Roman" w:cs="Times New Roman"/>
          <w:sz w:val="22"/>
          <w:szCs w:val="22"/>
        </w:rPr>
        <w:t xml:space="preserve"> la recaudación por</w:t>
      </w:r>
      <w:r w:rsidRPr="00065A98">
        <w:rPr>
          <w:rFonts w:ascii="Times New Roman" w:eastAsia="Times New Roman" w:hAnsi="Times New Roman" w:cs="Times New Roman"/>
          <w:sz w:val="22"/>
          <w:szCs w:val="22"/>
        </w:rPr>
        <w:t xml:space="preserve"> las ventas al por mayor de alimentos, bebidas y tabaco creci</w:t>
      </w:r>
      <w:r w:rsidR="00354821">
        <w:rPr>
          <w:rFonts w:ascii="Times New Roman" w:eastAsia="Times New Roman" w:hAnsi="Times New Roman" w:cs="Times New Roman"/>
          <w:sz w:val="22"/>
          <w:szCs w:val="22"/>
        </w:rPr>
        <w:t>ó</w:t>
      </w:r>
      <w:r w:rsidRPr="00065A98">
        <w:rPr>
          <w:rFonts w:ascii="Times New Roman" w:eastAsia="Times New Roman" w:hAnsi="Times New Roman" w:cs="Times New Roman"/>
          <w:sz w:val="22"/>
          <w:szCs w:val="22"/>
        </w:rPr>
        <w:t xml:space="preserve"> en 17.5%, </w:t>
      </w:r>
      <w:r w:rsidR="00354821">
        <w:rPr>
          <w:rFonts w:ascii="Times New Roman" w:eastAsia="Times New Roman" w:hAnsi="Times New Roman" w:cs="Times New Roman"/>
          <w:sz w:val="22"/>
          <w:szCs w:val="22"/>
        </w:rPr>
        <w:t xml:space="preserve">por </w:t>
      </w:r>
      <w:r w:rsidRPr="00065A98">
        <w:rPr>
          <w:rFonts w:ascii="Times New Roman" w:eastAsia="Times New Roman" w:hAnsi="Times New Roman" w:cs="Times New Roman"/>
          <w:sz w:val="22"/>
          <w:szCs w:val="22"/>
        </w:rPr>
        <w:t xml:space="preserve">las ventas al por mayor a cambio de una retribución o por contrato y </w:t>
      </w:r>
      <w:r w:rsidR="00354821">
        <w:rPr>
          <w:rFonts w:ascii="Times New Roman" w:eastAsia="Times New Roman" w:hAnsi="Times New Roman" w:cs="Times New Roman"/>
          <w:sz w:val="22"/>
          <w:szCs w:val="22"/>
        </w:rPr>
        <w:t xml:space="preserve">por </w:t>
      </w:r>
      <w:r w:rsidRPr="00065A98">
        <w:rPr>
          <w:rFonts w:ascii="Times New Roman" w:eastAsia="Times New Roman" w:hAnsi="Times New Roman" w:cs="Times New Roman"/>
          <w:sz w:val="22"/>
          <w:szCs w:val="22"/>
        </w:rPr>
        <w:t xml:space="preserve">las ventas de vehículos automotores </w:t>
      </w:r>
      <w:r w:rsidR="00354821">
        <w:rPr>
          <w:rFonts w:ascii="Times New Roman" w:eastAsia="Times New Roman" w:hAnsi="Times New Roman" w:cs="Times New Roman"/>
          <w:sz w:val="22"/>
          <w:szCs w:val="22"/>
        </w:rPr>
        <w:t xml:space="preserve">creció </w:t>
      </w:r>
      <w:r w:rsidRPr="00065A98">
        <w:rPr>
          <w:rFonts w:ascii="Times New Roman" w:eastAsia="Times New Roman" w:hAnsi="Times New Roman" w:cs="Times New Roman"/>
          <w:sz w:val="22"/>
          <w:szCs w:val="22"/>
        </w:rPr>
        <w:t>en 9.9% y 36.7%</w:t>
      </w:r>
      <w:r w:rsidR="00354821">
        <w:rPr>
          <w:rFonts w:ascii="Times New Roman" w:eastAsia="Times New Roman" w:hAnsi="Times New Roman" w:cs="Times New Roman"/>
          <w:sz w:val="22"/>
          <w:szCs w:val="22"/>
        </w:rPr>
        <w:t>, respectivamente</w:t>
      </w:r>
      <w:r w:rsidRPr="00065A98">
        <w:rPr>
          <w:rFonts w:ascii="Times New Roman" w:eastAsia="Times New Roman" w:hAnsi="Times New Roman" w:cs="Times New Roman"/>
          <w:sz w:val="22"/>
          <w:szCs w:val="22"/>
        </w:rPr>
        <w:t xml:space="preserve">; para el caso de la actividad de Industrias manufactureras </w:t>
      </w:r>
      <w:r w:rsidR="00354821">
        <w:rPr>
          <w:rFonts w:ascii="Times New Roman" w:eastAsia="Times New Roman" w:hAnsi="Times New Roman" w:cs="Times New Roman"/>
          <w:sz w:val="22"/>
          <w:szCs w:val="22"/>
        </w:rPr>
        <w:t>sobresale</w:t>
      </w:r>
      <w:r w:rsidR="00354821" w:rsidRPr="00065A98">
        <w:rPr>
          <w:rFonts w:ascii="Times New Roman" w:eastAsia="Times New Roman" w:hAnsi="Times New Roman" w:cs="Times New Roman"/>
          <w:sz w:val="22"/>
          <w:szCs w:val="22"/>
        </w:rPr>
        <w:t xml:space="preserve"> </w:t>
      </w:r>
      <w:r w:rsidRPr="00065A98">
        <w:rPr>
          <w:rFonts w:ascii="Times New Roman" w:eastAsia="Times New Roman" w:hAnsi="Times New Roman" w:cs="Times New Roman"/>
          <w:sz w:val="22"/>
          <w:szCs w:val="22"/>
        </w:rPr>
        <w:t xml:space="preserve">que la </w:t>
      </w:r>
      <w:r w:rsidR="00354821">
        <w:rPr>
          <w:rFonts w:ascii="Times New Roman" w:eastAsia="Times New Roman" w:hAnsi="Times New Roman" w:cs="Times New Roman"/>
          <w:sz w:val="22"/>
          <w:szCs w:val="22"/>
        </w:rPr>
        <w:t xml:space="preserve">recaudación por </w:t>
      </w:r>
      <w:r w:rsidRPr="00065A98">
        <w:rPr>
          <w:rFonts w:ascii="Times New Roman" w:eastAsia="Times New Roman" w:hAnsi="Times New Roman" w:cs="Times New Roman"/>
          <w:sz w:val="22"/>
          <w:szCs w:val="22"/>
        </w:rPr>
        <w:t xml:space="preserve">elaboración de azúcar creció en 132.5%, </w:t>
      </w:r>
      <w:r w:rsidR="00354821">
        <w:rPr>
          <w:rFonts w:ascii="Times New Roman" w:eastAsia="Times New Roman" w:hAnsi="Times New Roman" w:cs="Times New Roman"/>
          <w:sz w:val="22"/>
          <w:szCs w:val="22"/>
        </w:rPr>
        <w:t xml:space="preserve">por </w:t>
      </w:r>
      <w:r w:rsidRPr="00065A98">
        <w:rPr>
          <w:rFonts w:ascii="Times New Roman" w:eastAsia="Times New Roman" w:hAnsi="Times New Roman" w:cs="Times New Roman"/>
          <w:sz w:val="22"/>
          <w:szCs w:val="22"/>
        </w:rPr>
        <w:t xml:space="preserve">la fabricación de productos farmacéuticos, sustancias químicas medicinales y productos botánicos de uso farmacéutico y la elaboración de aceites y grasas de origen vegetal y animal </w:t>
      </w:r>
      <w:r w:rsidR="00354821">
        <w:rPr>
          <w:rFonts w:ascii="Times New Roman" w:eastAsia="Times New Roman" w:hAnsi="Times New Roman" w:cs="Times New Roman"/>
          <w:sz w:val="22"/>
          <w:szCs w:val="22"/>
        </w:rPr>
        <w:t>creció</w:t>
      </w:r>
      <w:r w:rsidR="00354821" w:rsidRPr="00065A98">
        <w:rPr>
          <w:rFonts w:ascii="Times New Roman" w:eastAsia="Times New Roman" w:hAnsi="Times New Roman" w:cs="Times New Roman"/>
          <w:sz w:val="22"/>
          <w:szCs w:val="22"/>
        </w:rPr>
        <w:t xml:space="preserve"> </w:t>
      </w:r>
      <w:r w:rsidRPr="00065A98">
        <w:rPr>
          <w:rFonts w:ascii="Times New Roman" w:eastAsia="Times New Roman" w:hAnsi="Times New Roman" w:cs="Times New Roman"/>
          <w:sz w:val="22"/>
          <w:szCs w:val="22"/>
        </w:rPr>
        <w:t>en 21.2% y 80.4%</w:t>
      </w:r>
      <w:r w:rsidR="00354821">
        <w:rPr>
          <w:rFonts w:ascii="Times New Roman" w:eastAsia="Times New Roman" w:hAnsi="Times New Roman" w:cs="Times New Roman"/>
          <w:sz w:val="22"/>
          <w:szCs w:val="22"/>
        </w:rPr>
        <w:t>, respectivamente</w:t>
      </w:r>
      <w:r w:rsidRPr="00065A98">
        <w:rPr>
          <w:rFonts w:ascii="Times New Roman" w:eastAsia="Times New Roman" w:hAnsi="Times New Roman" w:cs="Times New Roman"/>
          <w:sz w:val="22"/>
          <w:szCs w:val="22"/>
        </w:rPr>
        <w:t>; por último,</w:t>
      </w:r>
      <w:r w:rsidR="00354821">
        <w:rPr>
          <w:rFonts w:ascii="Times New Roman" w:eastAsia="Times New Roman" w:hAnsi="Times New Roman" w:cs="Times New Roman"/>
          <w:sz w:val="22"/>
          <w:szCs w:val="22"/>
        </w:rPr>
        <w:t xml:space="preserve"> en</w:t>
      </w:r>
      <w:r w:rsidRPr="00065A98">
        <w:rPr>
          <w:rFonts w:ascii="Times New Roman" w:eastAsia="Times New Roman" w:hAnsi="Times New Roman" w:cs="Times New Roman"/>
          <w:sz w:val="22"/>
          <w:szCs w:val="22"/>
        </w:rPr>
        <w:t xml:space="preserve"> </w:t>
      </w:r>
      <w:r w:rsidR="00354821">
        <w:rPr>
          <w:rFonts w:ascii="Times New Roman" w:eastAsia="Times New Roman" w:hAnsi="Times New Roman" w:cs="Times New Roman"/>
          <w:sz w:val="22"/>
          <w:szCs w:val="22"/>
        </w:rPr>
        <w:t xml:space="preserve">la recaudación por </w:t>
      </w:r>
      <w:r w:rsidRPr="00065A98">
        <w:rPr>
          <w:rFonts w:ascii="Times New Roman" w:eastAsia="Times New Roman" w:hAnsi="Times New Roman" w:cs="Times New Roman"/>
          <w:sz w:val="22"/>
          <w:szCs w:val="22"/>
        </w:rPr>
        <w:t xml:space="preserve">las actividades financieras y de seguros </w:t>
      </w:r>
      <w:r w:rsidR="00354821">
        <w:rPr>
          <w:rFonts w:ascii="Times New Roman" w:eastAsia="Times New Roman" w:hAnsi="Times New Roman" w:cs="Times New Roman"/>
          <w:sz w:val="22"/>
          <w:szCs w:val="22"/>
        </w:rPr>
        <w:t>resalta</w:t>
      </w:r>
      <w:r w:rsidRPr="00065A98">
        <w:rPr>
          <w:rFonts w:ascii="Times New Roman" w:eastAsia="Times New Roman" w:hAnsi="Times New Roman" w:cs="Times New Roman"/>
          <w:sz w:val="22"/>
          <w:szCs w:val="22"/>
        </w:rPr>
        <w:t xml:space="preserve"> que</w:t>
      </w:r>
      <w:r w:rsidR="00354821">
        <w:rPr>
          <w:rFonts w:ascii="Times New Roman" w:eastAsia="Times New Roman" w:hAnsi="Times New Roman" w:cs="Times New Roman"/>
          <w:sz w:val="22"/>
          <w:szCs w:val="22"/>
        </w:rPr>
        <w:t>, por</w:t>
      </w:r>
      <w:r w:rsidRPr="00065A98">
        <w:rPr>
          <w:rFonts w:ascii="Times New Roman" w:eastAsia="Times New Roman" w:hAnsi="Times New Roman" w:cs="Times New Roman"/>
          <w:sz w:val="22"/>
          <w:szCs w:val="22"/>
        </w:rPr>
        <w:t xml:space="preserve"> otros tipos de intermediación monetaria, otras actividades auxiliares de las actividades de servicios financieros </w:t>
      </w:r>
      <w:r w:rsidR="00354821">
        <w:rPr>
          <w:rFonts w:ascii="Times New Roman" w:eastAsia="Times New Roman" w:hAnsi="Times New Roman" w:cs="Times New Roman"/>
          <w:sz w:val="22"/>
          <w:szCs w:val="22"/>
        </w:rPr>
        <w:t xml:space="preserve">la recaudación creció, </w:t>
      </w:r>
      <w:r w:rsidRPr="00065A98">
        <w:rPr>
          <w:rFonts w:ascii="Times New Roman" w:eastAsia="Times New Roman" w:hAnsi="Times New Roman" w:cs="Times New Roman"/>
          <w:sz w:val="22"/>
          <w:szCs w:val="22"/>
        </w:rPr>
        <w:t>respecto a lo observado en 2022</w:t>
      </w:r>
      <w:r w:rsidR="00354821">
        <w:rPr>
          <w:rFonts w:ascii="Times New Roman" w:eastAsia="Times New Roman" w:hAnsi="Times New Roman" w:cs="Times New Roman"/>
          <w:sz w:val="22"/>
          <w:szCs w:val="22"/>
        </w:rPr>
        <w:t>,</w:t>
      </w:r>
      <w:r w:rsidRPr="00065A98">
        <w:rPr>
          <w:rFonts w:ascii="Times New Roman" w:eastAsia="Times New Roman" w:hAnsi="Times New Roman" w:cs="Times New Roman"/>
          <w:sz w:val="22"/>
          <w:szCs w:val="22"/>
        </w:rPr>
        <w:t xml:space="preserve"> en 13.1% y 16.2%, </w:t>
      </w:r>
      <w:r w:rsidR="00354821">
        <w:rPr>
          <w:rFonts w:ascii="Times New Roman" w:eastAsia="Times New Roman" w:hAnsi="Times New Roman" w:cs="Times New Roman"/>
          <w:sz w:val="22"/>
          <w:szCs w:val="22"/>
        </w:rPr>
        <w:t>desatacando</w:t>
      </w:r>
      <w:r w:rsidR="00354821" w:rsidRPr="00065A98">
        <w:rPr>
          <w:rFonts w:ascii="Times New Roman" w:eastAsia="Times New Roman" w:hAnsi="Times New Roman" w:cs="Times New Roman"/>
          <w:sz w:val="22"/>
          <w:szCs w:val="22"/>
        </w:rPr>
        <w:t xml:space="preserve"> </w:t>
      </w:r>
      <w:r w:rsidRPr="00065A98">
        <w:rPr>
          <w:rFonts w:ascii="Times New Roman" w:eastAsia="Times New Roman" w:hAnsi="Times New Roman" w:cs="Times New Roman"/>
          <w:sz w:val="22"/>
          <w:szCs w:val="22"/>
        </w:rPr>
        <w:t xml:space="preserve">que la Banca </w:t>
      </w:r>
      <w:r w:rsidR="005C1F95">
        <w:rPr>
          <w:rFonts w:ascii="Times New Roman" w:eastAsia="Times New Roman" w:hAnsi="Times New Roman" w:cs="Times New Roman"/>
          <w:sz w:val="22"/>
          <w:szCs w:val="22"/>
        </w:rPr>
        <w:t>C</w:t>
      </w:r>
      <w:r w:rsidR="005C1F95" w:rsidRPr="00065A98">
        <w:rPr>
          <w:rFonts w:ascii="Times New Roman" w:eastAsia="Times New Roman" w:hAnsi="Times New Roman" w:cs="Times New Roman"/>
          <w:sz w:val="22"/>
          <w:szCs w:val="22"/>
        </w:rPr>
        <w:t xml:space="preserve">entral </w:t>
      </w:r>
      <w:r w:rsidRPr="00065A98">
        <w:rPr>
          <w:rFonts w:ascii="Times New Roman" w:eastAsia="Times New Roman" w:hAnsi="Times New Roman" w:cs="Times New Roman"/>
          <w:sz w:val="22"/>
          <w:szCs w:val="22"/>
        </w:rPr>
        <w:t>cayó</w:t>
      </w:r>
      <w:r w:rsidR="00354821">
        <w:rPr>
          <w:rFonts w:ascii="Times New Roman" w:eastAsia="Times New Roman" w:hAnsi="Times New Roman" w:cs="Times New Roman"/>
          <w:sz w:val="22"/>
          <w:szCs w:val="22"/>
        </w:rPr>
        <w:t>,</w:t>
      </w:r>
      <w:r w:rsidRPr="00065A98">
        <w:rPr>
          <w:rFonts w:ascii="Times New Roman" w:eastAsia="Times New Roman" w:hAnsi="Times New Roman" w:cs="Times New Roman"/>
          <w:sz w:val="22"/>
          <w:szCs w:val="22"/>
        </w:rPr>
        <w:t xml:space="preserve"> respecto a lo reportado en 2022</w:t>
      </w:r>
      <w:r w:rsidR="00354821">
        <w:rPr>
          <w:rFonts w:ascii="Times New Roman" w:eastAsia="Times New Roman" w:hAnsi="Times New Roman" w:cs="Times New Roman"/>
          <w:sz w:val="22"/>
          <w:szCs w:val="22"/>
        </w:rPr>
        <w:t>,</w:t>
      </w:r>
      <w:r w:rsidRPr="00065A98">
        <w:rPr>
          <w:rFonts w:ascii="Times New Roman" w:eastAsia="Times New Roman" w:hAnsi="Times New Roman" w:cs="Times New Roman"/>
          <w:sz w:val="22"/>
          <w:szCs w:val="22"/>
        </w:rPr>
        <w:t xml:space="preserve"> en 9.6%. </w:t>
      </w:r>
    </w:p>
    <w:p w14:paraId="0F7A2902" w14:textId="77777777" w:rsidR="004A0A14" w:rsidRPr="00885B1F" w:rsidRDefault="004A0A14" w:rsidP="000656CC">
      <w:pPr>
        <w:contextualSpacing/>
        <w:jc w:val="both"/>
        <w:rPr>
          <w:rFonts w:ascii="Times New Roman" w:eastAsia="Times New Roman" w:hAnsi="Times New Roman" w:cs="Times New Roman"/>
          <w:color w:val="FF0000"/>
          <w:sz w:val="22"/>
          <w:szCs w:val="22"/>
          <w:lang w:val="es-MX"/>
        </w:rPr>
      </w:pPr>
    </w:p>
    <w:p w14:paraId="74D31979" w14:textId="77777777" w:rsidR="006710E8" w:rsidRPr="0048246B" w:rsidRDefault="006710E8" w:rsidP="0048246B">
      <w:pPr>
        <w:keepNext/>
        <w:keepLines/>
        <w:numPr>
          <w:ilvl w:val="1"/>
          <w:numId w:val="21"/>
        </w:numPr>
        <w:spacing w:line="276" w:lineRule="auto"/>
        <w:ind w:left="567" w:hanging="283"/>
        <w:contextualSpacing/>
        <w:jc w:val="both"/>
        <w:outlineLvl w:val="1"/>
        <w:rPr>
          <w:rFonts w:ascii="Times New Roman" w:eastAsiaTheme="majorEastAsia" w:hAnsi="Times New Roman" w:cs="Times New Roman"/>
          <w:b/>
          <w:bCs/>
          <w:szCs w:val="28"/>
        </w:rPr>
      </w:pPr>
      <w:bookmarkStart w:id="22" w:name="_Toc64025429"/>
      <w:bookmarkStart w:id="23" w:name="_Toc94259623"/>
      <w:r w:rsidRPr="0048246B">
        <w:rPr>
          <w:rFonts w:ascii="Times New Roman" w:eastAsiaTheme="majorEastAsia" w:hAnsi="Times New Roman" w:cs="Times New Roman"/>
          <w:b/>
          <w:bCs/>
          <w:szCs w:val="28"/>
        </w:rPr>
        <w:t xml:space="preserve"> </w:t>
      </w:r>
      <w:bookmarkStart w:id="24" w:name="_Toc155865449"/>
      <w:bookmarkStart w:id="25" w:name="_Toc160196846"/>
      <w:r w:rsidRPr="0048246B">
        <w:rPr>
          <w:rFonts w:ascii="Times New Roman" w:eastAsiaTheme="majorEastAsia" w:hAnsi="Times New Roman" w:cs="Times New Roman"/>
          <w:b/>
          <w:bCs/>
          <w:szCs w:val="28"/>
        </w:rPr>
        <w:t>Impuesto al Valor Agregado</w:t>
      </w:r>
      <w:bookmarkEnd w:id="22"/>
      <w:bookmarkEnd w:id="23"/>
      <w:r w:rsidRPr="0048246B">
        <w:rPr>
          <w:rFonts w:ascii="Times New Roman" w:eastAsiaTheme="majorEastAsia" w:hAnsi="Times New Roman" w:cs="Times New Roman"/>
          <w:b/>
          <w:bCs/>
          <w:szCs w:val="28"/>
        </w:rPr>
        <w:t xml:space="preserve"> -IVA-</w:t>
      </w:r>
      <w:bookmarkEnd w:id="24"/>
      <w:bookmarkEnd w:id="25"/>
    </w:p>
    <w:p w14:paraId="61851E82" w14:textId="77777777" w:rsidR="006710E8" w:rsidRPr="00885B1F" w:rsidRDefault="006710E8" w:rsidP="000656CC">
      <w:pPr>
        <w:contextualSpacing/>
        <w:jc w:val="both"/>
        <w:rPr>
          <w:rFonts w:ascii="Times New Roman" w:eastAsia="Times New Roman" w:hAnsi="Times New Roman" w:cs="Times New Roman"/>
          <w:color w:val="FF0000"/>
          <w:sz w:val="22"/>
          <w:szCs w:val="22"/>
          <w:lang w:val="es-MX"/>
        </w:rPr>
      </w:pPr>
    </w:p>
    <w:p w14:paraId="4AF03C44" w14:textId="2AE6787D" w:rsidR="006710E8" w:rsidRPr="00D153D9" w:rsidRDefault="006710E8" w:rsidP="000656CC">
      <w:pPr>
        <w:contextualSpacing/>
        <w:jc w:val="both"/>
        <w:rPr>
          <w:rFonts w:ascii="Times New Roman" w:eastAsia="Times New Roman" w:hAnsi="Times New Roman" w:cs="Times New Roman"/>
          <w:sz w:val="22"/>
          <w:szCs w:val="22"/>
        </w:rPr>
      </w:pPr>
      <w:r w:rsidRPr="00D153D9">
        <w:rPr>
          <w:rFonts w:ascii="Times New Roman" w:eastAsia="Times New Roman" w:hAnsi="Times New Roman" w:cs="Times New Roman"/>
          <w:sz w:val="22"/>
          <w:szCs w:val="22"/>
        </w:rPr>
        <w:t>Este impuesto generó una brecha positiva de Q</w:t>
      </w:r>
      <w:r w:rsidRPr="00D153D9">
        <w:t xml:space="preserve"> </w:t>
      </w:r>
      <w:r w:rsidRPr="00D153D9">
        <w:rPr>
          <w:rFonts w:ascii="Times New Roman" w:eastAsia="Times New Roman" w:hAnsi="Times New Roman" w:cs="Times New Roman"/>
          <w:sz w:val="22"/>
          <w:szCs w:val="22"/>
        </w:rPr>
        <w:t>3,335.0 millones respecto a la meta, explicada en su mayoría por el IVA asociado al co</w:t>
      </w:r>
      <w:r>
        <w:rPr>
          <w:rFonts w:ascii="Times New Roman" w:eastAsia="Times New Roman" w:hAnsi="Times New Roman" w:cs="Times New Roman"/>
          <w:sz w:val="22"/>
          <w:szCs w:val="22"/>
        </w:rPr>
        <w:t>nsumo interno</w:t>
      </w:r>
      <w:r w:rsidRPr="00D153D9">
        <w:rPr>
          <w:rFonts w:ascii="Times New Roman" w:eastAsia="Times New Roman" w:hAnsi="Times New Roman" w:cs="Times New Roman"/>
          <w:sz w:val="22"/>
          <w:szCs w:val="22"/>
        </w:rPr>
        <w:t>, el cual mantiene la dinámica observada en 2022, principalmente</w:t>
      </w:r>
      <w:r>
        <w:rPr>
          <w:rFonts w:ascii="Times New Roman" w:eastAsia="Times New Roman" w:hAnsi="Times New Roman" w:cs="Times New Roman"/>
          <w:sz w:val="22"/>
          <w:szCs w:val="22"/>
        </w:rPr>
        <w:t xml:space="preserve"> por acciones implementadas por SAT que permitieron la simplificación y facilitación sobre una base de herramientas tecnológicas como la APP FEL que permite contar con una declaración sugerida preelaborada de Regímenes Simplificados del IVA</w:t>
      </w:r>
      <w:r w:rsidR="00354821">
        <w:rPr>
          <w:rFonts w:ascii="Times New Roman" w:eastAsia="Times New Roman" w:hAnsi="Times New Roman" w:cs="Times New Roman"/>
          <w:sz w:val="22"/>
          <w:szCs w:val="22"/>
        </w:rPr>
        <w:t>,</w:t>
      </w:r>
      <w:r>
        <w:rPr>
          <w:rFonts w:ascii="Times New Roman" w:eastAsia="Times New Roman" w:hAnsi="Times New Roman" w:cs="Times New Roman"/>
          <w:sz w:val="22"/>
          <w:szCs w:val="22"/>
        </w:rPr>
        <w:t xml:space="preserve"> con lo cual se facilita el cumplimiento de las obligaciones tributarias del 72.2% de los contribuyentes afiliados a este impuesto, además se actualizaron los formularios y se implementaron nuevas validaciones y se crearon nuevos anexos para contribuyentes exentos o con beneficio fiscal</w:t>
      </w:r>
      <w:r w:rsidRPr="00D153D9">
        <w:rPr>
          <w:rFonts w:ascii="Times New Roman" w:eastAsia="Times New Roman" w:hAnsi="Times New Roman" w:cs="Times New Roman"/>
          <w:sz w:val="22"/>
          <w:szCs w:val="22"/>
        </w:rPr>
        <w:t xml:space="preserve">. Con relación a 2022 se observó un crecimiento en </w:t>
      </w:r>
      <w:r>
        <w:rPr>
          <w:rFonts w:ascii="Times New Roman" w:eastAsia="Times New Roman" w:hAnsi="Times New Roman" w:cs="Times New Roman"/>
          <w:sz w:val="22"/>
          <w:szCs w:val="22"/>
        </w:rPr>
        <w:t>la recaudación d</w:t>
      </w:r>
      <w:r w:rsidRPr="00D153D9">
        <w:rPr>
          <w:rFonts w:ascii="Times New Roman" w:eastAsia="Times New Roman" w:hAnsi="Times New Roman" w:cs="Times New Roman"/>
          <w:sz w:val="22"/>
          <w:szCs w:val="22"/>
        </w:rPr>
        <w:t>el IVA total de 5.5% es decir se generó una brecha positiva de Q</w:t>
      </w:r>
      <w:r w:rsidRPr="00D153D9">
        <w:t xml:space="preserve"> </w:t>
      </w:r>
      <w:r w:rsidRPr="00D153D9">
        <w:rPr>
          <w:rFonts w:ascii="Times New Roman" w:eastAsia="Times New Roman" w:hAnsi="Times New Roman" w:cs="Times New Roman"/>
          <w:sz w:val="22"/>
          <w:szCs w:val="22"/>
        </w:rPr>
        <w:t>2,365.8 millones.</w:t>
      </w:r>
    </w:p>
    <w:p w14:paraId="7D44CAC6" w14:textId="5A4ECA14" w:rsidR="006710E8" w:rsidRDefault="006710E8" w:rsidP="000656CC">
      <w:pPr>
        <w:contextualSpacing/>
        <w:jc w:val="both"/>
        <w:rPr>
          <w:rFonts w:ascii="Times New Roman" w:eastAsia="Times New Roman" w:hAnsi="Times New Roman" w:cs="Times New Roman"/>
          <w:color w:val="FF0000"/>
          <w:sz w:val="22"/>
          <w:szCs w:val="22"/>
        </w:rPr>
      </w:pPr>
    </w:p>
    <w:p w14:paraId="53241879" w14:textId="4694C38E" w:rsidR="006710E8" w:rsidRPr="00DA2155" w:rsidRDefault="00DA2155" w:rsidP="00DA2155">
      <w:pPr>
        <w:pStyle w:val="Descripcin"/>
        <w:keepNext/>
        <w:spacing w:after="0"/>
        <w:jc w:val="center"/>
        <w:rPr>
          <w:sz w:val="22"/>
          <w:szCs w:val="22"/>
        </w:rPr>
      </w:pPr>
      <w:bookmarkStart w:id="26" w:name="_Toc125733200"/>
      <w:bookmarkStart w:id="27" w:name="_Toc158103850"/>
      <w:r w:rsidRPr="00DA2155">
        <w:rPr>
          <w:sz w:val="22"/>
          <w:szCs w:val="22"/>
        </w:rPr>
        <w:lastRenderedPageBreak/>
        <w:t xml:space="preserve">Gráfico </w:t>
      </w:r>
      <w:r w:rsidRPr="00DA2155">
        <w:rPr>
          <w:sz w:val="22"/>
          <w:szCs w:val="22"/>
        </w:rPr>
        <w:fldChar w:fldCharType="begin"/>
      </w:r>
      <w:r w:rsidRPr="00DA2155">
        <w:rPr>
          <w:sz w:val="22"/>
          <w:szCs w:val="22"/>
        </w:rPr>
        <w:instrText xml:space="preserve"> SEQ Gráfico \* ARABIC </w:instrText>
      </w:r>
      <w:r w:rsidRPr="00DA2155">
        <w:rPr>
          <w:sz w:val="22"/>
          <w:szCs w:val="22"/>
        </w:rPr>
        <w:fldChar w:fldCharType="separate"/>
      </w:r>
      <w:r w:rsidR="00C015DC">
        <w:rPr>
          <w:noProof/>
          <w:sz w:val="22"/>
          <w:szCs w:val="22"/>
        </w:rPr>
        <w:t>5</w:t>
      </w:r>
      <w:r w:rsidRPr="00DA2155">
        <w:rPr>
          <w:sz w:val="22"/>
          <w:szCs w:val="22"/>
        </w:rPr>
        <w:fldChar w:fldCharType="end"/>
      </w:r>
      <w:r w:rsidRPr="00DA2155">
        <w:rPr>
          <w:sz w:val="22"/>
          <w:szCs w:val="22"/>
        </w:rPr>
        <w:t>.</w:t>
      </w:r>
      <w:r>
        <w:rPr>
          <w:sz w:val="22"/>
          <w:szCs w:val="22"/>
        </w:rPr>
        <w:t xml:space="preserve">  </w:t>
      </w:r>
      <w:r w:rsidR="006710E8" w:rsidRPr="00D153D9">
        <w:rPr>
          <w:rFonts w:eastAsia="Times New Roman" w:cs="Times New Roman"/>
          <w:bCs/>
          <w:sz w:val="22"/>
          <w:szCs w:val="22"/>
        </w:rPr>
        <w:t>Brecha del impuesto al valor agregado respecto a presupuesto</w:t>
      </w:r>
      <w:bookmarkEnd w:id="26"/>
      <w:bookmarkEnd w:id="27"/>
    </w:p>
    <w:p w14:paraId="2ACBAE41" w14:textId="77777777" w:rsidR="006710E8" w:rsidRPr="00D153D9" w:rsidRDefault="006710E8" w:rsidP="006710E8">
      <w:pPr>
        <w:spacing w:line="276" w:lineRule="auto"/>
        <w:contextualSpacing/>
        <w:jc w:val="center"/>
        <w:rPr>
          <w:rFonts w:ascii="Times New Roman" w:eastAsia="Times New Roman" w:hAnsi="Times New Roman" w:cs="Times New Roman"/>
          <w:sz w:val="22"/>
          <w:szCs w:val="22"/>
        </w:rPr>
      </w:pPr>
      <w:r w:rsidRPr="00D153D9">
        <w:rPr>
          <w:rFonts w:ascii="Times New Roman" w:eastAsia="Times New Roman" w:hAnsi="Times New Roman" w:cs="Times New Roman"/>
          <w:sz w:val="22"/>
          <w:szCs w:val="22"/>
        </w:rPr>
        <w:t>Millones de quetzales</w:t>
      </w:r>
    </w:p>
    <w:p w14:paraId="62E8B459" w14:textId="77777777" w:rsidR="006710E8" w:rsidRPr="00885B1F" w:rsidRDefault="006710E8" w:rsidP="006710E8">
      <w:pPr>
        <w:spacing w:line="276" w:lineRule="auto"/>
        <w:contextualSpacing/>
        <w:jc w:val="center"/>
        <w:rPr>
          <w:rFonts w:ascii="Times New Roman" w:eastAsia="Times New Roman" w:hAnsi="Times New Roman" w:cs="Times New Roman"/>
          <w:color w:val="FF0000"/>
          <w:sz w:val="22"/>
          <w:szCs w:val="22"/>
        </w:rPr>
      </w:pPr>
      <w:r>
        <w:rPr>
          <w:noProof/>
        </w:rPr>
        <w:drawing>
          <wp:inline distT="0" distB="0" distL="0" distR="0" wp14:anchorId="18BF0945" wp14:editId="3FF4E461">
            <wp:extent cx="5629275" cy="2989690"/>
            <wp:effectExtent l="0" t="0" r="0" b="1270"/>
            <wp:docPr id="63" name="Gráfico 63">
              <a:extLst xmlns:a="http://schemas.openxmlformats.org/drawingml/2006/main">
                <a:ext uri="{FF2B5EF4-FFF2-40B4-BE49-F238E27FC236}">
                  <a16:creationId xmlns:a16="http://schemas.microsoft.com/office/drawing/2014/main" id="{6792FAC2-DB97-4E19-83C8-3BCCD27BC3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885B1F">
        <w:rPr>
          <w:rFonts w:ascii="Times New Roman" w:eastAsia="Times New Roman" w:hAnsi="Times New Roman" w:cs="Times New Roman"/>
          <w:noProof/>
          <w:color w:val="FF0000"/>
          <w:sz w:val="22"/>
          <w:szCs w:val="22"/>
          <w:lang w:eastAsia="es-GT"/>
        </w:rPr>
        <w:t xml:space="preserve"> </w:t>
      </w:r>
    </w:p>
    <w:p w14:paraId="145BB824" w14:textId="77777777" w:rsidR="006710E8" w:rsidRPr="00D153D9" w:rsidRDefault="006710E8" w:rsidP="006710E8">
      <w:pPr>
        <w:spacing w:line="276" w:lineRule="auto"/>
        <w:ind w:firstLine="708"/>
        <w:contextualSpacing/>
        <w:jc w:val="both"/>
        <w:rPr>
          <w:rFonts w:ascii="Times New Roman" w:eastAsia="Times New Roman" w:hAnsi="Times New Roman" w:cs="Times New Roman"/>
          <w:sz w:val="18"/>
          <w:szCs w:val="22"/>
        </w:rPr>
      </w:pPr>
      <w:r w:rsidRPr="00D153D9">
        <w:rPr>
          <w:rFonts w:ascii="Times New Roman" w:eastAsia="Times New Roman" w:hAnsi="Times New Roman" w:cs="Times New Roman"/>
          <w:sz w:val="18"/>
          <w:szCs w:val="22"/>
        </w:rPr>
        <w:t>Fuente: Ministerio de Finanzas Públicas.</w:t>
      </w:r>
    </w:p>
    <w:p w14:paraId="1DB3EF95" w14:textId="77777777" w:rsidR="006710E8" w:rsidRPr="00885B1F" w:rsidRDefault="006710E8" w:rsidP="000656CC">
      <w:pPr>
        <w:contextualSpacing/>
        <w:jc w:val="both"/>
        <w:rPr>
          <w:rFonts w:ascii="Times New Roman" w:eastAsia="Times New Roman" w:hAnsi="Times New Roman" w:cs="Times New Roman"/>
          <w:color w:val="FF0000"/>
          <w:sz w:val="22"/>
          <w:szCs w:val="22"/>
        </w:rPr>
      </w:pPr>
    </w:p>
    <w:p w14:paraId="1AFAEAF1" w14:textId="09212F9A" w:rsidR="006710E8" w:rsidRPr="00885B1F" w:rsidRDefault="006710E8" w:rsidP="000656CC">
      <w:pPr>
        <w:contextualSpacing/>
        <w:jc w:val="both"/>
        <w:rPr>
          <w:rFonts w:ascii="Times New Roman" w:eastAsia="Times New Roman" w:hAnsi="Times New Roman" w:cs="Times New Roman"/>
          <w:color w:val="FF0000"/>
          <w:sz w:val="22"/>
          <w:szCs w:val="22"/>
        </w:rPr>
      </w:pPr>
      <w:r w:rsidRPr="00082CF1">
        <w:rPr>
          <w:rFonts w:ascii="Times New Roman" w:eastAsia="Times New Roman" w:hAnsi="Times New Roman" w:cs="Times New Roman"/>
          <w:sz w:val="22"/>
          <w:szCs w:val="22"/>
        </w:rPr>
        <w:t>El IVA asociado al consumo interno creció en 14.0%</w:t>
      </w:r>
      <w:r>
        <w:rPr>
          <w:rFonts w:ascii="Times New Roman" w:eastAsia="Times New Roman" w:hAnsi="Times New Roman" w:cs="Times New Roman"/>
          <w:sz w:val="22"/>
          <w:szCs w:val="22"/>
        </w:rPr>
        <w:t xml:space="preserve"> (Q2,629.1 millones)</w:t>
      </w:r>
      <w:r w:rsidRPr="00082CF1">
        <w:rPr>
          <w:rFonts w:ascii="Times New Roman" w:eastAsia="Times New Roman" w:hAnsi="Times New Roman" w:cs="Times New Roman"/>
          <w:sz w:val="22"/>
          <w:szCs w:val="22"/>
        </w:rPr>
        <w:t xml:space="preserve"> respecto a 2022</w:t>
      </w:r>
      <w:r>
        <w:rPr>
          <w:rFonts w:ascii="Times New Roman" w:eastAsia="Times New Roman" w:hAnsi="Times New Roman" w:cs="Times New Roman"/>
          <w:sz w:val="22"/>
          <w:szCs w:val="22"/>
        </w:rPr>
        <w:t xml:space="preserve"> </w:t>
      </w:r>
      <w:r w:rsidRPr="00082CF1">
        <w:rPr>
          <w:rFonts w:ascii="Times New Roman" w:eastAsia="Times New Roman" w:hAnsi="Times New Roman" w:cs="Times New Roman"/>
          <w:sz w:val="22"/>
          <w:szCs w:val="22"/>
        </w:rPr>
        <w:t>y superó la meta en Q2,</w:t>
      </w:r>
      <w:r>
        <w:rPr>
          <w:rFonts w:ascii="Times New Roman" w:eastAsia="Times New Roman" w:hAnsi="Times New Roman" w:cs="Times New Roman"/>
          <w:sz w:val="22"/>
          <w:szCs w:val="22"/>
        </w:rPr>
        <w:t>195</w:t>
      </w:r>
      <w:r w:rsidRPr="00082CF1">
        <w:rPr>
          <w:rFonts w:ascii="Times New Roman" w:eastAsia="Times New Roman" w:hAnsi="Times New Roman" w:cs="Times New Roman"/>
          <w:sz w:val="22"/>
          <w:szCs w:val="22"/>
        </w:rPr>
        <w:t>.</w:t>
      </w:r>
      <w:r>
        <w:rPr>
          <w:rFonts w:ascii="Times New Roman" w:eastAsia="Times New Roman" w:hAnsi="Times New Roman" w:cs="Times New Roman"/>
          <w:sz w:val="22"/>
          <w:szCs w:val="22"/>
        </w:rPr>
        <w:t>9</w:t>
      </w:r>
      <w:r w:rsidRPr="00082CF1">
        <w:rPr>
          <w:rFonts w:ascii="Times New Roman" w:eastAsia="Times New Roman" w:hAnsi="Times New Roman" w:cs="Times New Roman"/>
          <w:sz w:val="22"/>
          <w:szCs w:val="22"/>
        </w:rPr>
        <w:t xml:space="preserve"> </w:t>
      </w:r>
      <w:r w:rsidRPr="00544C1F">
        <w:rPr>
          <w:rFonts w:ascii="Times New Roman" w:eastAsia="Times New Roman" w:hAnsi="Times New Roman" w:cs="Times New Roman"/>
          <w:sz w:val="22"/>
          <w:szCs w:val="22"/>
        </w:rPr>
        <w:t>millones</w:t>
      </w:r>
      <w:r w:rsidR="00354821">
        <w:rPr>
          <w:rFonts w:ascii="Times New Roman" w:eastAsia="Times New Roman" w:hAnsi="Times New Roman" w:cs="Times New Roman"/>
          <w:sz w:val="22"/>
          <w:szCs w:val="22"/>
        </w:rPr>
        <w:t>,</w:t>
      </w:r>
      <w:r>
        <w:rPr>
          <w:rFonts w:ascii="Times New Roman" w:eastAsia="Times New Roman" w:hAnsi="Times New Roman" w:cs="Times New Roman"/>
          <w:sz w:val="22"/>
          <w:szCs w:val="22"/>
        </w:rPr>
        <w:t xml:space="preserve"> lo que representa un crecimiento de 11.5%</w:t>
      </w:r>
      <w:r w:rsidR="00354821">
        <w:rPr>
          <w:rFonts w:ascii="Times New Roman" w:eastAsia="Times New Roman" w:hAnsi="Times New Roman" w:cs="Times New Roman"/>
          <w:sz w:val="22"/>
          <w:szCs w:val="22"/>
        </w:rPr>
        <w:t>.</w:t>
      </w:r>
      <w:r w:rsidRPr="00544C1F">
        <w:rPr>
          <w:rFonts w:ascii="Times New Roman" w:eastAsia="Times New Roman" w:hAnsi="Times New Roman" w:cs="Times New Roman"/>
          <w:sz w:val="22"/>
          <w:szCs w:val="22"/>
        </w:rPr>
        <w:t xml:space="preserve"> </w:t>
      </w:r>
      <w:r w:rsidR="00354821">
        <w:rPr>
          <w:rFonts w:ascii="Times New Roman" w:eastAsia="Times New Roman" w:hAnsi="Times New Roman" w:cs="Times New Roman"/>
          <w:sz w:val="22"/>
          <w:szCs w:val="22"/>
        </w:rPr>
        <w:t>E</w:t>
      </w:r>
      <w:r w:rsidRPr="00544C1F">
        <w:rPr>
          <w:rFonts w:ascii="Times New Roman" w:eastAsia="Times New Roman" w:hAnsi="Times New Roman" w:cs="Times New Roman"/>
          <w:sz w:val="22"/>
          <w:szCs w:val="22"/>
        </w:rPr>
        <w:t>ste impuesto en su apertura muestra que el</w:t>
      </w:r>
      <w:r>
        <w:rPr>
          <w:rFonts w:ascii="Times New Roman" w:eastAsia="Times New Roman" w:hAnsi="Times New Roman" w:cs="Times New Roman"/>
          <w:sz w:val="22"/>
          <w:szCs w:val="22"/>
        </w:rPr>
        <w:t xml:space="preserve"> régimen</w:t>
      </w:r>
      <w:r w:rsidRPr="00544C1F">
        <w:rPr>
          <w:rFonts w:ascii="Times New Roman" w:eastAsia="Times New Roman" w:hAnsi="Times New Roman" w:cs="Times New Roman"/>
          <w:sz w:val="22"/>
          <w:szCs w:val="22"/>
        </w:rPr>
        <w:t xml:space="preserve"> </w:t>
      </w:r>
      <w:r w:rsidRPr="00077A16">
        <w:rPr>
          <w:rFonts w:ascii="Times New Roman" w:eastAsia="Times New Roman" w:hAnsi="Times New Roman" w:cs="Times New Roman"/>
          <w:sz w:val="22"/>
          <w:szCs w:val="22"/>
        </w:rPr>
        <w:t>que más aporta a la recaudación es el Régimen General (71.4%) el cual tuvo un crecimiento de 17.1% (Q2,400.6 millones), seguido por el Régimen de Retenciones que aporta el 18.9% a la recaudación y creció en 7.5% (Q304.7 millones).  Del resto de regímenes destaca el del Pequeño Contribuyente</w:t>
      </w:r>
      <w:r w:rsidR="00354821">
        <w:rPr>
          <w:rFonts w:ascii="Times New Roman" w:eastAsia="Times New Roman" w:hAnsi="Times New Roman" w:cs="Times New Roman"/>
          <w:sz w:val="22"/>
          <w:szCs w:val="22"/>
        </w:rPr>
        <w:t>,</w:t>
      </w:r>
      <w:r w:rsidRPr="00077A16">
        <w:rPr>
          <w:rFonts w:ascii="Times New Roman" w:eastAsia="Times New Roman" w:hAnsi="Times New Roman" w:cs="Times New Roman"/>
          <w:sz w:val="22"/>
          <w:szCs w:val="22"/>
        </w:rPr>
        <w:t xml:space="preserve"> cuyo aporte a recaudación es del 2.9%</w:t>
      </w:r>
      <w:r w:rsidR="00354821">
        <w:rPr>
          <w:rFonts w:ascii="Times New Roman" w:eastAsia="Times New Roman" w:hAnsi="Times New Roman" w:cs="Times New Roman"/>
          <w:sz w:val="22"/>
          <w:szCs w:val="22"/>
        </w:rPr>
        <w:t>,</w:t>
      </w:r>
      <w:r w:rsidRPr="00077A16">
        <w:rPr>
          <w:rFonts w:ascii="Times New Roman" w:eastAsia="Times New Roman" w:hAnsi="Times New Roman" w:cs="Times New Roman"/>
          <w:sz w:val="22"/>
          <w:szCs w:val="22"/>
        </w:rPr>
        <w:t xml:space="preserve"> creció en 10.5% (Q63.4 millones).</w:t>
      </w:r>
      <w:r w:rsidRPr="00544C1F">
        <w:rPr>
          <w:rFonts w:ascii="Times New Roman" w:eastAsia="Times New Roman" w:hAnsi="Times New Roman" w:cs="Times New Roman"/>
          <w:sz w:val="22"/>
          <w:szCs w:val="22"/>
        </w:rPr>
        <w:t xml:space="preserve">  </w:t>
      </w:r>
    </w:p>
    <w:p w14:paraId="2713E1CA" w14:textId="77777777" w:rsidR="006710E8" w:rsidRPr="00885B1F" w:rsidRDefault="006710E8" w:rsidP="000656CC">
      <w:pPr>
        <w:contextualSpacing/>
        <w:jc w:val="both"/>
        <w:rPr>
          <w:rFonts w:ascii="Times New Roman" w:eastAsia="Times New Roman" w:hAnsi="Times New Roman" w:cs="Times New Roman"/>
          <w:color w:val="FF0000"/>
          <w:sz w:val="22"/>
          <w:szCs w:val="22"/>
        </w:rPr>
      </w:pPr>
    </w:p>
    <w:p w14:paraId="62EC8AAE" w14:textId="164DF0CF" w:rsidR="006710E8" w:rsidRDefault="006710E8" w:rsidP="000656CC">
      <w:pPr>
        <w:contextualSpacing/>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La </w:t>
      </w:r>
      <w:r w:rsidRPr="00B136BB">
        <w:rPr>
          <w:rFonts w:ascii="Times New Roman" w:eastAsia="Times New Roman" w:hAnsi="Times New Roman" w:cs="Times New Roman"/>
          <w:sz w:val="22"/>
          <w:szCs w:val="22"/>
        </w:rPr>
        <w:t xml:space="preserve">apertura </w:t>
      </w:r>
      <w:r>
        <w:rPr>
          <w:rFonts w:ascii="Times New Roman" w:eastAsia="Times New Roman" w:hAnsi="Times New Roman" w:cs="Times New Roman"/>
          <w:sz w:val="22"/>
          <w:szCs w:val="22"/>
        </w:rPr>
        <w:t xml:space="preserve">del IVA asociado al consumo interno por </w:t>
      </w:r>
      <w:r w:rsidRPr="00B136BB">
        <w:rPr>
          <w:rFonts w:ascii="Times New Roman" w:eastAsia="Times New Roman" w:hAnsi="Times New Roman" w:cs="Times New Roman"/>
          <w:sz w:val="22"/>
          <w:szCs w:val="22"/>
        </w:rPr>
        <w:t xml:space="preserve">actividad económica publicada por la SAT, da cuenta </w:t>
      </w:r>
      <w:r w:rsidRPr="00BF1A3E">
        <w:rPr>
          <w:rFonts w:ascii="Times New Roman" w:eastAsia="Times New Roman" w:hAnsi="Times New Roman" w:cs="Times New Roman"/>
          <w:sz w:val="22"/>
          <w:szCs w:val="22"/>
        </w:rPr>
        <w:t>que el 8</w:t>
      </w:r>
      <w:r>
        <w:rPr>
          <w:rFonts w:ascii="Times New Roman" w:eastAsia="Times New Roman" w:hAnsi="Times New Roman" w:cs="Times New Roman"/>
          <w:sz w:val="22"/>
          <w:szCs w:val="22"/>
        </w:rPr>
        <w:t>3</w:t>
      </w:r>
      <w:r w:rsidRPr="00BF1A3E">
        <w:rPr>
          <w:rFonts w:ascii="Times New Roman" w:eastAsia="Times New Roman" w:hAnsi="Times New Roman" w:cs="Times New Roman"/>
          <w:sz w:val="22"/>
          <w:szCs w:val="22"/>
        </w:rPr>
        <w:t>.</w:t>
      </w:r>
      <w:r>
        <w:rPr>
          <w:rFonts w:ascii="Times New Roman" w:eastAsia="Times New Roman" w:hAnsi="Times New Roman" w:cs="Times New Roman"/>
          <w:sz w:val="22"/>
          <w:szCs w:val="22"/>
        </w:rPr>
        <w:t>7</w:t>
      </w:r>
      <w:r w:rsidRPr="00BF1A3E">
        <w:rPr>
          <w:rFonts w:ascii="Times New Roman" w:eastAsia="Times New Roman" w:hAnsi="Times New Roman" w:cs="Times New Roman"/>
          <w:sz w:val="22"/>
          <w:szCs w:val="22"/>
        </w:rPr>
        <w:t>% de la recaudación de</w:t>
      </w:r>
      <w:r w:rsidRPr="00B136BB">
        <w:rPr>
          <w:rFonts w:ascii="Times New Roman" w:eastAsia="Times New Roman" w:hAnsi="Times New Roman" w:cs="Times New Roman"/>
          <w:sz w:val="22"/>
          <w:szCs w:val="22"/>
        </w:rPr>
        <w:t xml:space="preserve"> este impuesto está explicada por 8 actividades económicas de 21 que tiene establecidas la SAT.</w:t>
      </w:r>
      <w:r w:rsidR="00070D4A">
        <w:rPr>
          <w:rFonts w:ascii="Times New Roman" w:eastAsia="Times New Roman" w:hAnsi="Times New Roman" w:cs="Times New Roman"/>
          <w:sz w:val="22"/>
          <w:szCs w:val="22"/>
        </w:rPr>
        <w:t xml:space="preserve"> </w:t>
      </w:r>
      <w:r w:rsidRPr="00BF1A3E">
        <w:rPr>
          <w:rFonts w:ascii="Times New Roman" w:eastAsia="Times New Roman" w:hAnsi="Times New Roman" w:cs="Times New Roman"/>
          <w:sz w:val="22"/>
          <w:szCs w:val="22"/>
        </w:rPr>
        <w:t xml:space="preserve">Sobresale que </w:t>
      </w:r>
      <w:r>
        <w:rPr>
          <w:rFonts w:ascii="Times New Roman" w:eastAsia="Times New Roman" w:hAnsi="Times New Roman" w:cs="Times New Roman"/>
          <w:sz w:val="22"/>
          <w:szCs w:val="22"/>
        </w:rPr>
        <w:t xml:space="preserve">de estas 8 actividades las que más aportan a la recaudación son: </w:t>
      </w:r>
      <w:r w:rsidRPr="00BF1A3E">
        <w:rPr>
          <w:rFonts w:ascii="Times New Roman" w:eastAsia="Times New Roman" w:hAnsi="Times New Roman" w:cs="Times New Roman"/>
          <w:sz w:val="22"/>
          <w:szCs w:val="22"/>
        </w:rPr>
        <w:t xml:space="preserve">la actividad de </w:t>
      </w:r>
      <w:r>
        <w:rPr>
          <w:rFonts w:ascii="Times New Roman" w:eastAsia="Times New Roman" w:hAnsi="Times New Roman" w:cs="Times New Roman"/>
          <w:sz w:val="22"/>
          <w:szCs w:val="22"/>
        </w:rPr>
        <w:t>C</w:t>
      </w:r>
      <w:r w:rsidRPr="00BF1A3E">
        <w:rPr>
          <w:rFonts w:ascii="Times New Roman" w:eastAsia="Times New Roman" w:hAnsi="Times New Roman" w:cs="Times New Roman"/>
          <w:sz w:val="22"/>
          <w:szCs w:val="22"/>
        </w:rPr>
        <w:t>omercio al por mayor y al por menor</w:t>
      </w:r>
      <w:r>
        <w:rPr>
          <w:rFonts w:ascii="Times New Roman" w:eastAsia="Times New Roman" w:hAnsi="Times New Roman" w:cs="Times New Roman"/>
          <w:sz w:val="22"/>
          <w:szCs w:val="22"/>
        </w:rPr>
        <w:t xml:space="preserve"> (23.1%)</w:t>
      </w:r>
      <w:r w:rsidRPr="00BF1A3E">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Actividades financieras y de seguros (14.7%); </w:t>
      </w:r>
      <w:r w:rsidR="00070D4A">
        <w:rPr>
          <w:rFonts w:ascii="Times New Roman" w:eastAsia="Times New Roman" w:hAnsi="Times New Roman" w:cs="Times New Roman"/>
          <w:sz w:val="22"/>
          <w:szCs w:val="22"/>
        </w:rPr>
        <w:t>I</w:t>
      </w:r>
      <w:r>
        <w:rPr>
          <w:rFonts w:ascii="Times New Roman" w:eastAsia="Times New Roman" w:hAnsi="Times New Roman" w:cs="Times New Roman"/>
          <w:sz w:val="22"/>
          <w:szCs w:val="22"/>
        </w:rPr>
        <w:t xml:space="preserve">ndustrias manufactureras (13.0%) y las </w:t>
      </w:r>
      <w:r w:rsidR="00070D4A">
        <w:rPr>
          <w:rFonts w:ascii="Times New Roman" w:eastAsia="Times New Roman" w:hAnsi="Times New Roman" w:cs="Times New Roman"/>
          <w:sz w:val="22"/>
          <w:szCs w:val="22"/>
        </w:rPr>
        <w:t>A</w:t>
      </w:r>
      <w:r>
        <w:rPr>
          <w:rFonts w:ascii="Times New Roman" w:eastAsia="Times New Roman" w:hAnsi="Times New Roman" w:cs="Times New Roman"/>
          <w:sz w:val="22"/>
          <w:szCs w:val="22"/>
        </w:rPr>
        <w:t>ctividades de servicios administrativos y de apoyo (10.9%).</w:t>
      </w:r>
    </w:p>
    <w:p w14:paraId="2791241B" w14:textId="77777777" w:rsidR="006710E8" w:rsidRDefault="006710E8" w:rsidP="000656CC">
      <w:pPr>
        <w:contextualSpacing/>
        <w:jc w:val="both"/>
        <w:rPr>
          <w:rFonts w:ascii="Times New Roman" w:eastAsia="Times New Roman" w:hAnsi="Times New Roman" w:cs="Times New Roman"/>
          <w:sz w:val="22"/>
          <w:szCs w:val="22"/>
        </w:rPr>
      </w:pPr>
    </w:p>
    <w:p w14:paraId="0622F30F" w14:textId="47C4CF79" w:rsidR="006710E8" w:rsidRDefault="006710E8" w:rsidP="000656CC">
      <w:pPr>
        <w:contextualSpacing/>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Es conveniente indicar que de estas actividades la que </w:t>
      </w:r>
      <w:r w:rsidR="00955ABE">
        <w:rPr>
          <w:rFonts w:ascii="Times New Roman" w:eastAsia="Times New Roman" w:hAnsi="Times New Roman" w:cs="Times New Roman"/>
          <w:sz w:val="22"/>
          <w:szCs w:val="22"/>
        </w:rPr>
        <w:t xml:space="preserve">más </w:t>
      </w:r>
      <w:r>
        <w:rPr>
          <w:rFonts w:ascii="Times New Roman" w:eastAsia="Times New Roman" w:hAnsi="Times New Roman" w:cs="Times New Roman"/>
          <w:sz w:val="22"/>
          <w:szCs w:val="22"/>
        </w:rPr>
        <w:t xml:space="preserve">aporta al IVA de consumo interno es la de Comercio al por mayor y al por menor (23.1%), conforme a su importancia destaca en esta actividad que </w:t>
      </w:r>
      <w:r w:rsidR="00955ABE">
        <w:rPr>
          <w:rFonts w:ascii="Times New Roman" w:eastAsia="Times New Roman" w:hAnsi="Times New Roman" w:cs="Times New Roman"/>
          <w:sz w:val="22"/>
          <w:szCs w:val="22"/>
        </w:rPr>
        <w:t xml:space="preserve">la </w:t>
      </w:r>
      <w:r w:rsidR="00A86988">
        <w:rPr>
          <w:rFonts w:ascii="Times New Roman" w:eastAsia="Times New Roman" w:hAnsi="Times New Roman" w:cs="Times New Roman"/>
          <w:sz w:val="22"/>
          <w:szCs w:val="22"/>
        </w:rPr>
        <w:t>recaudación</w:t>
      </w:r>
      <w:r w:rsidR="00955ABE">
        <w:rPr>
          <w:rFonts w:ascii="Times New Roman" w:eastAsia="Times New Roman" w:hAnsi="Times New Roman" w:cs="Times New Roman"/>
          <w:sz w:val="22"/>
          <w:szCs w:val="22"/>
        </w:rPr>
        <w:t xml:space="preserve"> por </w:t>
      </w:r>
      <w:r>
        <w:rPr>
          <w:rFonts w:ascii="Times New Roman" w:eastAsia="Times New Roman" w:hAnsi="Times New Roman" w:cs="Times New Roman"/>
          <w:sz w:val="22"/>
          <w:szCs w:val="22"/>
        </w:rPr>
        <w:t xml:space="preserve">la venta al por mayor de alimentos creció en 9.3%, </w:t>
      </w:r>
      <w:r w:rsidR="00955ABE">
        <w:rPr>
          <w:rFonts w:ascii="Times New Roman" w:eastAsia="Times New Roman" w:hAnsi="Times New Roman" w:cs="Times New Roman"/>
          <w:sz w:val="22"/>
          <w:szCs w:val="22"/>
        </w:rPr>
        <w:t xml:space="preserve">por </w:t>
      </w:r>
      <w:r>
        <w:rPr>
          <w:rFonts w:ascii="Times New Roman" w:eastAsia="Times New Roman" w:hAnsi="Times New Roman" w:cs="Times New Roman"/>
          <w:sz w:val="22"/>
          <w:szCs w:val="22"/>
        </w:rPr>
        <w:t xml:space="preserve">venta al por mayor a cambio de una retribución incrementó en 23.3%, </w:t>
      </w:r>
      <w:r w:rsidR="00955ABE">
        <w:rPr>
          <w:rFonts w:ascii="Times New Roman" w:eastAsia="Times New Roman" w:hAnsi="Times New Roman" w:cs="Times New Roman"/>
          <w:sz w:val="22"/>
          <w:szCs w:val="22"/>
        </w:rPr>
        <w:t xml:space="preserve">por </w:t>
      </w:r>
      <w:r>
        <w:rPr>
          <w:rFonts w:ascii="Times New Roman" w:eastAsia="Times New Roman" w:hAnsi="Times New Roman" w:cs="Times New Roman"/>
          <w:sz w:val="22"/>
          <w:szCs w:val="22"/>
        </w:rPr>
        <w:t xml:space="preserve">venta de vehículos automotores creció en 12.3% </w:t>
      </w:r>
      <w:r w:rsidR="00955ABE">
        <w:rPr>
          <w:rFonts w:ascii="Times New Roman" w:eastAsia="Times New Roman" w:hAnsi="Times New Roman" w:cs="Times New Roman"/>
          <w:sz w:val="22"/>
          <w:szCs w:val="22"/>
        </w:rPr>
        <w:t>(</w:t>
      </w:r>
      <w:r>
        <w:rPr>
          <w:rFonts w:ascii="Times New Roman" w:eastAsia="Times New Roman" w:hAnsi="Times New Roman" w:cs="Times New Roman"/>
          <w:sz w:val="22"/>
          <w:szCs w:val="22"/>
        </w:rPr>
        <w:t>pero su aporte fue del 8.3%</w:t>
      </w:r>
      <w:r w:rsidR="00955ABE">
        <w:rPr>
          <w:rFonts w:ascii="Times New Roman" w:eastAsia="Times New Roman" w:hAnsi="Times New Roman" w:cs="Times New Roman"/>
          <w:sz w:val="22"/>
          <w:szCs w:val="22"/>
        </w:rPr>
        <w:t>)</w:t>
      </w:r>
      <w:r>
        <w:rPr>
          <w:rFonts w:ascii="Times New Roman" w:eastAsia="Times New Roman" w:hAnsi="Times New Roman" w:cs="Times New Roman"/>
          <w:sz w:val="22"/>
          <w:szCs w:val="22"/>
        </w:rPr>
        <w:t>,</w:t>
      </w:r>
      <w:r w:rsidR="00955ABE">
        <w:rPr>
          <w:rFonts w:ascii="Times New Roman" w:eastAsia="Times New Roman" w:hAnsi="Times New Roman" w:cs="Times New Roman"/>
          <w:sz w:val="22"/>
          <w:szCs w:val="22"/>
        </w:rPr>
        <w:t xml:space="preserve"> por</w:t>
      </w:r>
      <w:r>
        <w:rPr>
          <w:rFonts w:ascii="Times New Roman" w:eastAsia="Times New Roman" w:hAnsi="Times New Roman" w:cs="Times New Roman"/>
          <w:sz w:val="22"/>
          <w:szCs w:val="22"/>
        </w:rPr>
        <w:t xml:space="preserve"> la venta al por mayor de combustibles sólidos, líquidos y gaseosos tuvo un crecimiento de 40.8%</w:t>
      </w:r>
      <w:r w:rsidR="00955ABE">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con participación del 5.4%.</w:t>
      </w:r>
    </w:p>
    <w:p w14:paraId="05D3325C" w14:textId="77777777" w:rsidR="006710E8" w:rsidRPr="00B136BB" w:rsidRDefault="006710E8" w:rsidP="006710E8">
      <w:pPr>
        <w:spacing w:line="276" w:lineRule="auto"/>
        <w:contextualSpacing/>
        <w:jc w:val="both"/>
        <w:rPr>
          <w:rFonts w:ascii="Times New Roman" w:eastAsia="Times New Roman" w:hAnsi="Times New Roman" w:cs="Times New Roman"/>
          <w:sz w:val="22"/>
          <w:szCs w:val="22"/>
        </w:rPr>
      </w:pPr>
      <w:r w:rsidRPr="00467E55">
        <w:rPr>
          <w:rFonts w:ascii="Times New Roman" w:eastAsia="Times New Roman" w:hAnsi="Times New Roman" w:cs="Times New Roman"/>
          <w:sz w:val="22"/>
          <w:szCs w:val="22"/>
        </w:rPr>
        <w:t xml:space="preserve">  </w:t>
      </w:r>
    </w:p>
    <w:p w14:paraId="123FB7D6" w14:textId="4A4B1D15" w:rsidR="006710E8" w:rsidRPr="00DA2155" w:rsidRDefault="00DA2155" w:rsidP="00DA2AB6">
      <w:pPr>
        <w:pStyle w:val="Descripcin"/>
        <w:keepNext/>
        <w:spacing w:after="0"/>
        <w:jc w:val="center"/>
        <w:rPr>
          <w:sz w:val="22"/>
          <w:szCs w:val="22"/>
        </w:rPr>
      </w:pPr>
      <w:bookmarkStart w:id="28" w:name="_Toc158103851"/>
      <w:r w:rsidRPr="00DA2155">
        <w:rPr>
          <w:sz w:val="22"/>
          <w:szCs w:val="22"/>
        </w:rPr>
        <w:lastRenderedPageBreak/>
        <w:t xml:space="preserve">Gráfico </w:t>
      </w:r>
      <w:r w:rsidRPr="00DA2155">
        <w:rPr>
          <w:sz w:val="22"/>
          <w:szCs w:val="22"/>
        </w:rPr>
        <w:fldChar w:fldCharType="begin"/>
      </w:r>
      <w:r w:rsidRPr="00DA2155">
        <w:rPr>
          <w:sz w:val="22"/>
          <w:szCs w:val="22"/>
        </w:rPr>
        <w:instrText xml:space="preserve"> SEQ Gráfico \* ARABIC </w:instrText>
      </w:r>
      <w:r w:rsidRPr="00DA2155">
        <w:rPr>
          <w:sz w:val="22"/>
          <w:szCs w:val="22"/>
        </w:rPr>
        <w:fldChar w:fldCharType="separate"/>
      </w:r>
      <w:r w:rsidR="00C015DC">
        <w:rPr>
          <w:noProof/>
          <w:sz w:val="22"/>
          <w:szCs w:val="22"/>
        </w:rPr>
        <w:t>6</w:t>
      </w:r>
      <w:r w:rsidRPr="00DA2155">
        <w:rPr>
          <w:sz w:val="22"/>
          <w:szCs w:val="22"/>
        </w:rPr>
        <w:fldChar w:fldCharType="end"/>
      </w:r>
      <w:r w:rsidRPr="00DA2155">
        <w:rPr>
          <w:sz w:val="22"/>
          <w:szCs w:val="22"/>
        </w:rPr>
        <w:t>.</w:t>
      </w:r>
      <w:r>
        <w:rPr>
          <w:sz w:val="22"/>
          <w:szCs w:val="22"/>
        </w:rPr>
        <w:t xml:space="preserve">  </w:t>
      </w:r>
      <w:r w:rsidR="006710E8">
        <w:rPr>
          <w:rFonts w:eastAsia="Times New Roman" w:cs="Times New Roman"/>
          <w:bCs/>
          <w:sz w:val="22"/>
          <w:szCs w:val="22"/>
        </w:rPr>
        <w:t xml:space="preserve">Variación interanual acumulada 2023 – 2022 de </w:t>
      </w:r>
      <w:r w:rsidR="00AF009E">
        <w:rPr>
          <w:rFonts w:eastAsia="Times New Roman" w:cs="Times New Roman"/>
          <w:bCs/>
          <w:sz w:val="22"/>
          <w:szCs w:val="22"/>
        </w:rPr>
        <w:t>la recaudación</w:t>
      </w:r>
      <w:r w:rsidR="00B24EE4">
        <w:rPr>
          <w:rFonts w:eastAsia="Times New Roman" w:cs="Times New Roman"/>
          <w:bCs/>
          <w:sz w:val="22"/>
          <w:szCs w:val="22"/>
        </w:rPr>
        <w:t xml:space="preserve"> del IVA asociado al consumo interno </w:t>
      </w:r>
      <w:r w:rsidR="00AF009E">
        <w:rPr>
          <w:rFonts w:eastAsia="Times New Roman" w:cs="Times New Roman"/>
          <w:bCs/>
          <w:sz w:val="22"/>
          <w:szCs w:val="22"/>
        </w:rPr>
        <w:t xml:space="preserve">por </w:t>
      </w:r>
      <w:r w:rsidR="006710E8">
        <w:rPr>
          <w:rFonts w:eastAsia="Times New Roman" w:cs="Times New Roman"/>
          <w:bCs/>
          <w:sz w:val="22"/>
          <w:szCs w:val="22"/>
        </w:rPr>
        <w:t>actividades económicas</w:t>
      </w:r>
      <w:bookmarkEnd w:id="28"/>
      <w:r w:rsidR="006710E8">
        <w:rPr>
          <w:rFonts w:eastAsia="Times New Roman" w:cs="Times New Roman"/>
          <w:bCs/>
          <w:sz w:val="22"/>
          <w:szCs w:val="22"/>
        </w:rPr>
        <w:t xml:space="preserve"> </w:t>
      </w:r>
    </w:p>
    <w:p w14:paraId="317C3A00" w14:textId="77777777" w:rsidR="006710E8" w:rsidRDefault="006710E8" w:rsidP="006710E8">
      <w:pPr>
        <w:spacing w:line="276" w:lineRule="auto"/>
        <w:contextualSpacing/>
        <w:jc w:val="center"/>
        <w:rPr>
          <w:rFonts w:ascii="Times New Roman" w:eastAsia="Times New Roman" w:hAnsi="Times New Roman" w:cs="Times New Roman"/>
          <w:b/>
          <w:bCs/>
          <w:sz w:val="22"/>
          <w:szCs w:val="22"/>
        </w:rPr>
      </w:pPr>
      <w:r>
        <w:rPr>
          <w:rFonts w:ascii="Times New Roman" w:eastAsia="Times New Roman" w:hAnsi="Times New Roman" w:cs="Times New Roman"/>
          <w:noProof/>
          <w:sz w:val="22"/>
          <w:szCs w:val="22"/>
        </w:rPr>
        <w:drawing>
          <wp:inline distT="0" distB="0" distL="0" distR="0" wp14:anchorId="0DF849A7" wp14:editId="1DC91EC3">
            <wp:extent cx="5486400" cy="2401294"/>
            <wp:effectExtent l="0" t="0" r="0" b="0"/>
            <wp:docPr id="960" name="Gráfico 9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5C9E0C1" w14:textId="77777777" w:rsidR="006710E8" w:rsidRDefault="006710E8" w:rsidP="006710E8">
      <w:pPr>
        <w:spacing w:line="276" w:lineRule="auto"/>
        <w:contextualSpacing/>
        <w:jc w:val="both"/>
        <w:rPr>
          <w:rFonts w:ascii="Times New Roman" w:eastAsia="Times New Roman" w:hAnsi="Times New Roman" w:cs="Times New Roman"/>
          <w:sz w:val="18"/>
          <w:szCs w:val="16"/>
          <w:lang w:val="es-MX"/>
        </w:rPr>
      </w:pPr>
      <w:r w:rsidRPr="004675C7">
        <w:rPr>
          <w:rFonts w:ascii="Times New Roman" w:eastAsia="Times New Roman" w:hAnsi="Times New Roman" w:cs="Times New Roman"/>
          <w:sz w:val="18"/>
          <w:szCs w:val="16"/>
          <w:lang w:val="es-MX"/>
        </w:rPr>
        <w:t>Fuente: Dirección de Análisis y Política Fiscal.</w:t>
      </w:r>
    </w:p>
    <w:p w14:paraId="2CBFFBEB" w14:textId="77777777" w:rsidR="006710E8" w:rsidRPr="0018123D" w:rsidRDefault="006710E8" w:rsidP="000656CC">
      <w:pPr>
        <w:contextualSpacing/>
        <w:jc w:val="center"/>
        <w:rPr>
          <w:rFonts w:ascii="Times New Roman" w:eastAsia="Times New Roman" w:hAnsi="Times New Roman" w:cs="Times New Roman"/>
          <w:sz w:val="22"/>
          <w:szCs w:val="22"/>
          <w:lang w:val="es-MX"/>
        </w:rPr>
      </w:pPr>
    </w:p>
    <w:p w14:paraId="5C303BDD" w14:textId="4263687F" w:rsidR="006710E8" w:rsidRDefault="006710E8" w:rsidP="000656CC">
      <w:pPr>
        <w:contextualSpacing/>
        <w:jc w:val="both"/>
        <w:rPr>
          <w:rFonts w:ascii="Times New Roman" w:eastAsia="Times New Roman" w:hAnsi="Times New Roman" w:cs="Times New Roman"/>
          <w:sz w:val="22"/>
          <w:szCs w:val="22"/>
        </w:rPr>
      </w:pPr>
      <w:r w:rsidRPr="00C934D3">
        <w:rPr>
          <w:rFonts w:ascii="Times New Roman" w:eastAsia="Times New Roman" w:hAnsi="Times New Roman" w:cs="Times New Roman"/>
          <w:sz w:val="22"/>
          <w:szCs w:val="22"/>
        </w:rPr>
        <w:t xml:space="preserve">El IVA asociado a las importaciones aumentó 4.9% respecto a la meta de presupuesto, lo que representa una diferencia positiva de Q1,139.1 millones, atribuido principalmente a las medidas implementadas por la SAT en la Intendencia de Aduanas, </w:t>
      </w:r>
      <w:r>
        <w:rPr>
          <w:rFonts w:ascii="Times New Roman" w:eastAsia="Times New Roman" w:hAnsi="Times New Roman" w:cs="Times New Roman"/>
          <w:sz w:val="22"/>
          <w:szCs w:val="22"/>
        </w:rPr>
        <w:t xml:space="preserve">en las que </w:t>
      </w:r>
      <w:r w:rsidR="000945C6">
        <w:rPr>
          <w:rFonts w:ascii="Times New Roman" w:eastAsia="Times New Roman" w:hAnsi="Times New Roman" w:cs="Times New Roman"/>
          <w:sz w:val="22"/>
          <w:szCs w:val="22"/>
        </w:rPr>
        <w:t xml:space="preserve">resalta </w:t>
      </w:r>
      <w:r>
        <w:rPr>
          <w:rFonts w:ascii="Times New Roman" w:eastAsia="Times New Roman" w:hAnsi="Times New Roman" w:cs="Times New Roman"/>
          <w:sz w:val="22"/>
          <w:szCs w:val="22"/>
        </w:rPr>
        <w:t>la visión de transformación digital mediante la eliminación de la presentación del papel en el despacho aduanero, reducción de los tiempos promedio de atención en las gestiones administrativas, el uso de herramientas analíticas de comportamientos aduaneros que permitieron robustecer los controles aduaneros a través de la analítica de datos dentro de paneles y tableros, y la introducción de tipologías de comportamiento tributario</w:t>
      </w:r>
      <w:r w:rsidR="00A2486F">
        <w:rPr>
          <w:rFonts w:ascii="Times New Roman" w:eastAsia="Times New Roman" w:hAnsi="Times New Roman" w:cs="Times New Roman"/>
          <w:sz w:val="22"/>
          <w:szCs w:val="22"/>
        </w:rPr>
        <w:t>,</w:t>
      </w:r>
      <w:r>
        <w:rPr>
          <w:rFonts w:ascii="Times New Roman" w:eastAsia="Times New Roman" w:hAnsi="Times New Roman" w:cs="Times New Roman"/>
          <w:sz w:val="22"/>
          <w:szCs w:val="22"/>
        </w:rPr>
        <w:t xml:space="preserve"> entre otras.</w:t>
      </w:r>
    </w:p>
    <w:p w14:paraId="417570CA" w14:textId="77777777" w:rsidR="006710E8" w:rsidRDefault="006710E8" w:rsidP="000656CC">
      <w:pPr>
        <w:contextualSpacing/>
        <w:jc w:val="both"/>
        <w:rPr>
          <w:rFonts w:ascii="Times New Roman" w:eastAsia="Times New Roman" w:hAnsi="Times New Roman" w:cs="Times New Roman"/>
          <w:sz w:val="22"/>
          <w:szCs w:val="22"/>
        </w:rPr>
      </w:pPr>
    </w:p>
    <w:p w14:paraId="0A8080E6" w14:textId="0CD09B9D" w:rsidR="006710E8" w:rsidRDefault="006710E8" w:rsidP="000656CC">
      <w:pPr>
        <w:contextualSpacing/>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Dentro de algunos aspectos que en </w:t>
      </w:r>
      <w:r w:rsidRPr="00CD0EF3">
        <w:rPr>
          <w:rFonts w:ascii="Times New Roman" w:eastAsia="Times New Roman" w:hAnsi="Times New Roman" w:cs="Times New Roman"/>
          <w:sz w:val="22"/>
          <w:szCs w:val="22"/>
        </w:rPr>
        <w:t xml:space="preserve">2023 </w:t>
      </w:r>
      <w:r>
        <w:rPr>
          <w:rFonts w:ascii="Times New Roman" w:eastAsia="Times New Roman" w:hAnsi="Times New Roman" w:cs="Times New Roman"/>
          <w:sz w:val="22"/>
          <w:szCs w:val="22"/>
        </w:rPr>
        <w:t xml:space="preserve">afectaron la recaudación tributaria del IVA asociado a las importaciones, incluidos los geopolíticos, destaca el impacto del precio de los combustibles, el cual se ve afectado por el </w:t>
      </w:r>
      <w:r w:rsidRPr="00CD0EF3">
        <w:rPr>
          <w:rFonts w:ascii="Times New Roman" w:eastAsia="Times New Roman" w:hAnsi="Times New Roman" w:cs="Times New Roman"/>
          <w:sz w:val="22"/>
          <w:szCs w:val="22"/>
        </w:rPr>
        <w:t xml:space="preserve">precio </w:t>
      </w:r>
      <w:r>
        <w:rPr>
          <w:rFonts w:ascii="Times New Roman" w:eastAsia="Times New Roman" w:hAnsi="Times New Roman" w:cs="Times New Roman"/>
          <w:sz w:val="22"/>
          <w:szCs w:val="22"/>
        </w:rPr>
        <w:t xml:space="preserve">internacional del petróleo.  En este año el precio </w:t>
      </w:r>
      <w:r w:rsidRPr="00CD0EF3">
        <w:rPr>
          <w:rFonts w:ascii="Times New Roman" w:eastAsia="Times New Roman" w:hAnsi="Times New Roman" w:cs="Times New Roman"/>
          <w:sz w:val="22"/>
          <w:szCs w:val="22"/>
        </w:rPr>
        <w:t xml:space="preserve">medio del barril de petróleo WTI fue de US$77.6 </w:t>
      </w:r>
      <w:r>
        <w:rPr>
          <w:rFonts w:ascii="Times New Roman" w:eastAsia="Times New Roman" w:hAnsi="Times New Roman" w:cs="Times New Roman"/>
          <w:sz w:val="22"/>
          <w:szCs w:val="22"/>
        </w:rPr>
        <w:t>por barril</w:t>
      </w:r>
      <w:r w:rsidRPr="00CD0EF3">
        <w:rPr>
          <w:rFonts w:ascii="Times New Roman" w:eastAsia="Times New Roman" w:hAnsi="Times New Roman" w:cs="Times New Roman"/>
          <w:sz w:val="22"/>
          <w:szCs w:val="22"/>
        </w:rPr>
        <w:t>, menor que el observado en 2022</w:t>
      </w:r>
      <w:r>
        <w:rPr>
          <w:rFonts w:ascii="Times New Roman" w:eastAsia="Times New Roman" w:hAnsi="Times New Roman" w:cs="Times New Roman"/>
          <w:sz w:val="22"/>
          <w:szCs w:val="22"/>
        </w:rPr>
        <w:t xml:space="preserve"> (US$94.2 por barril)</w:t>
      </w:r>
      <w:r w:rsidRPr="00CD0EF3">
        <w:rPr>
          <w:rFonts w:ascii="Times New Roman" w:eastAsia="Times New Roman" w:hAnsi="Times New Roman" w:cs="Times New Roman"/>
          <w:sz w:val="22"/>
          <w:szCs w:val="22"/>
        </w:rPr>
        <w:t xml:space="preserve">, según información de la U.S. Energy </w:t>
      </w:r>
      <w:proofErr w:type="spellStart"/>
      <w:r w:rsidRPr="00CD0EF3">
        <w:rPr>
          <w:rFonts w:ascii="Times New Roman" w:eastAsia="Times New Roman" w:hAnsi="Times New Roman" w:cs="Times New Roman"/>
          <w:sz w:val="22"/>
          <w:szCs w:val="22"/>
        </w:rPr>
        <w:t>Information</w:t>
      </w:r>
      <w:proofErr w:type="spellEnd"/>
      <w:r w:rsidRPr="00CD0EF3">
        <w:rPr>
          <w:rFonts w:ascii="Times New Roman" w:eastAsia="Times New Roman" w:hAnsi="Times New Roman" w:cs="Times New Roman"/>
          <w:sz w:val="22"/>
          <w:szCs w:val="22"/>
        </w:rPr>
        <w:t xml:space="preserve"> </w:t>
      </w:r>
      <w:proofErr w:type="spellStart"/>
      <w:r w:rsidRPr="00CD0EF3">
        <w:rPr>
          <w:rFonts w:ascii="Times New Roman" w:eastAsia="Times New Roman" w:hAnsi="Times New Roman" w:cs="Times New Roman"/>
          <w:sz w:val="22"/>
          <w:szCs w:val="22"/>
        </w:rPr>
        <w:t>Administration</w:t>
      </w:r>
      <w:proofErr w:type="spellEnd"/>
      <w:r w:rsidRPr="00CD0EF3">
        <w:rPr>
          <w:rFonts w:ascii="Times New Roman" w:eastAsia="Times New Roman" w:hAnsi="Times New Roman" w:cs="Times New Roman"/>
          <w:sz w:val="22"/>
          <w:szCs w:val="22"/>
        </w:rPr>
        <w:t>.</w:t>
      </w:r>
    </w:p>
    <w:p w14:paraId="39EE9414" w14:textId="77777777" w:rsidR="00DA2AB6" w:rsidRPr="00DA2155" w:rsidRDefault="00DA2AB6" w:rsidP="000656CC">
      <w:pPr>
        <w:contextualSpacing/>
        <w:jc w:val="both"/>
        <w:rPr>
          <w:rFonts w:ascii="Times New Roman" w:eastAsia="Times New Roman" w:hAnsi="Times New Roman" w:cs="Times New Roman"/>
          <w:sz w:val="22"/>
          <w:szCs w:val="22"/>
        </w:rPr>
      </w:pPr>
    </w:p>
    <w:p w14:paraId="7EDDA961" w14:textId="45955BC6" w:rsidR="006710E8" w:rsidRPr="00DA2155" w:rsidRDefault="00DA2155" w:rsidP="00DA2155">
      <w:pPr>
        <w:pStyle w:val="Descripcin"/>
        <w:keepNext/>
        <w:spacing w:after="0"/>
        <w:jc w:val="center"/>
        <w:rPr>
          <w:sz w:val="22"/>
          <w:szCs w:val="22"/>
        </w:rPr>
      </w:pPr>
      <w:bookmarkStart w:id="29" w:name="_Toc125733201"/>
      <w:bookmarkStart w:id="30" w:name="_Toc158103852"/>
      <w:r w:rsidRPr="00DA2155">
        <w:rPr>
          <w:sz w:val="22"/>
          <w:szCs w:val="22"/>
        </w:rPr>
        <w:t xml:space="preserve">Gráfico </w:t>
      </w:r>
      <w:r w:rsidRPr="00DA2155">
        <w:rPr>
          <w:sz w:val="22"/>
          <w:szCs w:val="22"/>
        </w:rPr>
        <w:fldChar w:fldCharType="begin"/>
      </w:r>
      <w:r w:rsidRPr="00DA2155">
        <w:rPr>
          <w:sz w:val="22"/>
          <w:szCs w:val="22"/>
        </w:rPr>
        <w:instrText xml:space="preserve"> SEQ Gráfico \* ARABIC </w:instrText>
      </w:r>
      <w:r w:rsidRPr="00DA2155">
        <w:rPr>
          <w:sz w:val="22"/>
          <w:szCs w:val="22"/>
        </w:rPr>
        <w:fldChar w:fldCharType="separate"/>
      </w:r>
      <w:r w:rsidR="00C015DC">
        <w:rPr>
          <w:noProof/>
          <w:sz w:val="22"/>
          <w:szCs w:val="22"/>
        </w:rPr>
        <w:t>7</w:t>
      </w:r>
      <w:r w:rsidRPr="00DA2155">
        <w:rPr>
          <w:sz w:val="22"/>
          <w:szCs w:val="22"/>
        </w:rPr>
        <w:fldChar w:fldCharType="end"/>
      </w:r>
      <w:r>
        <w:rPr>
          <w:sz w:val="22"/>
          <w:szCs w:val="22"/>
        </w:rPr>
        <w:t xml:space="preserve">.  </w:t>
      </w:r>
      <w:r w:rsidR="006710E8" w:rsidRPr="002B2FCB">
        <w:rPr>
          <w:rFonts w:eastAsia="Times New Roman" w:cs="Times New Roman"/>
          <w:bCs/>
          <w:sz w:val="22"/>
          <w:szCs w:val="22"/>
        </w:rPr>
        <w:t>Precio del Petróleo WTI</w:t>
      </w:r>
      <w:bookmarkEnd w:id="29"/>
      <w:bookmarkEnd w:id="30"/>
    </w:p>
    <w:p w14:paraId="18B7E66D" w14:textId="77777777" w:rsidR="006710E8" w:rsidRPr="002B2FCB" w:rsidRDefault="006710E8" w:rsidP="006710E8">
      <w:pPr>
        <w:spacing w:line="276" w:lineRule="auto"/>
        <w:contextualSpacing/>
        <w:jc w:val="center"/>
        <w:rPr>
          <w:rFonts w:ascii="Times New Roman" w:eastAsia="Times New Roman" w:hAnsi="Times New Roman" w:cs="Times New Roman"/>
          <w:sz w:val="22"/>
          <w:szCs w:val="22"/>
        </w:rPr>
      </w:pPr>
      <w:r w:rsidRPr="002B2FCB">
        <w:rPr>
          <w:rFonts w:ascii="Times New Roman" w:eastAsia="Times New Roman" w:hAnsi="Times New Roman" w:cs="Times New Roman"/>
          <w:sz w:val="22"/>
          <w:szCs w:val="22"/>
        </w:rPr>
        <w:t>Dólares por barril</w:t>
      </w:r>
    </w:p>
    <w:p w14:paraId="620FA48F" w14:textId="77777777" w:rsidR="006710E8" w:rsidRPr="002B2FCB" w:rsidRDefault="006710E8" w:rsidP="006710E8">
      <w:pPr>
        <w:spacing w:line="276" w:lineRule="auto"/>
        <w:contextualSpacing/>
        <w:jc w:val="both"/>
        <w:rPr>
          <w:rFonts w:ascii="Times New Roman" w:eastAsia="Times New Roman" w:hAnsi="Times New Roman" w:cs="Times New Roman"/>
          <w:sz w:val="22"/>
          <w:szCs w:val="22"/>
        </w:rPr>
      </w:pPr>
      <w:r w:rsidRPr="002B2FCB">
        <w:rPr>
          <w:noProof/>
        </w:rPr>
        <w:drawing>
          <wp:inline distT="0" distB="0" distL="0" distR="0" wp14:anchorId="4ECEB963" wp14:editId="03AF2653">
            <wp:extent cx="5550011" cy="2258170"/>
            <wp:effectExtent l="0" t="0" r="0" b="8890"/>
            <wp:docPr id="961" name="Gráfico 961">
              <a:extLst xmlns:a="http://schemas.openxmlformats.org/drawingml/2006/main">
                <a:ext uri="{FF2B5EF4-FFF2-40B4-BE49-F238E27FC236}">
                  <a16:creationId xmlns:a16="http://schemas.microsoft.com/office/drawing/2014/main" id="{C5B7DEB5-1998-4FC4-B127-8057E271DF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D28EE4D" w14:textId="77777777" w:rsidR="006710E8" w:rsidRPr="002B2FCB" w:rsidRDefault="006710E8" w:rsidP="006710E8">
      <w:pPr>
        <w:spacing w:line="276" w:lineRule="auto"/>
        <w:contextualSpacing/>
        <w:jc w:val="both"/>
        <w:rPr>
          <w:rFonts w:ascii="Times New Roman" w:eastAsia="Times New Roman" w:hAnsi="Times New Roman" w:cs="Times New Roman"/>
          <w:sz w:val="18"/>
          <w:szCs w:val="18"/>
          <w:lang w:val="en-US"/>
        </w:rPr>
      </w:pPr>
      <w:r w:rsidRPr="002B2FCB">
        <w:rPr>
          <w:rFonts w:ascii="Times New Roman" w:eastAsia="Times New Roman" w:hAnsi="Times New Roman" w:cs="Times New Roman"/>
          <w:sz w:val="18"/>
          <w:szCs w:val="18"/>
          <w:lang w:val="en-US"/>
        </w:rPr>
        <w:t>Fuente: U.S. Energy Information Administration.</w:t>
      </w:r>
    </w:p>
    <w:p w14:paraId="28D36B79" w14:textId="2D861DDF" w:rsidR="006710E8" w:rsidRPr="0018123D" w:rsidRDefault="006710E8" w:rsidP="000656CC">
      <w:pPr>
        <w:contextualSpacing/>
        <w:jc w:val="both"/>
        <w:rPr>
          <w:rFonts w:ascii="Times New Roman" w:eastAsia="Times New Roman" w:hAnsi="Times New Roman" w:cs="Times New Roman"/>
          <w:sz w:val="22"/>
          <w:szCs w:val="22"/>
        </w:rPr>
      </w:pPr>
      <w:r w:rsidRPr="0018123D">
        <w:rPr>
          <w:rFonts w:ascii="Times New Roman" w:eastAsia="Times New Roman" w:hAnsi="Times New Roman" w:cs="Times New Roman"/>
          <w:sz w:val="22"/>
          <w:szCs w:val="22"/>
        </w:rPr>
        <w:lastRenderedPageBreak/>
        <w:t>Del análisis por actividad económica del IVA asociado a las importaciones, el 63.6% de su recaudación está</w:t>
      </w:r>
      <w:r w:rsidR="006C7EF3">
        <w:rPr>
          <w:rFonts w:ascii="Times New Roman" w:eastAsia="Times New Roman" w:hAnsi="Times New Roman" w:cs="Times New Roman"/>
          <w:sz w:val="22"/>
          <w:szCs w:val="22"/>
        </w:rPr>
        <w:t xml:space="preserve"> dado</w:t>
      </w:r>
      <w:r w:rsidR="006C7EF3" w:rsidRPr="0018123D">
        <w:rPr>
          <w:rFonts w:ascii="Times New Roman" w:eastAsia="Times New Roman" w:hAnsi="Times New Roman" w:cs="Times New Roman"/>
          <w:sz w:val="22"/>
          <w:szCs w:val="22"/>
        </w:rPr>
        <w:t xml:space="preserve"> </w:t>
      </w:r>
      <w:r w:rsidRPr="0018123D">
        <w:rPr>
          <w:rFonts w:ascii="Times New Roman" w:eastAsia="Times New Roman" w:hAnsi="Times New Roman" w:cs="Times New Roman"/>
          <w:sz w:val="22"/>
          <w:szCs w:val="22"/>
        </w:rPr>
        <w:t>por el comercio al por mayor y al por menor, el cual creció 2.6%; dentro de esta actividad tiene relevancia que el 15.6% corresponde a la venta al por mayor de combustibles sólidos, líquidos y gaseosos</w:t>
      </w:r>
      <w:r w:rsidR="00605BAB">
        <w:rPr>
          <w:rFonts w:ascii="Times New Roman" w:eastAsia="Times New Roman" w:hAnsi="Times New Roman" w:cs="Times New Roman"/>
          <w:sz w:val="22"/>
          <w:szCs w:val="22"/>
        </w:rPr>
        <w:t>,</w:t>
      </w:r>
      <w:r w:rsidRPr="0018123D">
        <w:rPr>
          <w:rFonts w:ascii="Times New Roman" w:eastAsia="Times New Roman" w:hAnsi="Times New Roman" w:cs="Times New Roman"/>
          <w:sz w:val="22"/>
          <w:szCs w:val="22"/>
        </w:rPr>
        <w:t xml:space="preserve"> que decreció 7.8%</w:t>
      </w:r>
      <w:r w:rsidR="00605BAB">
        <w:rPr>
          <w:rFonts w:ascii="Times New Roman" w:eastAsia="Times New Roman" w:hAnsi="Times New Roman" w:cs="Times New Roman"/>
          <w:sz w:val="22"/>
          <w:szCs w:val="22"/>
        </w:rPr>
        <w:t>;</w:t>
      </w:r>
      <w:r w:rsidRPr="0018123D">
        <w:rPr>
          <w:rFonts w:ascii="Times New Roman" w:eastAsia="Times New Roman" w:hAnsi="Times New Roman" w:cs="Times New Roman"/>
          <w:sz w:val="22"/>
          <w:szCs w:val="22"/>
        </w:rPr>
        <w:t xml:space="preserve"> </w:t>
      </w:r>
      <w:r w:rsidR="001973C9">
        <w:rPr>
          <w:rFonts w:ascii="Times New Roman" w:eastAsia="Times New Roman" w:hAnsi="Times New Roman" w:cs="Times New Roman"/>
          <w:sz w:val="22"/>
          <w:szCs w:val="22"/>
        </w:rPr>
        <w:t xml:space="preserve">por </w:t>
      </w:r>
      <w:r w:rsidRPr="0018123D">
        <w:rPr>
          <w:rFonts w:ascii="Times New Roman" w:eastAsia="Times New Roman" w:hAnsi="Times New Roman" w:cs="Times New Roman"/>
          <w:sz w:val="22"/>
          <w:szCs w:val="22"/>
        </w:rPr>
        <w:t xml:space="preserve">la venta al por mayor a cambio de una retribución que aporta </w:t>
      </w:r>
      <w:r w:rsidR="00605BAB">
        <w:rPr>
          <w:rFonts w:ascii="Times New Roman" w:eastAsia="Times New Roman" w:hAnsi="Times New Roman" w:cs="Times New Roman"/>
          <w:sz w:val="22"/>
          <w:szCs w:val="22"/>
        </w:rPr>
        <w:t>el</w:t>
      </w:r>
      <w:r w:rsidRPr="0018123D">
        <w:rPr>
          <w:rFonts w:ascii="Times New Roman" w:eastAsia="Times New Roman" w:hAnsi="Times New Roman" w:cs="Times New Roman"/>
          <w:sz w:val="22"/>
          <w:szCs w:val="22"/>
        </w:rPr>
        <w:t xml:space="preserve"> 14.0%</w:t>
      </w:r>
      <w:r w:rsidR="00605BAB">
        <w:rPr>
          <w:rFonts w:ascii="Times New Roman" w:eastAsia="Times New Roman" w:hAnsi="Times New Roman" w:cs="Times New Roman"/>
          <w:sz w:val="22"/>
          <w:szCs w:val="22"/>
        </w:rPr>
        <w:t>,</w:t>
      </w:r>
      <w:r w:rsidRPr="0018123D">
        <w:rPr>
          <w:rFonts w:ascii="Times New Roman" w:eastAsia="Times New Roman" w:hAnsi="Times New Roman" w:cs="Times New Roman"/>
          <w:sz w:val="22"/>
          <w:szCs w:val="22"/>
        </w:rPr>
        <w:t xml:space="preserve"> decreció en 4.1%.  Por otra parte, se observa un</w:t>
      </w:r>
      <w:r w:rsidR="00035ACE">
        <w:rPr>
          <w:rFonts w:ascii="Times New Roman" w:eastAsia="Times New Roman" w:hAnsi="Times New Roman" w:cs="Times New Roman"/>
          <w:sz w:val="22"/>
          <w:szCs w:val="22"/>
        </w:rPr>
        <w:t>a</w:t>
      </w:r>
      <w:r w:rsidRPr="0018123D">
        <w:rPr>
          <w:rFonts w:ascii="Times New Roman" w:eastAsia="Times New Roman" w:hAnsi="Times New Roman" w:cs="Times New Roman"/>
          <w:sz w:val="22"/>
          <w:szCs w:val="22"/>
        </w:rPr>
        <w:t xml:space="preserve"> </w:t>
      </w:r>
      <w:r w:rsidR="00035ACE">
        <w:rPr>
          <w:rFonts w:ascii="Times New Roman" w:eastAsia="Times New Roman" w:hAnsi="Times New Roman" w:cs="Times New Roman"/>
          <w:sz w:val="22"/>
          <w:szCs w:val="22"/>
        </w:rPr>
        <w:t>caída</w:t>
      </w:r>
      <w:r w:rsidR="006C7EF3">
        <w:rPr>
          <w:rFonts w:ascii="Times New Roman" w:eastAsia="Times New Roman" w:hAnsi="Times New Roman" w:cs="Times New Roman"/>
          <w:sz w:val="22"/>
          <w:szCs w:val="22"/>
        </w:rPr>
        <w:t xml:space="preserve"> del</w:t>
      </w:r>
      <w:r w:rsidR="006C7EF3" w:rsidRPr="0018123D">
        <w:rPr>
          <w:rFonts w:ascii="Times New Roman" w:eastAsia="Times New Roman" w:hAnsi="Times New Roman" w:cs="Times New Roman"/>
          <w:sz w:val="22"/>
          <w:szCs w:val="22"/>
        </w:rPr>
        <w:t xml:space="preserve"> </w:t>
      </w:r>
      <w:r w:rsidRPr="0018123D">
        <w:rPr>
          <w:rFonts w:ascii="Times New Roman" w:eastAsia="Times New Roman" w:hAnsi="Times New Roman" w:cs="Times New Roman"/>
          <w:sz w:val="22"/>
          <w:szCs w:val="22"/>
        </w:rPr>
        <w:t xml:space="preserve">8.2% en la recaudación de las industrias manufactureras cuyo aporte </w:t>
      </w:r>
      <w:r w:rsidR="006C7EF3">
        <w:rPr>
          <w:rFonts w:ascii="Times New Roman" w:eastAsia="Times New Roman" w:hAnsi="Times New Roman" w:cs="Times New Roman"/>
          <w:sz w:val="22"/>
          <w:szCs w:val="22"/>
        </w:rPr>
        <w:t xml:space="preserve">fue </w:t>
      </w:r>
      <w:r w:rsidRPr="0018123D">
        <w:rPr>
          <w:rFonts w:ascii="Times New Roman" w:eastAsia="Times New Roman" w:hAnsi="Times New Roman" w:cs="Times New Roman"/>
          <w:sz w:val="22"/>
          <w:szCs w:val="22"/>
        </w:rPr>
        <w:t xml:space="preserve">del 26.2%, en este rubro tiene mayor importancia la elaboración de bebidas no alcohólicas, con una participación del 8.9%.  Mientras que, se observa que </w:t>
      </w:r>
      <w:r w:rsidR="001973C9">
        <w:rPr>
          <w:rFonts w:ascii="Times New Roman" w:eastAsia="Times New Roman" w:hAnsi="Times New Roman" w:cs="Times New Roman"/>
          <w:sz w:val="22"/>
          <w:szCs w:val="22"/>
        </w:rPr>
        <w:t xml:space="preserve">en </w:t>
      </w:r>
      <w:r w:rsidRPr="0018123D">
        <w:rPr>
          <w:rFonts w:ascii="Times New Roman" w:eastAsia="Times New Roman" w:hAnsi="Times New Roman" w:cs="Times New Roman"/>
          <w:sz w:val="22"/>
          <w:szCs w:val="22"/>
        </w:rPr>
        <w:t>la actividad de Información y Comunicaciones</w:t>
      </w:r>
      <w:r w:rsidR="001973C9">
        <w:rPr>
          <w:rFonts w:ascii="Times New Roman" w:eastAsia="Times New Roman" w:hAnsi="Times New Roman" w:cs="Times New Roman"/>
          <w:sz w:val="22"/>
          <w:szCs w:val="22"/>
        </w:rPr>
        <w:t xml:space="preserve"> la recaudación</w:t>
      </w:r>
      <w:r w:rsidRPr="0018123D">
        <w:rPr>
          <w:rFonts w:ascii="Times New Roman" w:eastAsia="Times New Roman" w:hAnsi="Times New Roman" w:cs="Times New Roman"/>
          <w:sz w:val="22"/>
          <w:szCs w:val="22"/>
        </w:rPr>
        <w:t xml:space="preserve"> decreció 4.8%</w:t>
      </w:r>
      <w:r w:rsidR="00C10CE9">
        <w:rPr>
          <w:rFonts w:ascii="Times New Roman" w:eastAsia="Times New Roman" w:hAnsi="Times New Roman" w:cs="Times New Roman"/>
          <w:sz w:val="22"/>
          <w:szCs w:val="22"/>
        </w:rPr>
        <w:t>,</w:t>
      </w:r>
      <w:r w:rsidRPr="0018123D">
        <w:rPr>
          <w:rFonts w:ascii="Times New Roman" w:eastAsia="Times New Roman" w:hAnsi="Times New Roman" w:cs="Times New Roman"/>
          <w:sz w:val="22"/>
          <w:szCs w:val="22"/>
        </w:rPr>
        <w:t xml:space="preserve"> </w:t>
      </w:r>
      <w:r w:rsidR="00C10CE9">
        <w:rPr>
          <w:rFonts w:ascii="Times New Roman" w:eastAsia="Times New Roman" w:hAnsi="Times New Roman" w:cs="Times New Roman"/>
          <w:sz w:val="22"/>
          <w:szCs w:val="22"/>
        </w:rPr>
        <w:t xml:space="preserve">con </w:t>
      </w:r>
      <w:r w:rsidRPr="0018123D">
        <w:rPr>
          <w:rFonts w:ascii="Times New Roman" w:eastAsia="Times New Roman" w:hAnsi="Times New Roman" w:cs="Times New Roman"/>
          <w:sz w:val="22"/>
          <w:szCs w:val="22"/>
        </w:rPr>
        <w:t>participación</w:t>
      </w:r>
      <w:r w:rsidR="006C7EF3">
        <w:rPr>
          <w:rFonts w:ascii="Times New Roman" w:eastAsia="Times New Roman" w:hAnsi="Times New Roman" w:cs="Times New Roman"/>
          <w:sz w:val="22"/>
          <w:szCs w:val="22"/>
        </w:rPr>
        <w:t xml:space="preserve"> </w:t>
      </w:r>
      <w:r w:rsidRPr="0018123D">
        <w:rPr>
          <w:rFonts w:ascii="Times New Roman" w:eastAsia="Times New Roman" w:hAnsi="Times New Roman" w:cs="Times New Roman"/>
          <w:sz w:val="22"/>
          <w:szCs w:val="22"/>
        </w:rPr>
        <w:t>del 1.9%.</w:t>
      </w:r>
    </w:p>
    <w:p w14:paraId="51CEB8A1" w14:textId="77777777" w:rsidR="006710E8" w:rsidRPr="0018123D" w:rsidRDefault="006710E8" w:rsidP="000656CC">
      <w:pPr>
        <w:contextualSpacing/>
        <w:jc w:val="both"/>
        <w:rPr>
          <w:rFonts w:ascii="Times New Roman" w:eastAsia="Times New Roman" w:hAnsi="Times New Roman" w:cs="Times New Roman"/>
          <w:sz w:val="22"/>
          <w:szCs w:val="22"/>
        </w:rPr>
      </w:pPr>
      <w:r w:rsidRPr="0018123D">
        <w:rPr>
          <w:rFonts w:ascii="Times New Roman" w:eastAsia="Times New Roman" w:hAnsi="Times New Roman" w:cs="Times New Roman"/>
          <w:sz w:val="22"/>
          <w:szCs w:val="22"/>
        </w:rPr>
        <w:tab/>
      </w:r>
    </w:p>
    <w:p w14:paraId="028DD0C2" w14:textId="3D2F8EBC" w:rsidR="006710E8" w:rsidRDefault="006710E8" w:rsidP="000656CC">
      <w:pPr>
        <w:contextualSpacing/>
        <w:jc w:val="both"/>
        <w:rPr>
          <w:rFonts w:ascii="Times New Roman" w:eastAsia="Times New Roman" w:hAnsi="Times New Roman" w:cs="Times New Roman"/>
          <w:sz w:val="22"/>
          <w:szCs w:val="22"/>
        </w:rPr>
      </w:pPr>
      <w:r w:rsidRPr="0018123D">
        <w:rPr>
          <w:rFonts w:ascii="Times New Roman" w:eastAsia="Times New Roman" w:hAnsi="Times New Roman" w:cs="Times New Roman"/>
          <w:sz w:val="22"/>
          <w:szCs w:val="22"/>
        </w:rPr>
        <w:t>Es importante comentar que de las 21 actividades que constituyen el IVA de importaciones, se observan caídas interanuales en la venta al por mayor de combustibles sólidos, líquidos y gaseosos, y productos conexos, la venta al por mayor a cambio de una retribución o por contrato, la venta al por menor de combustibles para vehículos automotores en el orden de 7.8%, 4.1% y 0.02% respectivamente</w:t>
      </w:r>
      <w:r w:rsidR="00423D9F">
        <w:rPr>
          <w:rFonts w:ascii="Times New Roman" w:eastAsia="Times New Roman" w:hAnsi="Times New Roman" w:cs="Times New Roman"/>
          <w:sz w:val="22"/>
          <w:szCs w:val="22"/>
        </w:rPr>
        <w:t>;</w:t>
      </w:r>
      <w:r w:rsidRPr="0018123D">
        <w:rPr>
          <w:rFonts w:ascii="Times New Roman" w:eastAsia="Times New Roman" w:hAnsi="Times New Roman" w:cs="Times New Roman"/>
          <w:sz w:val="22"/>
          <w:szCs w:val="22"/>
        </w:rPr>
        <w:t xml:space="preserve"> en conjunto se dejó de recaudar Q316.5 millones </w:t>
      </w:r>
      <w:r>
        <w:rPr>
          <w:rFonts w:ascii="Times New Roman" w:eastAsia="Times New Roman" w:hAnsi="Times New Roman" w:cs="Times New Roman"/>
          <w:sz w:val="22"/>
          <w:szCs w:val="22"/>
        </w:rPr>
        <w:t>respecto a</w:t>
      </w:r>
      <w:r w:rsidRPr="0018123D">
        <w:rPr>
          <w:rFonts w:ascii="Times New Roman" w:eastAsia="Times New Roman" w:hAnsi="Times New Roman" w:cs="Times New Roman"/>
          <w:sz w:val="22"/>
          <w:szCs w:val="22"/>
        </w:rPr>
        <w:t xml:space="preserve"> lo reportado en 2022.  La </w:t>
      </w:r>
      <w:r w:rsidR="00423D9F">
        <w:rPr>
          <w:rFonts w:ascii="Times New Roman" w:eastAsia="Times New Roman" w:hAnsi="Times New Roman" w:cs="Times New Roman"/>
          <w:sz w:val="22"/>
          <w:szCs w:val="22"/>
        </w:rPr>
        <w:t xml:space="preserve">recaudación por </w:t>
      </w:r>
      <w:r w:rsidRPr="0018123D">
        <w:rPr>
          <w:rFonts w:ascii="Times New Roman" w:eastAsia="Times New Roman" w:hAnsi="Times New Roman" w:cs="Times New Roman"/>
          <w:sz w:val="22"/>
          <w:szCs w:val="22"/>
        </w:rPr>
        <w:t>venta de vehículos automotores y venta al por mayor de alimentos, bebidas y tabaco creci</w:t>
      </w:r>
      <w:r w:rsidR="00423D9F">
        <w:rPr>
          <w:rFonts w:ascii="Times New Roman" w:eastAsia="Times New Roman" w:hAnsi="Times New Roman" w:cs="Times New Roman"/>
          <w:sz w:val="22"/>
          <w:szCs w:val="22"/>
        </w:rPr>
        <w:t>ó</w:t>
      </w:r>
      <w:r w:rsidRPr="0018123D">
        <w:rPr>
          <w:rFonts w:ascii="Times New Roman" w:eastAsia="Times New Roman" w:hAnsi="Times New Roman" w:cs="Times New Roman"/>
          <w:sz w:val="22"/>
          <w:szCs w:val="22"/>
        </w:rPr>
        <w:t xml:space="preserve"> en 23.4% y 9.5%, es decir, se recaudó Q440.6 millones más en conjunto que lo observado en 2022.</w:t>
      </w:r>
    </w:p>
    <w:p w14:paraId="158E54E8" w14:textId="77777777" w:rsidR="006710E8" w:rsidRPr="0018123D" w:rsidRDefault="006710E8" w:rsidP="000656CC">
      <w:pPr>
        <w:contextualSpacing/>
        <w:jc w:val="both"/>
        <w:rPr>
          <w:rFonts w:ascii="Times New Roman" w:eastAsia="Times New Roman" w:hAnsi="Times New Roman" w:cs="Times New Roman"/>
          <w:sz w:val="22"/>
          <w:szCs w:val="22"/>
        </w:rPr>
      </w:pPr>
    </w:p>
    <w:p w14:paraId="3D58F029" w14:textId="77777777" w:rsidR="00DA2AB6" w:rsidRDefault="006710E8" w:rsidP="000656CC">
      <w:pPr>
        <w:contextualSpacing/>
        <w:jc w:val="both"/>
        <w:rPr>
          <w:rFonts w:ascii="Times New Roman" w:eastAsia="Times New Roman" w:hAnsi="Times New Roman" w:cs="Times New Roman"/>
          <w:sz w:val="22"/>
          <w:szCs w:val="22"/>
          <w:lang w:val="es-MX"/>
        </w:rPr>
      </w:pPr>
      <w:r w:rsidRPr="0018123D">
        <w:rPr>
          <w:rFonts w:ascii="Times New Roman" w:eastAsia="Times New Roman" w:hAnsi="Times New Roman" w:cs="Times New Roman"/>
          <w:sz w:val="22"/>
          <w:szCs w:val="22"/>
          <w:lang w:val="es-MX"/>
        </w:rPr>
        <w:t>Por aparte, en términos de productividad del Impuesto al Valor Agregado neto observado, sin descontar los ingresos provenientes por el no aprovisionamiento de crédito fiscal a los exportadores, muestra por tres años consecutivos, crecimientos mayores a los observados desde 2013 a 2020. Luego de acciones tales como recuperación de adeudos tributarios</w:t>
      </w:r>
      <w:r w:rsidR="00AC7AF4">
        <w:rPr>
          <w:rFonts w:ascii="Times New Roman" w:eastAsia="Times New Roman" w:hAnsi="Times New Roman" w:cs="Times New Roman"/>
          <w:sz w:val="22"/>
          <w:szCs w:val="22"/>
          <w:lang w:val="es-MX"/>
        </w:rPr>
        <w:t xml:space="preserve"> y</w:t>
      </w:r>
      <w:r w:rsidRPr="0018123D">
        <w:rPr>
          <w:rFonts w:ascii="Times New Roman" w:eastAsia="Times New Roman" w:hAnsi="Times New Roman" w:cs="Times New Roman"/>
          <w:sz w:val="22"/>
          <w:szCs w:val="22"/>
          <w:lang w:val="es-MX"/>
        </w:rPr>
        <w:t xml:space="preserve"> exoneraciones, </w:t>
      </w:r>
      <w:r w:rsidR="00AC7AF4">
        <w:rPr>
          <w:rFonts w:ascii="Times New Roman" w:eastAsia="Times New Roman" w:hAnsi="Times New Roman" w:cs="Times New Roman"/>
          <w:sz w:val="22"/>
          <w:szCs w:val="22"/>
          <w:lang w:val="es-MX"/>
        </w:rPr>
        <w:t xml:space="preserve">que constituyen </w:t>
      </w:r>
      <w:r w:rsidRPr="0018123D">
        <w:rPr>
          <w:rFonts w:ascii="Times New Roman" w:eastAsia="Times New Roman" w:hAnsi="Times New Roman" w:cs="Times New Roman"/>
          <w:sz w:val="22"/>
          <w:szCs w:val="22"/>
          <w:lang w:val="es-MX"/>
        </w:rPr>
        <w:t xml:space="preserve">esfuerzo de la SAT para aumentar la percepción de riesgo de los contribuyentes y la implementación de otros mecanismos como las mejoras del régimen de la factura electrónica en línea, </w:t>
      </w:r>
      <w:r w:rsidR="00AC7AF4">
        <w:rPr>
          <w:rFonts w:ascii="Times New Roman" w:eastAsia="Times New Roman" w:hAnsi="Times New Roman" w:cs="Times New Roman"/>
          <w:sz w:val="22"/>
          <w:szCs w:val="22"/>
          <w:lang w:val="es-MX"/>
        </w:rPr>
        <w:t xml:space="preserve">que </w:t>
      </w:r>
      <w:r w:rsidRPr="0018123D">
        <w:rPr>
          <w:rFonts w:ascii="Times New Roman" w:eastAsia="Times New Roman" w:hAnsi="Times New Roman" w:cs="Times New Roman"/>
          <w:sz w:val="22"/>
          <w:szCs w:val="22"/>
          <w:lang w:val="es-MX"/>
        </w:rPr>
        <w:t xml:space="preserve">permitieron el cambio en la tendencia de la productividad.  Entre el periodo 2013 – 2023 resalta que en 2020 se </w:t>
      </w:r>
      <w:r w:rsidR="00AC7AF4">
        <w:rPr>
          <w:rFonts w:ascii="Times New Roman" w:eastAsia="Times New Roman" w:hAnsi="Times New Roman" w:cs="Times New Roman"/>
          <w:sz w:val="22"/>
          <w:szCs w:val="22"/>
          <w:lang w:val="es-MX"/>
        </w:rPr>
        <w:t>observó</w:t>
      </w:r>
      <w:r w:rsidR="00AC7AF4" w:rsidRPr="0018123D">
        <w:rPr>
          <w:rFonts w:ascii="Times New Roman" w:eastAsia="Times New Roman" w:hAnsi="Times New Roman" w:cs="Times New Roman"/>
          <w:sz w:val="22"/>
          <w:szCs w:val="22"/>
          <w:lang w:val="es-MX"/>
        </w:rPr>
        <w:t xml:space="preserve"> </w:t>
      </w:r>
      <w:r w:rsidRPr="0018123D">
        <w:rPr>
          <w:rFonts w:ascii="Times New Roman" w:eastAsia="Times New Roman" w:hAnsi="Times New Roman" w:cs="Times New Roman"/>
          <w:sz w:val="22"/>
          <w:szCs w:val="22"/>
          <w:lang w:val="es-MX"/>
        </w:rPr>
        <w:t xml:space="preserve">la desaceleración más pronunciada </w:t>
      </w:r>
      <w:r w:rsidR="00AC7AF4">
        <w:rPr>
          <w:rFonts w:ascii="Times New Roman" w:eastAsia="Times New Roman" w:hAnsi="Times New Roman" w:cs="Times New Roman"/>
          <w:sz w:val="22"/>
          <w:szCs w:val="22"/>
          <w:lang w:val="es-MX"/>
        </w:rPr>
        <w:t>como</w:t>
      </w:r>
      <w:r w:rsidRPr="0018123D">
        <w:rPr>
          <w:rFonts w:ascii="Times New Roman" w:eastAsia="Times New Roman" w:hAnsi="Times New Roman" w:cs="Times New Roman"/>
          <w:sz w:val="22"/>
          <w:szCs w:val="22"/>
          <w:lang w:val="es-MX"/>
        </w:rPr>
        <w:t xml:space="preserve"> producto del estancamiento de la economía debido al confinamiento resultante de la pandemia;  en 2021 se refleja una mejora en donde la apertura gradual de la economía jugó un papel muy importante, y en 2022 la recuperación en la productividad de este impuesto fue aún más relevante, probablemente impulsado por el conflicto entre Rusia y Ucrania que impactó en el precio de los combustibles y en el aumento en el precio de las importaciones</w:t>
      </w:r>
      <w:r w:rsidRPr="001F6563">
        <w:rPr>
          <w:rFonts w:ascii="Times New Roman" w:eastAsia="Times New Roman" w:hAnsi="Times New Roman" w:cs="Times New Roman"/>
          <w:sz w:val="22"/>
          <w:szCs w:val="22"/>
          <w:lang w:val="es-MX"/>
        </w:rPr>
        <w:t xml:space="preserve">, tal como se muestra en los gráficos siguientes. </w:t>
      </w:r>
    </w:p>
    <w:p w14:paraId="2415D302" w14:textId="77777777" w:rsidR="00DA2AB6" w:rsidRDefault="00DA2AB6" w:rsidP="000656CC">
      <w:pPr>
        <w:contextualSpacing/>
        <w:jc w:val="both"/>
        <w:rPr>
          <w:rFonts w:ascii="Times New Roman" w:eastAsia="Times New Roman" w:hAnsi="Times New Roman" w:cs="Times New Roman"/>
          <w:sz w:val="22"/>
          <w:szCs w:val="22"/>
          <w:lang w:val="es-MX"/>
        </w:rPr>
      </w:pPr>
    </w:p>
    <w:p w14:paraId="105C0521" w14:textId="18021CC1" w:rsidR="006710E8" w:rsidRPr="00885B1F" w:rsidRDefault="006710E8" w:rsidP="000656CC">
      <w:pPr>
        <w:contextualSpacing/>
        <w:jc w:val="both"/>
        <w:rPr>
          <w:rFonts w:ascii="Times New Roman" w:eastAsia="Times New Roman" w:hAnsi="Times New Roman" w:cs="Times New Roman"/>
          <w:color w:val="FF0000"/>
          <w:sz w:val="22"/>
          <w:szCs w:val="22"/>
          <w:lang w:val="es-MX"/>
        </w:rPr>
      </w:pPr>
      <w:r w:rsidRPr="001F6563">
        <w:rPr>
          <w:rFonts w:ascii="Times New Roman" w:eastAsia="Times New Roman" w:hAnsi="Times New Roman" w:cs="Times New Roman"/>
          <w:sz w:val="22"/>
          <w:szCs w:val="22"/>
          <w:lang w:val="es-MX"/>
        </w:rPr>
        <w:t>En 2023 se observa una disminución con respecto al año anterior, y podría atribuirse a que la economía nacional está volviendo a su tendencia pre pandemia y está siendo afectada por la situación económica de los principales socios comerciales y los conflictos geopolíticos mundiales. En la apertura de sus dos componentes, “</w:t>
      </w:r>
      <w:r w:rsidR="00F56934">
        <w:rPr>
          <w:rFonts w:ascii="Times New Roman" w:eastAsia="Times New Roman" w:hAnsi="Times New Roman" w:cs="Times New Roman"/>
          <w:sz w:val="22"/>
          <w:szCs w:val="22"/>
          <w:lang w:val="es-MX"/>
        </w:rPr>
        <w:t xml:space="preserve">el </w:t>
      </w:r>
      <w:r w:rsidRPr="001F6563">
        <w:rPr>
          <w:rFonts w:ascii="Times New Roman" w:eastAsia="Times New Roman" w:hAnsi="Times New Roman" w:cs="Times New Roman"/>
          <w:sz w:val="22"/>
          <w:szCs w:val="22"/>
          <w:lang w:val="es-MX"/>
        </w:rPr>
        <w:t>IVA asociado al consumo interno y el IVA asociado a</w:t>
      </w:r>
      <w:r>
        <w:rPr>
          <w:rFonts w:ascii="Times New Roman" w:eastAsia="Times New Roman" w:hAnsi="Times New Roman" w:cs="Times New Roman"/>
          <w:sz w:val="22"/>
          <w:szCs w:val="22"/>
          <w:lang w:val="es-MX"/>
        </w:rPr>
        <w:t xml:space="preserve"> </w:t>
      </w:r>
      <w:r w:rsidRPr="001F6563">
        <w:rPr>
          <w:rFonts w:ascii="Times New Roman" w:eastAsia="Times New Roman" w:hAnsi="Times New Roman" w:cs="Times New Roman"/>
          <w:sz w:val="22"/>
          <w:szCs w:val="22"/>
          <w:lang w:val="es-MX"/>
        </w:rPr>
        <w:t>l</w:t>
      </w:r>
      <w:r>
        <w:rPr>
          <w:rFonts w:ascii="Times New Roman" w:eastAsia="Times New Roman" w:hAnsi="Times New Roman" w:cs="Times New Roman"/>
          <w:sz w:val="22"/>
          <w:szCs w:val="22"/>
          <w:lang w:val="es-MX"/>
        </w:rPr>
        <w:t>as importaciones</w:t>
      </w:r>
      <w:r w:rsidRPr="001F6563">
        <w:rPr>
          <w:rFonts w:ascii="Times New Roman" w:eastAsia="Times New Roman" w:hAnsi="Times New Roman" w:cs="Times New Roman"/>
          <w:sz w:val="22"/>
          <w:szCs w:val="22"/>
          <w:lang w:val="es-MX"/>
        </w:rPr>
        <w:t xml:space="preserve">”, se observa que el que tiene más </w:t>
      </w:r>
      <w:r w:rsidR="00AC7AF4">
        <w:rPr>
          <w:rFonts w:ascii="Times New Roman" w:eastAsia="Times New Roman" w:hAnsi="Times New Roman" w:cs="Times New Roman"/>
          <w:sz w:val="22"/>
          <w:szCs w:val="22"/>
          <w:lang w:val="es-MX"/>
        </w:rPr>
        <w:t>dinamismo</w:t>
      </w:r>
      <w:r w:rsidR="00AC7AF4" w:rsidRPr="001F6563">
        <w:rPr>
          <w:rFonts w:ascii="Times New Roman" w:eastAsia="Times New Roman" w:hAnsi="Times New Roman" w:cs="Times New Roman"/>
          <w:sz w:val="22"/>
          <w:szCs w:val="22"/>
          <w:lang w:val="es-MX"/>
        </w:rPr>
        <w:t xml:space="preserve"> </w:t>
      </w:r>
      <w:r w:rsidRPr="001F6563">
        <w:rPr>
          <w:rFonts w:ascii="Times New Roman" w:eastAsia="Times New Roman" w:hAnsi="Times New Roman" w:cs="Times New Roman"/>
          <w:sz w:val="22"/>
          <w:szCs w:val="22"/>
          <w:lang w:val="es-MX"/>
        </w:rPr>
        <w:t xml:space="preserve">es el asociado al comercio exterior, esto producto del alza en los precios internacionales del petróleo que, de conformidad a datos de la SAT, </w:t>
      </w:r>
      <w:r w:rsidR="00AC7AF4">
        <w:rPr>
          <w:rFonts w:ascii="Times New Roman" w:eastAsia="Times New Roman" w:hAnsi="Times New Roman" w:cs="Times New Roman"/>
          <w:sz w:val="22"/>
          <w:szCs w:val="22"/>
          <w:lang w:val="es-MX"/>
        </w:rPr>
        <w:t xml:space="preserve">mostró </w:t>
      </w:r>
      <w:r w:rsidRPr="001F6563">
        <w:rPr>
          <w:rFonts w:ascii="Times New Roman" w:eastAsia="Times New Roman" w:hAnsi="Times New Roman" w:cs="Times New Roman"/>
          <w:sz w:val="22"/>
          <w:szCs w:val="22"/>
          <w:lang w:val="es-MX"/>
        </w:rPr>
        <w:t xml:space="preserve">un alza en la recaudación tributaria por Q1,139.1 millones, </w:t>
      </w:r>
      <w:r w:rsidR="00AC7AF4">
        <w:rPr>
          <w:rFonts w:ascii="Times New Roman" w:eastAsia="Times New Roman" w:hAnsi="Times New Roman" w:cs="Times New Roman"/>
          <w:sz w:val="22"/>
          <w:szCs w:val="22"/>
          <w:lang w:val="es-MX"/>
        </w:rPr>
        <w:t>como consecuencia</w:t>
      </w:r>
      <w:r w:rsidR="00AC7AF4" w:rsidRPr="001F6563">
        <w:rPr>
          <w:rFonts w:ascii="Times New Roman" w:eastAsia="Times New Roman" w:hAnsi="Times New Roman" w:cs="Times New Roman"/>
          <w:sz w:val="22"/>
          <w:szCs w:val="22"/>
          <w:lang w:val="es-MX"/>
        </w:rPr>
        <w:t xml:space="preserve"> </w:t>
      </w:r>
      <w:r w:rsidRPr="001F6563">
        <w:rPr>
          <w:rFonts w:ascii="Times New Roman" w:eastAsia="Times New Roman" w:hAnsi="Times New Roman" w:cs="Times New Roman"/>
          <w:sz w:val="22"/>
          <w:szCs w:val="22"/>
          <w:lang w:val="es-MX"/>
        </w:rPr>
        <w:t>del cambio de valor en las importaciones.</w:t>
      </w:r>
    </w:p>
    <w:p w14:paraId="353D79FD" w14:textId="77777777" w:rsidR="006710E8" w:rsidRPr="00885B1F" w:rsidRDefault="006710E8" w:rsidP="000656CC">
      <w:pPr>
        <w:contextualSpacing/>
        <w:jc w:val="both"/>
        <w:rPr>
          <w:rFonts w:ascii="Times New Roman" w:eastAsia="Times New Roman" w:hAnsi="Times New Roman" w:cs="Times New Roman"/>
          <w:color w:val="FF0000"/>
          <w:sz w:val="22"/>
          <w:szCs w:val="22"/>
          <w:lang w:val="es-MX"/>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7"/>
        <w:gridCol w:w="4370"/>
      </w:tblGrid>
      <w:tr w:rsidR="006710E8" w:rsidRPr="00885B1F" w14:paraId="4536ADC2" w14:textId="77777777" w:rsidTr="00B341EB">
        <w:tc>
          <w:tcPr>
            <w:tcW w:w="4527" w:type="dxa"/>
          </w:tcPr>
          <w:p w14:paraId="127D9ED4" w14:textId="0D6ABDEF" w:rsidR="006710E8" w:rsidRPr="00DA2155" w:rsidRDefault="00DA2155" w:rsidP="00DA2155">
            <w:pPr>
              <w:pStyle w:val="Descripcin"/>
              <w:keepNext/>
              <w:spacing w:after="0"/>
              <w:jc w:val="center"/>
              <w:rPr>
                <w:sz w:val="22"/>
                <w:szCs w:val="22"/>
              </w:rPr>
            </w:pPr>
            <w:bookmarkStart w:id="31" w:name="_Toc125733202"/>
            <w:bookmarkStart w:id="32" w:name="_Toc158103853"/>
            <w:r w:rsidRPr="00DA2155">
              <w:rPr>
                <w:sz w:val="22"/>
                <w:szCs w:val="22"/>
              </w:rPr>
              <w:lastRenderedPageBreak/>
              <w:t xml:space="preserve">Gráfico </w:t>
            </w:r>
            <w:r w:rsidRPr="00DA2155">
              <w:rPr>
                <w:sz w:val="22"/>
                <w:szCs w:val="22"/>
              </w:rPr>
              <w:fldChar w:fldCharType="begin"/>
            </w:r>
            <w:r w:rsidRPr="00DA2155">
              <w:rPr>
                <w:sz w:val="22"/>
                <w:szCs w:val="22"/>
              </w:rPr>
              <w:instrText xml:space="preserve"> SEQ Gráfico \* ARABIC </w:instrText>
            </w:r>
            <w:r w:rsidRPr="00DA2155">
              <w:rPr>
                <w:sz w:val="22"/>
                <w:szCs w:val="22"/>
              </w:rPr>
              <w:fldChar w:fldCharType="separate"/>
            </w:r>
            <w:r w:rsidR="00C015DC">
              <w:rPr>
                <w:noProof/>
                <w:sz w:val="22"/>
                <w:szCs w:val="22"/>
              </w:rPr>
              <w:t>8</w:t>
            </w:r>
            <w:r w:rsidRPr="00DA2155">
              <w:rPr>
                <w:sz w:val="22"/>
                <w:szCs w:val="22"/>
              </w:rPr>
              <w:fldChar w:fldCharType="end"/>
            </w:r>
            <w:r>
              <w:rPr>
                <w:sz w:val="22"/>
                <w:szCs w:val="22"/>
              </w:rPr>
              <w:t xml:space="preserve">.  </w:t>
            </w:r>
            <w:r w:rsidR="006710E8" w:rsidRPr="0021592E">
              <w:rPr>
                <w:rFonts w:eastAsia="Times New Roman"/>
                <w:sz w:val="22"/>
                <w:szCs w:val="20"/>
                <w:lang w:val="es-MX"/>
              </w:rPr>
              <w:t>Productividad de cada año</w:t>
            </w:r>
            <w:bookmarkEnd w:id="31"/>
            <w:bookmarkEnd w:id="32"/>
          </w:p>
          <w:p w14:paraId="7842DC2A" w14:textId="77777777" w:rsidR="006710E8" w:rsidRPr="0021592E" w:rsidRDefault="006710E8" w:rsidP="00DA2155">
            <w:pPr>
              <w:contextualSpacing/>
              <w:jc w:val="center"/>
              <w:rPr>
                <w:rFonts w:ascii="Times New Roman" w:eastAsia="Times New Roman" w:hAnsi="Times New Roman"/>
                <w:b/>
                <w:sz w:val="22"/>
                <w:szCs w:val="20"/>
                <w:lang w:val="es-MX"/>
              </w:rPr>
            </w:pPr>
            <w:r w:rsidRPr="0021592E">
              <w:rPr>
                <w:rFonts w:ascii="Times New Roman" w:eastAsia="Times New Roman" w:hAnsi="Times New Roman"/>
                <w:b/>
                <w:sz w:val="22"/>
                <w:szCs w:val="20"/>
                <w:lang w:val="es-MX"/>
              </w:rPr>
              <w:t xml:space="preserve">IVA total </w:t>
            </w:r>
          </w:p>
          <w:p w14:paraId="38053D75" w14:textId="77777777" w:rsidR="006710E8" w:rsidRPr="00885B1F" w:rsidRDefault="006710E8" w:rsidP="00B341EB">
            <w:pPr>
              <w:spacing w:line="276" w:lineRule="auto"/>
              <w:contextualSpacing/>
              <w:jc w:val="center"/>
              <w:rPr>
                <w:rFonts w:ascii="Times New Roman" w:eastAsia="Times New Roman" w:hAnsi="Times New Roman"/>
                <w:color w:val="FF0000"/>
                <w:sz w:val="22"/>
                <w:szCs w:val="22"/>
                <w:lang w:val="es-MX"/>
              </w:rPr>
            </w:pPr>
            <w:r w:rsidRPr="0021592E">
              <w:rPr>
                <w:rFonts w:ascii="Times New Roman" w:eastAsia="Times New Roman" w:hAnsi="Times New Roman"/>
                <w:sz w:val="20"/>
                <w:szCs w:val="22"/>
                <w:lang w:val="es-MX"/>
              </w:rPr>
              <w:t>Porcentajes</w:t>
            </w:r>
          </w:p>
        </w:tc>
        <w:tc>
          <w:tcPr>
            <w:tcW w:w="4370" w:type="dxa"/>
          </w:tcPr>
          <w:p w14:paraId="3C137145" w14:textId="7206C2CB" w:rsidR="006710E8" w:rsidRPr="00DA2155" w:rsidRDefault="00DA2155" w:rsidP="00DA2155">
            <w:pPr>
              <w:pStyle w:val="Descripcin"/>
              <w:keepNext/>
              <w:spacing w:after="0"/>
              <w:jc w:val="center"/>
              <w:rPr>
                <w:sz w:val="22"/>
                <w:szCs w:val="22"/>
              </w:rPr>
            </w:pPr>
            <w:bookmarkStart w:id="33" w:name="_Toc125733203"/>
            <w:bookmarkStart w:id="34" w:name="_Toc158103854"/>
            <w:r w:rsidRPr="00DA2155">
              <w:rPr>
                <w:sz w:val="22"/>
                <w:szCs w:val="22"/>
              </w:rPr>
              <w:t xml:space="preserve">Gráfico </w:t>
            </w:r>
            <w:r w:rsidRPr="00DA2155">
              <w:rPr>
                <w:sz w:val="22"/>
                <w:szCs w:val="22"/>
              </w:rPr>
              <w:fldChar w:fldCharType="begin"/>
            </w:r>
            <w:r w:rsidRPr="00DA2155">
              <w:rPr>
                <w:sz w:val="22"/>
                <w:szCs w:val="22"/>
              </w:rPr>
              <w:instrText xml:space="preserve"> SEQ Gráfico \* ARABIC </w:instrText>
            </w:r>
            <w:r w:rsidRPr="00DA2155">
              <w:rPr>
                <w:sz w:val="22"/>
                <w:szCs w:val="22"/>
              </w:rPr>
              <w:fldChar w:fldCharType="separate"/>
            </w:r>
            <w:r w:rsidR="00C015DC">
              <w:rPr>
                <w:noProof/>
                <w:sz w:val="22"/>
                <w:szCs w:val="22"/>
              </w:rPr>
              <w:t>9</w:t>
            </w:r>
            <w:r w:rsidRPr="00DA2155">
              <w:rPr>
                <w:sz w:val="22"/>
                <w:szCs w:val="22"/>
              </w:rPr>
              <w:fldChar w:fldCharType="end"/>
            </w:r>
            <w:r>
              <w:rPr>
                <w:sz w:val="22"/>
                <w:szCs w:val="22"/>
              </w:rPr>
              <w:t xml:space="preserve">.  </w:t>
            </w:r>
            <w:r w:rsidR="006710E8" w:rsidRPr="001F6563">
              <w:rPr>
                <w:rFonts w:eastAsia="Times New Roman"/>
                <w:sz w:val="22"/>
                <w:szCs w:val="20"/>
                <w:lang w:val="es-MX"/>
              </w:rPr>
              <w:t>Productividad de cada año</w:t>
            </w:r>
            <w:bookmarkEnd w:id="33"/>
            <w:bookmarkEnd w:id="34"/>
          </w:p>
          <w:p w14:paraId="50ED2DA5" w14:textId="77777777" w:rsidR="006710E8" w:rsidRPr="001F6563" w:rsidRDefault="006710E8" w:rsidP="00DA2155">
            <w:pPr>
              <w:contextualSpacing/>
              <w:jc w:val="center"/>
              <w:rPr>
                <w:rFonts w:ascii="Times New Roman" w:eastAsia="Times New Roman" w:hAnsi="Times New Roman"/>
                <w:b/>
                <w:sz w:val="22"/>
                <w:szCs w:val="20"/>
                <w:lang w:val="es-MX"/>
              </w:rPr>
            </w:pPr>
            <w:r w:rsidRPr="001F6563">
              <w:rPr>
                <w:rFonts w:ascii="Times New Roman" w:eastAsia="Times New Roman" w:hAnsi="Times New Roman"/>
                <w:b/>
                <w:sz w:val="22"/>
                <w:szCs w:val="20"/>
                <w:lang w:val="es-MX"/>
              </w:rPr>
              <w:t>IVA importaciones e IVA doméstico</w:t>
            </w:r>
          </w:p>
          <w:p w14:paraId="35FCFB05" w14:textId="77777777" w:rsidR="006710E8" w:rsidRPr="00885B1F" w:rsidRDefault="006710E8" w:rsidP="00B341EB">
            <w:pPr>
              <w:spacing w:line="276" w:lineRule="auto"/>
              <w:contextualSpacing/>
              <w:jc w:val="center"/>
              <w:rPr>
                <w:rFonts w:ascii="Times New Roman" w:eastAsia="Times New Roman" w:hAnsi="Times New Roman"/>
                <w:color w:val="FF0000"/>
                <w:sz w:val="22"/>
                <w:szCs w:val="22"/>
                <w:lang w:val="es-MX"/>
              </w:rPr>
            </w:pPr>
            <w:r w:rsidRPr="001F6563">
              <w:rPr>
                <w:rFonts w:ascii="Times New Roman" w:eastAsia="Times New Roman" w:hAnsi="Times New Roman"/>
                <w:sz w:val="20"/>
                <w:szCs w:val="22"/>
                <w:lang w:val="es-MX"/>
              </w:rPr>
              <w:t>Porcentajes</w:t>
            </w:r>
          </w:p>
        </w:tc>
      </w:tr>
      <w:tr w:rsidR="006710E8" w:rsidRPr="00885B1F" w14:paraId="1F75EE17" w14:textId="77777777" w:rsidTr="00B341EB">
        <w:tblPrEx>
          <w:tblCellMar>
            <w:left w:w="70" w:type="dxa"/>
            <w:right w:w="70" w:type="dxa"/>
          </w:tblCellMar>
        </w:tblPrEx>
        <w:tc>
          <w:tcPr>
            <w:tcW w:w="4527" w:type="dxa"/>
          </w:tcPr>
          <w:p w14:paraId="5DB4B521" w14:textId="77777777" w:rsidR="006710E8" w:rsidRPr="00885B1F" w:rsidRDefault="006710E8" w:rsidP="00B341EB">
            <w:pPr>
              <w:spacing w:line="276" w:lineRule="auto"/>
              <w:contextualSpacing/>
              <w:jc w:val="both"/>
              <w:rPr>
                <w:rFonts w:ascii="Times New Roman" w:eastAsia="Times New Roman" w:hAnsi="Times New Roman"/>
                <w:color w:val="FF0000"/>
                <w:sz w:val="22"/>
                <w:szCs w:val="22"/>
                <w:lang w:val="es-MX"/>
              </w:rPr>
            </w:pPr>
            <w:r>
              <w:rPr>
                <w:noProof/>
              </w:rPr>
              <w:drawing>
                <wp:inline distT="0" distB="0" distL="0" distR="0" wp14:anchorId="1868A9DF" wp14:editId="5AE4F2BE">
                  <wp:extent cx="2801620" cy="2091193"/>
                  <wp:effectExtent l="0" t="0" r="0" b="4445"/>
                  <wp:docPr id="962" name="Gráfico 962">
                    <a:extLst xmlns:a="http://schemas.openxmlformats.org/drawingml/2006/main">
                      <a:ext uri="{FF2B5EF4-FFF2-40B4-BE49-F238E27FC236}">
                        <a16:creationId xmlns:a16="http://schemas.microsoft.com/office/drawing/2014/main" id="{3D7388FE-42C3-4B1D-95C4-D8E25AE5BE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4370" w:type="dxa"/>
          </w:tcPr>
          <w:p w14:paraId="7895A207" w14:textId="77777777" w:rsidR="006710E8" w:rsidRPr="00885B1F" w:rsidRDefault="006710E8" w:rsidP="00B341EB">
            <w:pPr>
              <w:spacing w:line="276" w:lineRule="auto"/>
              <w:contextualSpacing/>
              <w:jc w:val="both"/>
              <w:rPr>
                <w:rFonts w:ascii="Times New Roman" w:eastAsia="Times New Roman" w:hAnsi="Times New Roman"/>
                <w:color w:val="FF0000"/>
                <w:sz w:val="22"/>
                <w:szCs w:val="22"/>
                <w:lang w:val="es-MX"/>
              </w:rPr>
            </w:pPr>
            <w:r>
              <w:rPr>
                <w:noProof/>
              </w:rPr>
              <w:drawing>
                <wp:inline distT="0" distB="0" distL="0" distR="0" wp14:anchorId="58772D64" wp14:editId="242929C9">
                  <wp:extent cx="2686050" cy="2091055"/>
                  <wp:effectExtent l="0" t="0" r="0" b="4445"/>
                  <wp:docPr id="963" name="Gráfico 963">
                    <a:extLst xmlns:a="http://schemas.openxmlformats.org/drawingml/2006/main">
                      <a:ext uri="{FF2B5EF4-FFF2-40B4-BE49-F238E27FC236}">
                        <a16:creationId xmlns:a16="http://schemas.microsoft.com/office/drawing/2014/main" id="{140B3F13-0E5B-4D4A-AE51-527DD899F2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14:paraId="0A3BB277" w14:textId="77777777" w:rsidR="006710E8" w:rsidRPr="00885B1F" w:rsidRDefault="006710E8" w:rsidP="006710E8">
      <w:pPr>
        <w:spacing w:line="276" w:lineRule="auto"/>
        <w:contextualSpacing/>
        <w:jc w:val="both"/>
        <w:rPr>
          <w:rFonts w:ascii="Times New Roman" w:eastAsia="Times New Roman" w:hAnsi="Times New Roman" w:cs="Times New Roman"/>
          <w:color w:val="FF0000"/>
          <w:sz w:val="18"/>
          <w:szCs w:val="18"/>
          <w:lang w:val="es-MX"/>
        </w:rPr>
      </w:pPr>
      <w:r w:rsidRPr="0021592E">
        <w:rPr>
          <w:rFonts w:ascii="Times New Roman" w:eastAsia="Times New Roman" w:hAnsi="Times New Roman" w:cs="Times New Roman"/>
          <w:sz w:val="18"/>
          <w:szCs w:val="18"/>
          <w:lang w:val="es-MX"/>
        </w:rPr>
        <w:t>Fuente: Dirección de Análisis y Política Fiscal.</w:t>
      </w:r>
    </w:p>
    <w:p w14:paraId="64AA1317" w14:textId="77777777" w:rsidR="006710E8" w:rsidRPr="00885B1F" w:rsidRDefault="006710E8" w:rsidP="006710E8">
      <w:pPr>
        <w:spacing w:line="276" w:lineRule="auto"/>
        <w:contextualSpacing/>
        <w:jc w:val="both"/>
        <w:rPr>
          <w:rFonts w:ascii="Times New Roman" w:eastAsia="Times New Roman" w:hAnsi="Times New Roman" w:cs="Times New Roman"/>
          <w:color w:val="FF0000"/>
          <w:sz w:val="22"/>
          <w:szCs w:val="22"/>
          <w:lang w:val="es-MX"/>
        </w:rPr>
      </w:pPr>
    </w:p>
    <w:p w14:paraId="6BAB4BFE" w14:textId="4CD9137A" w:rsidR="006710E8" w:rsidRPr="0048246B" w:rsidRDefault="006710E8" w:rsidP="0048246B">
      <w:pPr>
        <w:keepNext/>
        <w:keepLines/>
        <w:numPr>
          <w:ilvl w:val="1"/>
          <w:numId w:val="21"/>
        </w:numPr>
        <w:ind w:left="567" w:hanging="283"/>
        <w:contextualSpacing/>
        <w:jc w:val="both"/>
        <w:outlineLvl w:val="1"/>
        <w:rPr>
          <w:rFonts w:ascii="Times New Roman" w:eastAsiaTheme="majorEastAsia" w:hAnsi="Times New Roman" w:cs="Times New Roman"/>
          <w:b/>
          <w:bCs/>
          <w:szCs w:val="28"/>
        </w:rPr>
      </w:pPr>
      <w:bookmarkStart w:id="35" w:name="_Toc471987134"/>
      <w:bookmarkStart w:id="36" w:name="_Toc64025430"/>
      <w:bookmarkStart w:id="37" w:name="_Toc94259624"/>
      <w:r w:rsidRPr="0048246B">
        <w:rPr>
          <w:rFonts w:ascii="Times New Roman" w:eastAsiaTheme="majorEastAsia" w:hAnsi="Times New Roman" w:cs="Times New Roman"/>
          <w:b/>
          <w:bCs/>
          <w:szCs w:val="28"/>
        </w:rPr>
        <w:t xml:space="preserve"> </w:t>
      </w:r>
      <w:bookmarkStart w:id="38" w:name="_Toc155865450"/>
      <w:bookmarkStart w:id="39" w:name="_Toc160196847"/>
      <w:r w:rsidR="004F1823" w:rsidRPr="0048246B">
        <w:rPr>
          <w:rFonts w:ascii="Times New Roman" w:eastAsiaTheme="majorEastAsia" w:hAnsi="Times New Roman" w:cs="Times New Roman"/>
          <w:b/>
          <w:bCs/>
          <w:szCs w:val="28"/>
        </w:rPr>
        <w:t xml:space="preserve">El </w:t>
      </w:r>
      <w:r w:rsidRPr="0048246B">
        <w:rPr>
          <w:rFonts w:ascii="Times New Roman" w:eastAsiaTheme="majorEastAsia" w:hAnsi="Times New Roman" w:cs="Times New Roman"/>
          <w:b/>
          <w:bCs/>
          <w:szCs w:val="28"/>
        </w:rPr>
        <w:t>Crecimiento económico y esfuerzos administrativos logran cambiar la tendencia de la carga tributaria</w:t>
      </w:r>
      <w:bookmarkEnd w:id="35"/>
      <w:bookmarkEnd w:id="36"/>
      <w:bookmarkEnd w:id="37"/>
      <w:bookmarkEnd w:id="38"/>
      <w:bookmarkEnd w:id="39"/>
    </w:p>
    <w:p w14:paraId="258F4C08" w14:textId="77777777" w:rsidR="006710E8" w:rsidRPr="005E0BB0" w:rsidRDefault="006710E8" w:rsidP="000656CC">
      <w:pPr>
        <w:contextualSpacing/>
        <w:jc w:val="both"/>
        <w:rPr>
          <w:rFonts w:ascii="Times New Roman" w:eastAsia="Times New Roman" w:hAnsi="Times New Roman" w:cs="Times New Roman"/>
          <w:sz w:val="22"/>
          <w:szCs w:val="22"/>
        </w:rPr>
      </w:pPr>
    </w:p>
    <w:p w14:paraId="05649305" w14:textId="21D46B3E" w:rsidR="006710E8" w:rsidRPr="005E0BB0" w:rsidRDefault="006710E8" w:rsidP="000656CC">
      <w:pPr>
        <w:contextualSpacing/>
        <w:jc w:val="both"/>
        <w:rPr>
          <w:rFonts w:ascii="Times New Roman" w:eastAsia="Times New Roman" w:hAnsi="Times New Roman" w:cs="Times New Roman"/>
          <w:sz w:val="22"/>
          <w:szCs w:val="22"/>
          <w:lang w:val="es-MX"/>
        </w:rPr>
      </w:pPr>
      <w:r w:rsidRPr="005E0BB0">
        <w:rPr>
          <w:rFonts w:ascii="Times New Roman" w:eastAsia="Times New Roman" w:hAnsi="Times New Roman" w:cs="Times New Roman"/>
          <w:sz w:val="22"/>
          <w:szCs w:val="22"/>
          <w:lang w:val="es-MX"/>
        </w:rPr>
        <w:t xml:space="preserve">A lo largo del </w:t>
      </w:r>
      <w:r w:rsidR="00D859F9">
        <w:rPr>
          <w:rFonts w:ascii="Times New Roman" w:eastAsia="Times New Roman" w:hAnsi="Times New Roman" w:cs="Times New Roman"/>
          <w:sz w:val="22"/>
          <w:szCs w:val="22"/>
          <w:lang w:val="es-MX"/>
        </w:rPr>
        <w:t xml:space="preserve">año </w:t>
      </w:r>
      <w:r w:rsidRPr="005E0BB0">
        <w:rPr>
          <w:rFonts w:ascii="Times New Roman" w:eastAsia="Times New Roman" w:hAnsi="Times New Roman" w:cs="Times New Roman"/>
          <w:sz w:val="22"/>
          <w:szCs w:val="22"/>
          <w:lang w:val="es-MX"/>
        </w:rPr>
        <w:t>2023 se observó una tendencia estable en la recaudación tributaria, gracias a las acciones estratégicas implementadas y ejecutadas por las SAT contenidas en su Plan Estratégico Institucional 2021-2025, cuyos objetivos se fundamentan en:</w:t>
      </w:r>
    </w:p>
    <w:p w14:paraId="7E68DE8F" w14:textId="77777777" w:rsidR="006710E8" w:rsidRPr="005E0BB0" w:rsidRDefault="006710E8" w:rsidP="000656CC">
      <w:pPr>
        <w:contextualSpacing/>
        <w:jc w:val="both"/>
        <w:rPr>
          <w:rFonts w:ascii="Times New Roman" w:eastAsia="Times New Roman" w:hAnsi="Times New Roman" w:cs="Times New Roman"/>
          <w:sz w:val="22"/>
          <w:szCs w:val="22"/>
          <w:lang w:val="es-MX"/>
        </w:rPr>
      </w:pPr>
    </w:p>
    <w:p w14:paraId="182F198D" w14:textId="77777777" w:rsidR="006710E8" w:rsidRPr="005E0BB0" w:rsidRDefault="006710E8" w:rsidP="000656CC">
      <w:pPr>
        <w:numPr>
          <w:ilvl w:val="0"/>
          <w:numId w:val="22"/>
        </w:numPr>
        <w:ind w:left="567"/>
        <w:contextualSpacing/>
        <w:jc w:val="both"/>
        <w:rPr>
          <w:rFonts w:ascii="Times New Roman" w:eastAsia="Times New Roman" w:hAnsi="Times New Roman" w:cs="Times New Roman"/>
          <w:sz w:val="22"/>
          <w:szCs w:val="22"/>
          <w:lang w:val="es-MX"/>
        </w:rPr>
      </w:pPr>
      <w:r w:rsidRPr="005E0BB0">
        <w:rPr>
          <w:rFonts w:ascii="Times New Roman" w:eastAsia="Times New Roman" w:hAnsi="Times New Roman" w:cs="Times New Roman"/>
          <w:sz w:val="22"/>
          <w:szCs w:val="22"/>
          <w:lang w:val="es-MX"/>
        </w:rPr>
        <w:t xml:space="preserve">Aumentar la recaudación tributaria de manera sostenida y reducir la brecha del incumplimiento tributario, </w:t>
      </w:r>
    </w:p>
    <w:p w14:paraId="61F3E49A" w14:textId="50B5031D" w:rsidR="006710E8" w:rsidRPr="005E0BB0" w:rsidRDefault="006710E8" w:rsidP="000656CC">
      <w:pPr>
        <w:numPr>
          <w:ilvl w:val="0"/>
          <w:numId w:val="22"/>
        </w:numPr>
        <w:ind w:left="567"/>
        <w:contextualSpacing/>
        <w:jc w:val="both"/>
        <w:rPr>
          <w:rFonts w:ascii="Times New Roman" w:eastAsia="Times New Roman" w:hAnsi="Times New Roman" w:cs="Times New Roman"/>
          <w:sz w:val="22"/>
          <w:szCs w:val="22"/>
          <w:lang w:val="es-MX"/>
        </w:rPr>
      </w:pPr>
      <w:r w:rsidRPr="005E0BB0">
        <w:rPr>
          <w:rFonts w:ascii="Times New Roman" w:eastAsia="Times New Roman" w:hAnsi="Times New Roman" w:cs="Times New Roman"/>
          <w:sz w:val="22"/>
          <w:szCs w:val="22"/>
          <w:lang w:val="es-MX"/>
        </w:rPr>
        <w:t xml:space="preserve">Facilitar a los contribuyentes el cumplimiento </w:t>
      </w:r>
      <w:r w:rsidR="00D859F9">
        <w:rPr>
          <w:rFonts w:ascii="Times New Roman" w:eastAsia="Times New Roman" w:hAnsi="Times New Roman" w:cs="Times New Roman"/>
          <w:sz w:val="22"/>
          <w:szCs w:val="22"/>
          <w:lang w:val="es-MX"/>
        </w:rPr>
        <w:t>y</w:t>
      </w:r>
      <w:r w:rsidRPr="005E0BB0">
        <w:rPr>
          <w:rFonts w:ascii="Times New Roman" w:eastAsia="Times New Roman" w:hAnsi="Times New Roman" w:cs="Times New Roman"/>
          <w:sz w:val="22"/>
          <w:szCs w:val="22"/>
          <w:lang w:val="es-MX"/>
        </w:rPr>
        <w:t xml:space="preserve"> pago se sus obligaciones tributarias y aduaneras</w:t>
      </w:r>
    </w:p>
    <w:p w14:paraId="6495D27E" w14:textId="77777777" w:rsidR="006710E8" w:rsidRPr="005E0BB0" w:rsidRDefault="006710E8" w:rsidP="000656CC">
      <w:pPr>
        <w:numPr>
          <w:ilvl w:val="0"/>
          <w:numId w:val="22"/>
        </w:numPr>
        <w:ind w:left="567"/>
        <w:contextualSpacing/>
        <w:jc w:val="both"/>
        <w:rPr>
          <w:rFonts w:ascii="Times New Roman" w:eastAsia="Times New Roman" w:hAnsi="Times New Roman" w:cs="Times New Roman"/>
          <w:sz w:val="22"/>
          <w:szCs w:val="22"/>
          <w:lang w:val="es-MX"/>
        </w:rPr>
      </w:pPr>
      <w:r w:rsidRPr="005E0BB0">
        <w:rPr>
          <w:rFonts w:ascii="Times New Roman" w:eastAsia="Times New Roman" w:hAnsi="Times New Roman" w:cs="Times New Roman"/>
          <w:sz w:val="22"/>
          <w:szCs w:val="22"/>
          <w:lang w:val="es-MX"/>
        </w:rPr>
        <w:t xml:space="preserve">Propiciar fiscalizaciones asertivas </w:t>
      </w:r>
    </w:p>
    <w:p w14:paraId="62B910DA" w14:textId="5BA5D436" w:rsidR="006710E8" w:rsidRPr="005E0BB0" w:rsidRDefault="006710E8" w:rsidP="000656CC">
      <w:pPr>
        <w:numPr>
          <w:ilvl w:val="0"/>
          <w:numId w:val="22"/>
        </w:numPr>
        <w:ind w:left="567"/>
        <w:contextualSpacing/>
        <w:jc w:val="both"/>
        <w:rPr>
          <w:rFonts w:ascii="Times New Roman" w:eastAsia="Times New Roman" w:hAnsi="Times New Roman" w:cs="Times New Roman"/>
          <w:sz w:val="22"/>
          <w:szCs w:val="22"/>
          <w:lang w:val="es-MX"/>
        </w:rPr>
      </w:pPr>
      <w:proofErr w:type="spellStart"/>
      <w:r w:rsidRPr="005E0BB0">
        <w:rPr>
          <w:rFonts w:ascii="Times New Roman" w:eastAsia="Times New Roman" w:hAnsi="Times New Roman" w:cs="Times New Roman"/>
          <w:sz w:val="22"/>
          <w:szCs w:val="22"/>
          <w:lang w:val="es-MX"/>
        </w:rPr>
        <w:t>Eficientar</w:t>
      </w:r>
      <w:proofErr w:type="spellEnd"/>
      <w:r w:rsidRPr="005E0BB0">
        <w:rPr>
          <w:rFonts w:ascii="Times New Roman" w:eastAsia="Times New Roman" w:hAnsi="Times New Roman" w:cs="Times New Roman"/>
          <w:sz w:val="22"/>
          <w:szCs w:val="22"/>
          <w:lang w:val="es-MX"/>
        </w:rPr>
        <w:t xml:space="preserve"> el cobro administrativo</w:t>
      </w:r>
      <w:r w:rsidR="00D859F9">
        <w:rPr>
          <w:rFonts w:ascii="Times New Roman" w:eastAsia="Times New Roman" w:hAnsi="Times New Roman" w:cs="Times New Roman"/>
          <w:sz w:val="22"/>
          <w:szCs w:val="22"/>
          <w:lang w:val="es-MX"/>
        </w:rPr>
        <w:t xml:space="preserve"> </w:t>
      </w:r>
      <w:r w:rsidR="00D859F9" w:rsidRPr="00B24EE4">
        <w:rPr>
          <w:rFonts w:ascii="Arial" w:hAnsi="Arial" w:cs="Arial"/>
          <w:i/>
          <w:iCs/>
          <w:color w:val="4D5156"/>
          <w:sz w:val="21"/>
          <w:szCs w:val="21"/>
          <w:shd w:val="clear" w:color="auto" w:fill="FFFFFF"/>
        </w:rPr>
        <w:t>[sic]</w:t>
      </w:r>
    </w:p>
    <w:p w14:paraId="70C8564E" w14:textId="77777777" w:rsidR="006710E8" w:rsidRPr="005E0BB0" w:rsidRDefault="006710E8" w:rsidP="000656CC">
      <w:pPr>
        <w:numPr>
          <w:ilvl w:val="0"/>
          <w:numId w:val="22"/>
        </w:numPr>
        <w:ind w:left="567"/>
        <w:contextualSpacing/>
        <w:jc w:val="both"/>
        <w:rPr>
          <w:rFonts w:ascii="Times New Roman" w:eastAsia="Times New Roman" w:hAnsi="Times New Roman" w:cs="Times New Roman"/>
          <w:sz w:val="22"/>
          <w:szCs w:val="22"/>
          <w:lang w:val="es-MX"/>
        </w:rPr>
      </w:pPr>
      <w:r w:rsidRPr="005E0BB0">
        <w:rPr>
          <w:rFonts w:ascii="Times New Roman" w:eastAsia="Times New Roman" w:hAnsi="Times New Roman" w:cs="Times New Roman"/>
          <w:sz w:val="22"/>
          <w:szCs w:val="22"/>
          <w:lang w:val="es-MX"/>
        </w:rPr>
        <w:t xml:space="preserve">Modernizar de manera integral el servicio aduanero y </w:t>
      </w:r>
    </w:p>
    <w:p w14:paraId="50A3E9BE" w14:textId="77777777" w:rsidR="006710E8" w:rsidRPr="005E0BB0" w:rsidRDefault="006710E8" w:rsidP="000656CC">
      <w:pPr>
        <w:numPr>
          <w:ilvl w:val="0"/>
          <w:numId w:val="22"/>
        </w:numPr>
        <w:ind w:left="567"/>
        <w:contextualSpacing/>
        <w:jc w:val="both"/>
        <w:rPr>
          <w:rFonts w:ascii="Times New Roman" w:eastAsia="Times New Roman" w:hAnsi="Times New Roman" w:cs="Times New Roman"/>
          <w:sz w:val="22"/>
          <w:szCs w:val="22"/>
          <w:lang w:val="es-MX"/>
        </w:rPr>
      </w:pPr>
      <w:r w:rsidRPr="005E0BB0">
        <w:rPr>
          <w:rFonts w:ascii="Times New Roman" w:eastAsia="Times New Roman" w:hAnsi="Times New Roman" w:cs="Times New Roman"/>
          <w:sz w:val="22"/>
          <w:szCs w:val="22"/>
          <w:lang w:val="es-MX"/>
        </w:rPr>
        <w:t xml:space="preserve">Fortalecer las capacidades de gestión y transparencia institucional. </w:t>
      </w:r>
    </w:p>
    <w:p w14:paraId="3B4AFE28" w14:textId="77777777" w:rsidR="006710E8" w:rsidRPr="005E0BB0" w:rsidRDefault="006710E8" w:rsidP="000656CC">
      <w:pPr>
        <w:contextualSpacing/>
        <w:jc w:val="both"/>
        <w:rPr>
          <w:rFonts w:ascii="Times New Roman" w:eastAsia="Times New Roman" w:hAnsi="Times New Roman" w:cs="Times New Roman"/>
          <w:sz w:val="22"/>
          <w:szCs w:val="22"/>
          <w:lang w:val="es-MX"/>
        </w:rPr>
      </w:pPr>
      <w:r w:rsidRPr="005E0BB0">
        <w:rPr>
          <w:rFonts w:ascii="Times New Roman" w:eastAsia="Times New Roman" w:hAnsi="Times New Roman" w:cs="Times New Roman"/>
          <w:sz w:val="22"/>
          <w:szCs w:val="22"/>
          <w:lang w:val="es-MX"/>
        </w:rPr>
        <w:t xml:space="preserve"> </w:t>
      </w:r>
    </w:p>
    <w:p w14:paraId="47052018" w14:textId="3BCAAE2F" w:rsidR="006710E8" w:rsidRPr="005E0BB0" w:rsidRDefault="006710E8" w:rsidP="000656CC">
      <w:pPr>
        <w:contextualSpacing/>
        <w:jc w:val="both"/>
        <w:rPr>
          <w:rFonts w:ascii="Times New Roman" w:eastAsia="Times New Roman" w:hAnsi="Times New Roman" w:cs="Times New Roman"/>
          <w:sz w:val="22"/>
          <w:szCs w:val="22"/>
          <w:lang w:val="es-MX"/>
        </w:rPr>
      </w:pPr>
      <w:r w:rsidRPr="005E0BB0">
        <w:rPr>
          <w:rFonts w:ascii="Times New Roman" w:eastAsia="Times New Roman" w:hAnsi="Times New Roman" w:cs="Times New Roman"/>
          <w:sz w:val="22"/>
          <w:szCs w:val="22"/>
          <w:lang w:val="es-MX"/>
        </w:rPr>
        <w:t xml:space="preserve">Algunos aspectos importantes a </w:t>
      </w:r>
      <w:r w:rsidR="00B21B4A">
        <w:rPr>
          <w:rFonts w:ascii="Times New Roman" w:eastAsia="Times New Roman" w:hAnsi="Times New Roman" w:cs="Times New Roman"/>
          <w:sz w:val="22"/>
          <w:szCs w:val="22"/>
          <w:lang w:val="es-MX"/>
        </w:rPr>
        <w:t>enfatizar</w:t>
      </w:r>
      <w:r w:rsidR="00B21B4A" w:rsidRPr="005E0BB0">
        <w:rPr>
          <w:rFonts w:ascii="Times New Roman" w:eastAsia="Times New Roman" w:hAnsi="Times New Roman" w:cs="Times New Roman"/>
          <w:sz w:val="22"/>
          <w:szCs w:val="22"/>
          <w:lang w:val="es-MX"/>
        </w:rPr>
        <w:t xml:space="preserve"> </w:t>
      </w:r>
      <w:r w:rsidRPr="005E0BB0">
        <w:rPr>
          <w:rFonts w:ascii="Times New Roman" w:eastAsia="Times New Roman" w:hAnsi="Times New Roman" w:cs="Times New Roman"/>
          <w:sz w:val="22"/>
          <w:szCs w:val="22"/>
          <w:lang w:val="es-MX"/>
        </w:rPr>
        <w:t>en el desempeño de la SAT que tienen impacto directo en la recaudación son: el uso de tecnologías no intrusivas para el control en las aduanas, el uso de las herramientas digitales e información en tiempo real en las fiscalizaciones</w:t>
      </w:r>
      <w:r w:rsidR="00353630">
        <w:rPr>
          <w:rFonts w:ascii="Times New Roman" w:eastAsia="Times New Roman" w:hAnsi="Times New Roman" w:cs="Times New Roman"/>
          <w:sz w:val="22"/>
          <w:szCs w:val="22"/>
          <w:lang w:val="es-MX"/>
        </w:rPr>
        <w:t>;</w:t>
      </w:r>
      <w:r w:rsidRPr="005E0BB0">
        <w:rPr>
          <w:rFonts w:ascii="Times New Roman" w:eastAsia="Times New Roman" w:hAnsi="Times New Roman" w:cs="Times New Roman"/>
          <w:sz w:val="22"/>
          <w:szCs w:val="22"/>
          <w:lang w:val="es-MX"/>
        </w:rPr>
        <w:t xml:space="preserve"> la masificación de la factura electrónica y la solución de conflicto tributario</w:t>
      </w:r>
      <w:r w:rsidR="00353630">
        <w:rPr>
          <w:rFonts w:ascii="Times New Roman" w:eastAsia="Times New Roman" w:hAnsi="Times New Roman" w:cs="Times New Roman"/>
          <w:sz w:val="22"/>
          <w:szCs w:val="22"/>
          <w:lang w:val="es-MX"/>
        </w:rPr>
        <w:t>;</w:t>
      </w:r>
      <w:r w:rsidRPr="005E0BB0">
        <w:rPr>
          <w:rFonts w:ascii="Times New Roman" w:eastAsia="Times New Roman" w:hAnsi="Times New Roman" w:cs="Times New Roman"/>
          <w:sz w:val="22"/>
          <w:szCs w:val="22"/>
          <w:lang w:val="es-MX"/>
        </w:rPr>
        <w:t xml:space="preserve"> transparencia </w:t>
      </w:r>
      <w:r w:rsidR="00845089">
        <w:rPr>
          <w:rFonts w:ascii="Times New Roman" w:eastAsia="Times New Roman" w:hAnsi="Times New Roman" w:cs="Times New Roman"/>
          <w:sz w:val="22"/>
          <w:szCs w:val="22"/>
          <w:lang w:val="es-MX"/>
        </w:rPr>
        <w:t>i</w:t>
      </w:r>
      <w:r w:rsidR="00845089" w:rsidRPr="005E0BB0">
        <w:rPr>
          <w:rFonts w:ascii="Times New Roman" w:eastAsia="Times New Roman" w:hAnsi="Times New Roman" w:cs="Times New Roman"/>
          <w:sz w:val="22"/>
          <w:szCs w:val="22"/>
          <w:lang w:val="es-MX"/>
        </w:rPr>
        <w:t>nstitucional</w:t>
      </w:r>
      <w:r w:rsidR="00353630">
        <w:rPr>
          <w:rFonts w:ascii="Times New Roman" w:eastAsia="Times New Roman" w:hAnsi="Times New Roman" w:cs="Times New Roman"/>
          <w:sz w:val="22"/>
          <w:szCs w:val="22"/>
          <w:lang w:val="es-MX"/>
        </w:rPr>
        <w:t>;</w:t>
      </w:r>
      <w:r w:rsidRPr="005E0BB0">
        <w:rPr>
          <w:rFonts w:ascii="Times New Roman" w:eastAsia="Times New Roman" w:hAnsi="Times New Roman" w:cs="Times New Roman"/>
          <w:sz w:val="22"/>
          <w:szCs w:val="22"/>
          <w:lang w:val="es-MX"/>
        </w:rPr>
        <w:t xml:space="preserve"> y</w:t>
      </w:r>
      <w:r w:rsidR="00353630">
        <w:rPr>
          <w:rFonts w:ascii="Times New Roman" w:eastAsia="Times New Roman" w:hAnsi="Times New Roman" w:cs="Times New Roman"/>
          <w:sz w:val="22"/>
          <w:szCs w:val="22"/>
          <w:lang w:val="es-MX"/>
        </w:rPr>
        <w:t>,</w:t>
      </w:r>
      <w:r w:rsidRPr="005E0BB0">
        <w:rPr>
          <w:rFonts w:ascii="Times New Roman" w:eastAsia="Times New Roman" w:hAnsi="Times New Roman" w:cs="Times New Roman"/>
          <w:sz w:val="22"/>
          <w:szCs w:val="22"/>
          <w:lang w:val="es-MX"/>
        </w:rPr>
        <w:t xml:space="preserve"> acciones en la implementación de auditorías seleccionadas a través de un nuevo modelo de fiscalización mediante la segregación por sector económico</w:t>
      </w:r>
      <w:r>
        <w:rPr>
          <w:rFonts w:ascii="Times New Roman" w:eastAsia="Times New Roman" w:hAnsi="Times New Roman" w:cs="Times New Roman"/>
          <w:sz w:val="22"/>
          <w:szCs w:val="22"/>
          <w:lang w:val="es-MX"/>
        </w:rPr>
        <w:t>, de inventarios, selectividad de mercaderías</w:t>
      </w:r>
      <w:r w:rsidRPr="005E0BB0">
        <w:rPr>
          <w:rFonts w:ascii="Times New Roman" w:eastAsia="Times New Roman" w:hAnsi="Times New Roman" w:cs="Times New Roman"/>
          <w:sz w:val="22"/>
          <w:szCs w:val="22"/>
          <w:lang w:val="es-MX"/>
        </w:rPr>
        <w:t>. También es relevante la implementación de formularios por sector económico, sistema de omisos, facilidades de pago en línea, verificación de tributos internos y externos y la verificación de obligaciones formales, así como la implementación del nuevo sistema de retenciones WEB.</w:t>
      </w:r>
    </w:p>
    <w:p w14:paraId="2AAD1136" w14:textId="77777777" w:rsidR="006710E8" w:rsidRPr="00885B1F" w:rsidRDefault="006710E8" w:rsidP="000656CC">
      <w:pPr>
        <w:contextualSpacing/>
        <w:jc w:val="both"/>
        <w:rPr>
          <w:rFonts w:ascii="Times New Roman" w:eastAsia="Times New Roman" w:hAnsi="Times New Roman" w:cs="Times New Roman"/>
          <w:color w:val="FF0000"/>
          <w:sz w:val="22"/>
          <w:szCs w:val="22"/>
          <w:lang w:val="es-MX"/>
        </w:rPr>
      </w:pPr>
    </w:p>
    <w:p w14:paraId="4C7A0BF3" w14:textId="69890B1A" w:rsidR="006710E8" w:rsidRDefault="006710E8" w:rsidP="000656CC">
      <w:pPr>
        <w:contextualSpacing/>
        <w:jc w:val="both"/>
        <w:rPr>
          <w:rFonts w:ascii="Times New Roman" w:eastAsia="Times New Roman" w:hAnsi="Times New Roman" w:cs="Times New Roman"/>
          <w:sz w:val="22"/>
          <w:szCs w:val="22"/>
        </w:rPr>
      </w:pPr>
      <w:r w:rsidRPr="00F147A0">
        <w:rPr>
          <w:rFonts w:ascii="Times New Roman" w:eastAsia="Times New Roman" w:hAnsi="Times New Roman" w:cs="Times New Roman"/>
          <w:sz w:val="22"/>
          <w:szCs w:val="22"/>
          <w:lang w:val="es-MX"/>
        </w:rPr>
        <w:t>La</w:t>
      </w:r>
      <w:r w:rsidRPr="00F147A0">
        <w:rPr>
          <w:rFonts w:ascii="Times New Roman" w:eastAsia="Times New Roman" w:hAnsi="Times New Roman" w:cs="Times New Roman"/>
          <w:sz w:val="22"/>
          <w:szCs w:val="22"/>
        </w:rPr>
        <w:t xml:space="preserve"> Superintendencia de Administración Tributaria en el ramo de aduanas, luego de la readecuación de sus departamentos dentro de los que </w:t>
      </w:r>
      <w:r w:rsidR="00F435A1">
        <w:rPr>
          <w:rFonts w:ascii="Times New Roman" w:eastAsia="Times New Roman" w:hAnsi="Times New Roman" w:cs="Times New Roman"/>
          <w:sz w:val="22"/>
          <w:szCs w:val="22"/>
        </w:rPr>
        <w:t>sobresale</w:t>
      </w:r>
      <w:r w:rsidR="00F435A1" w:rsidRPr="00F147A0">
        <w:rPr>
          <w:rFonts w:ascii="Times New Roman" w:eastAsia="Times New Roman" w:hAnsi="Times New Roman" w:cs="Times New Roman"/>
          <w:sz w:val="22"/>
          <w:szCs w:val="22"/>
        </w:rPr>
        <w:t xml:space="preserve"> </w:t>
      </w:r>
      <w:r w:rsidRPr="00F147A0">
        <w:rPr>
          <w:rFonts w:ascii="Times New Roman" w:eastAsia="Times New Roman" w:hAnsi="Times New Roman" w:cs="Times New Roman"/>
          <w:sz w:val="22"/>
          <w:szCs w:val="22"/>
        </w:rPr>
        <w:t xml:space="preserve">el Departamento Normativo y de Facilitación de Comercio Exterior y </w:t>
      </w:r>
      <w:r w:rsidR="00845089">
        <w:rPr>
          <w:rFonts w:ascii="Times New Roman" w:eastAsia="Times New Roman" w:hAnsi="Times New Roman" w:cs="Times New Roman"/>
          <w:sz w:val="22"/>
          <w:szCs w:val="22"/>
        </w:rPr>
        <w:t xml:space="preserve">el </w:t>
      </w:r>
      <w:r w:rsidRPr="00F147A0">
        <w:rPr>
          <w:rFonts w:ascii="Times New Roman" w:eastAsia="Times New Roman" w:hAnsi="Times New Roman" w:cs="Times New Roman"/>
          <w:sz w:val="22"/>
          <w:szCs w:val="22"/>
        </w:rPr>
        <w:t xml:space="preserve">Departamento de Gestión Técnica de las Mercancías, realizó esfuerzos con la implementación de acciones para combatir la defraudación y el contrabando tales como: mayor eficiencia del control aduanero, seguimiento del plan de combate al contrabando aduanero mediante la puesta en marcha de puestos de control interinstitucional (a la fecha van 7); simplificación, </w:t>
      </w:r>
      <w:r w:rsidRPr="00F147A0">
        <w:rPr>
          <w:rFonts w:ascii="Times New Roman" w:eastAsia="Times New Roman" w:hAnsi="Times New Roman" w:cs="Times New Roman"/>
          <w:sz w:val="22"/>
          <w:szCs w:val="22"/>
        </w:rPr>
        <w:lastRenderedPageBreak/>
        <w:t>automatización y transparencia en el ingreso y salida de la carga vía aérea; fortalecimiento de la gestión de riesgo, operativos interinstitucionales en aduanas aéreas, terrestres, marítimas, puestos fronterizos, depósitos aduaneros y zonas francas; fortalecimiento del intercambio de información con otros Estados Partes; fortalecimiento de la valoración aduanera; puesta en marcha del modelo de duda razonable, el cual está enfocado en la trazabilidad para el importador, transparencia que evita la discrecionalidad; y, a las mejoras en el tiempo de atención de solicitudes</w:t>
      </w:r>
      <w:r w:rsidR="00642ED6">
        <w:rPr>
          <w:rFonts w:ascii="Times New Roman" w:eastAsia="Times New Roman" w:hAnsi="Times New Roman" w:cs="Times New Roman"/>
          <w:sz w:val="22"/>
          <w:szCs w:val="22"/>
        </w:rPr>
        <w:t>,</w:t>
      </w:r>
      <w:r w:rsidRPr="00F147A0">
        <w:rPr>
          <w:rFonts w:ascii="Times New Roman" w:eastAsia="Times New Roman" w:hAnsi="Times New Roman" w:cs="Times New Roman"/>
          <w:sz w:val="22"/>
          <w:szCs w:val="22"/>
        </w:rPr>
        <w:t xml:space="preserve"> entre otras.</w:t>
      </w:r>
    </w:p>
    <w:p w14:paraId="01294020" w14:textId="77777777" w:rsidR="006710E8" w:rsidRDefault="006710E8" w:rsidP="000656CC">
      <w:pPr>
        <w:contextualSpacing/>
        <w:jc w:val="both"/>
        <w:rPr>
          <w:rFonts w:ascii="Times New Roman" w:eastAsia="Times New Roman" w:hAnsi="Times New Roman" w:cs="Times New Roman"/>
          <w:sz w:val="22"/>
          <w:szCs w:val="22"/>
        </w:rPr>
      </w:pPr>
    </w:p>
    <w:p w14:paraId="268DACBF" w14:textId="5C628C0D" w:rsidR="006710E8" w:rsidRPr="00DA2155" w:rsidRDefault="00DA2155" w:rsidP="00DA2155">
      <w:pPr>
        <w:pStyle w:val="Descripcin"/>
        <w:keepNext/>
        <w:spacing w:after="0"/>
        <w:jc w:val="center"/>
        <w:rPr>
          <w:sz w:val="22"/>
          <w:szCs w:val="22"/>
        </w:rPr>
      </w:pPr>
      <w:bookmarkStart w:id="40" w:name="_Toc125733204"/>
      <w:bookmarkStart w:id="41" w:name="_Toc158103855"/>
      <w:r w:rsidRPr="00DA2155">
        <w:rPr>
          <w:sz w:val="22"/>
          <w:szCs w:val="22"/>
        </w:rPr>
        <w:t xml:space="preserve">Gráfico </w:t>
      </w:r>
      <w:r w:rsidRPr="00DA2155">
        <w:rPr>
          <w:sz w:val="22"/>
          <w:szCs w:val="22"/>
        </w:rPr>
        <w:fldChar w:fldCharType="begin"/>
      </w:r>
      <w:r w:rsidRPr="00DA2155">
        <w:rPr>
          <w:sz w:val="22"/>
          <w:szCs w:val="22"/>
        </w:rPr>
        <w:instrText xml:space="preserve"> SEQ Gráfico \* ARABIC </w:instrText>
      </w:r>
      <w:r w:rsidRPr="00DA2155">
        <w:rPr>
          <w:sz w:val="22"/>
          <w:szCs w:val="22"/>
        </w:rPr>
        <w:fldChar w:fldCharType="separate"/>
      </w:r>
      <w:r w:rsidR="00C015DC">
        <w:rPr>
          <w:noProof/>
          <w:sz w:val="22"/>
          <w:szCs w:val="22"/>
        </w:rPr>
        <w:t>10</w:t>
      </w:r>
      <w:r w:rsidRPr="00DA2155">
        <w:rPr>
          <w:sz w:val="22"/>
          <w:szCs w:val="22"/>
        </w:rPr>
        <w:fldChar w:fldCharType="end"/>
      </w:r>
      <w:r>
        <w:rPr>
          <w:sz w:val="22"/>
          <w:szCs w:val="22"/>
        </w:rPr>
        <w:t xml:space="preserve">.  </w:t>
      </w:r>
      <w:r w:rsidR="006710E8" w:rsidRPr="00F147A0">
        <w:rPr>
          <w:rFonts w:eastAsia="Times New Roman" w:cs="Times New Roman"/>
          <w:sz w:val="22"/>
          <w:szCs w:val="22"/>
        </w:rPr>
        <w:t>Carga Tributaria</w:t>
      </w:r>
      <w:bookmarkEnd w:id="40"/>
      <w:bookmarkEnd w:id="41"/>
    </w:p>
    <w:p w14:paraId="2428D9CE" w14:textId="77777777" w:rsidR="006710E8" w:rsidRPr="00F147A0" w:rsidRDefault="006710E8" w:rsidP="006710E8">
      <w:pPr>
        <w:spacing w:line="276" w:lineRule="auto"/>
        <w:contextualSpacing/>
        <w:jc w:val="center"/>
        <w:rPr>
          <w:rFonts w:ascii="Times New Roman" w:eastAsia="Times New Roman" w:hAnsi="Times New Roman"/>
          <w:bCs/>
          <w:sz w:val="22"/>
          <w:szCs w:val="22"/>
        </w:rPr>
      </w:pPr>
      <w:r w:rsidRPr="00F147A0">
        <w:rPr>
          <w:rFonts w:ascii="Times New Roman" w:eastAsia="Times New Roman" w:hAnsi="Times New Roman"/>
          <w:bCs/>
          <w:sz w:val="22"/>
          <w:szCs w:val="22"/>
        </w:rPr>
        <w:t>Porcentajes</w:t>
      </w:r>
    </w:p>
    <w:p w14:paraId="4E387E94" w14:textId="77777777" w:rsidR="006710E8" w:rsidRDefault="006710E8" w:rsidP="006710E8">
      <w:pPr>
        <w:spacing w:line="276" w:lineRule="auto"/>
        <w:contextualSpacing/>
        <w:jc w:val="center"/>
        <w:rPr>
          <w:rFonts w:ascii="Times New Roman" w:eastAsia="Times New Roman" w:hAnsi="Times New Roman" w:cs="Times New Roman"/>
          <w:color w:val="FF0000"/>
          <w:sz w:val="22"/>
          <w:szCs w:val="22"/>
        </w:rPr>
      </w:pPr>
      <w:r>
        <w:rPr>
          <w:rFonts w:ascii="Times New Roman" w:eastAsia="Times New Roman" w:hAnsi="Times New Roman" w:cs="Times New Roman"/>
          <w:noProof/>
          <w:color w:val="FF0000"/>
          <w:sz w:val="22"/>
          <w:szCs w:val="22"/>
        </w:rPr>
        <w:drawing>
          <wp:inline distT="0" distB="0" distL="0" distR="0" wp14:anchorId="1EE6FD73" wp14:editId="0A37D44D">
            <wp:extent cx="4389120" cy="2534350"/>
            <wp:effectExtent l="0" t="0" r="0" b="0"/>
            <wp:docPr id="964" name="Imagen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26638" cy="2556014"/>
                    </a:xfrm>
                    <a:prstGeom prst="rect">
                      <a:avLst/>
                    </a:prstGeom>
                    <a:noFill/>
                  </pic:spPr>
                </pic:pic>
              </a:graphicData>
            </a:graphic>
          </wp:inline>
        </w:drawing>
      </w:r>
    </w:p>
    <w:p w14:paraId="685CC194" w14:textId="6E62749F" w:rsidR="006710E8" w:rsidRPr="00885B1F" w:rsidRDefault="00DA2155" w:rsidP="006710E8">
      <w:pPr>
        <w:spacing w:line="276" w:lineRule="auto"/>
        <w:contextualSpacing/>
        <w:jc w:val="both"/>
        <w:rPr>
          <w:rFonts w:ascii="Times New Roman" w:eastAsia="Times New Roman" w:hAnsi="Times New Roman" w:cs="Times New Roman"/>
          <w:color w:val="FF0000"/>
          <w:sz w:val="18"/>
          <w:szCs w:val="18"/>
          <w:lang w:val="es-MX"/>
        </w:rPr>
      </w:pPr>
      <w:r>
        <w:rPr>
          <w:rFonts w:ascii="Times New Roman" w:eastAsia="Times New Roman" w:hAnsi="Times New Roman" w:cs="Times New Roman"/>
          <w:sz w:val="18"/>
          <w:szCs w:val="18"/>
          <w:lang w:val="es-MX"/>
        </w:rPr>
        <w:t xml:space="preserve">                        </w:t>
      </w:r>
      <w:r w:rsidR="006710E8" w:rsidRPr="0021592E">
        <w:rPr>
          <w:rFonts w:ascii="Times New Roman" w:eastAsia="Times New Roman" w:hAnsi="Times New Roman" w:cs="Times New Roman"/>
          <w:sz w:val="18"/>
          <w:szCs w:val="18"/>
          <w:lang w:val="es-MX"/>
        </w:rPr>
        <w:t>Fuente: Dirección de Análisis y Política Fiscal.</w:t>
      </w:r>
    </w:p>
    <w:p w14:paraId="7BEDCA3D" w14:textId="77777777" w:rsidR="000656CC" w:rsidRDefault="000656CC" w:rsidP="006710E8">
      <w:pPr>
        <w:jc w:val="both"/>
        <w:rPr>
          <w:rFonts w:ascii="Times New Roman" w:eastAsia="Times New Roman" w:hAnsi="Times New Roman" w:cs="Times New Roman"/>
          <w:noProof/>
          <w:sz w:val="22"/>
          <w:szCs w:val="22"/>
          <w:lang w:eastAsia="es-GT"/>
        </w:rPr>
      </w:pPr>
    </w:p>
    <w:p w14:paraId="012A4408" w14:textId="1EBE0C62" w:rsidR="006710E8" w:rsidRDefault="006710E8" w:rsidP="006710E8">
      <w:pPr>
        <w:jc w:val="both"/>
      </w:pPr>
      <w:r w:rsidRPr="00AA58AD">
        <w:rPr>
          <w:rFonts w:ascii="Times New Roman" w:eastAsia="Times New Roman" w:hAnsi="Times New Roman" w:cs="Times New Roman"/>
          <w:noProof/>
          <w:sz w:val="22"/>
          <w:szCs w:val="22"/>
          <w:lang w:eastAsia="es-GT"/>
        </w:rPr>
        <w:t>L</w:t>
      </w:r>
      <w:r w:rsidRPr="00AA58AD">
        <w:rPr>
          <w:rFonts w:ascii="Times New Roman" w:eastAsia="Times New Roman" w:hAnsi="Times New Roman" w:cs="Times New Roman"/>
          <w:sz w:val="22"/>
          <w:szCs w:val="22"/>
          <w:lang w:val="es-MX"/>
        </w:rPr>
        <w:t xml:space="preserve">os esfuerzos realizados por la SAT para contener la caída en la recaudación tributaria observada en 2020 producto de la pandemia, se fortalecieron para el ejercicio fiscal 2023.  </w:t>
      </w:r>
      <w:r w:rsidRPr="00F147A0">
        <w:rPr>
          <w:rFonts w:ascii="Times New Roman" w:eastAsia="Times New Roman" w:hAnsi="Times New Roman" w:cs="Times New Roman"/>
          <w:sz w:val="22"/>
          <w:szCs w:val="22"/>
          <w:lang w:val="es-MX"/>
        </w:rPr>
        <w:t>El impacto de esas acciones se puede observar a través del indicador de carga tributaria, que pasó del 10.0% en 2020, 11.7% en 2021, a 12.0% en 202</w:t>
      </w:r>
      <w:r>
        <w:rPr>
          <w:rFonts w:ascii="Times New Roman" w:eastAsia="Times New Roman" w:hAnsi="Times New Roman" w:cs="Times New Roman"/>
          <w:sz w:val="22"/>
          <w:szCs w:val="22"/>
          <w:lang w:val="es-MX"/>
        </w:rPr>
        <w:t>2 y 2023</w:t>
      </w:r>
      <w:r w:rsidRPr="00F147A0">
        <w:rPr>
          <w:rFonts w:ascii="Times New Roman" w:eastAsia="Times New Roman" w:hAnsi="Times New Roman" w:cs="Times New Roman"/>
          <w:sz w:val="22"/>
          <w:szCs w:val="22"/>
          <w:lang w:val="es-MX"/>
        </w:rPr>
        <w:t>, mayor al observado en los últimos 30 años, y lejos del observado en 2015</w:t>
      </w:r>
      <w:r w:rsidR="00897FDB">
        <w:rPr>
          <w:rFonts w:ascii="Times New Roman" w:eastAsia="Times New Roman" w:hAnsi="Times New Roman" w:cs="Times New Roman"/>
          <w:sz w:val="22"/>
          <w:szCs w:val="22"/>
          <w:lang w:val="es-MX"/>
        </w:rPr>
        <w:t>,</w:t>
      </w:r>
      <w:r w:rsidRPr="00F147A0">
        <w:rPr>
          <w:rFonts w:ascii="Times New Roman" w:eastAsia="Times New Roman" w:hAnsi="Times New Roman" w:cs="Times New Roman"/>
          <w:sz w:val="22"/>
          <w:szCs w:val="22"/>
          <w:lang w:val="es-MX"/>
        </w:rPr>
        <w:t xml:space="preserve"> año en que se suscitó la crisis institucional de la SAT.</w:t>
      </w:r>
      <w:r w:rsidRPr="00885B1F">
        <w:rPr>
          <w:rFonts w:ascii="Times New Roman" w:eastAsia="Times New Roman" w:hAnsi="Times New Roman" w:cs="Times New Roman"/>
          <w:color w:val="FF0000"/>
          <w:sz w:val="22"/>
          <w:szCs w:val="22"/>
          <w:lang w:val="es-MX"/>
        </w:rPr>
        <w:t xml:space="preserve">  </w:t>
      </w:r>
      <w:r w:rsidRPr="00AA58AD">
        <w:rPr>
          <w:rFonts w:ascii="Times New Roman" w:eastAsia="Times New Roman" w:hAnsi="Times New Roman" w:cs="Times New Roman"/>
          <w:sz w:val="22"/>
          <w:szCs w:val="22"/>
          <w:lang w:val="es-MX"/>
        </w:rPr>
        <w:t xml:space="preserve">El resultado observado en 2023 recoge el esfuerzo realizado por SAT a través de </w:t>
      </w:r>
      <w:r>
        <w:rPr>
          <w:rFonts w:ascii="Times New Roman" w:eastAsia="Times New Roman" w:hAnsi="Times New Roman" w:cs="Times New Roman"/>
          <w:sz w:val="22"/>
          <w:szCs w:val="22"/>
          <w:lang w:val="es-MX"/>
        </w:rPr>
        <w:t xml:space="preserve">la implementación de </w:t>
      </w:r>
      <w:r w:rsidRPr="00AA58AD">
        <w:rPr>
          <w:rFonts w:ascii="Times New Roman" w:eastAsia="Times New Roman" w:hAnsi="Times New Roman" w:cs="Times New Roman"/>
          <w:sz w:val="22"/>
          <w:szCs w:val="22"/>
          <w:lang w:val="es-MX"/>
        </w:rPr>
        <w:t>medidas administrativas que permitieron recaudar cerca de Q2,</w:t>
      </w:r>
      <w:r>
        <w:rPr>
          <w:rFonts w:ascii="Times New Roman" w:eastAsia="Times New Roman" w:hAnsi="Times New Roman" w:cs="Times New Roman"/>
          <w:sz w:val="22"/>
          <w:szCs w:val="22"/>
          <w:lang w:val="es-MX"/>
        </w:rPr>
        <w:t>322</w:t>
      </w:r>
      <w:r w:rsidRPr="00AA58AD">
        <w:rPr>
          <w:rFonts w:ascii="Times New Roman" w:eastAsia="Times New Roman" w:hAnsi="Times New Roman" w:cs="Times New Roman"/>
          <w:sz w:val="22"/>
          <w:szCs w:val="22"/>
          <w:lang w:val="es-MX"/>
        </w:rPr>
        <w:t>.</w:t>
      </w:r>
      <w:r>
        <w:rPr>
          <w:rFonts w:ascii="Times New Roman" w:eastAsia="Times New Roman" w:hAnsi="Times New Roman" w:cs="Times New Roman"/>
          <w:sz w:val="22"/>
          <w:szCs w:val="22"/>
          <w:lang w:val="es-MX"/>
        </w:rPr>
        <w:t>8</w:t>
      </w:r>
      <w:r w:rsidRPr="00AA58AD">
        <w:rPr>
          <w:rFonts w:ascii="Times New Roman" w:eastAsia="Times New Roman" w:hAnsi="Times New Roman" w:cs="Times New Roman"/>
          <w:sz w:val="22"/>
          <w:szCs w:val="22"/>
          <w:lang w:val="es-MX"/>
        </w:rPr>
        <w:t xml:space="preserve"> millones, producto de programas específicos de las Intendencias de Recaudación, de Fiscalización, Jurídico y Aduanas.</w:t>
      </w:r>
    </w:p>
    <w:p w14:paraId="6EB58623" w14:textId="44E7CFEC" w:rsidR="0039645E" w:rsidRDefault="0039645E" w:rsidP="006710E8">
      <w:pPr>
        <w:rPr>
          <w:rFonts w:ascii="Times New Roman" w:eastAsia="Times New Roman" w:hAnsi="Times New Roman" w:cs="Times New Roman"/>
          <w:b/>
          <w:bCs/>
          <w:sz w:val="22"/>
          <w:szCs w:val="26"/>
          <w:lang w:val="es-ES_tradnl" w:eastAsia="es-ES"/>
        </w:rPr>
      </w:pPr>
    </w:p>
    <w:p w14:paraId="32E0B871" w14:textId="2E60B850" w:rsidR="0039645E" w:rsidRPr="00217F22" w:rsidRDefault="00821B4C" w:rsidP="0039645E">
      <w:pPr>
        <w:jc w:val="both"/>
        <w:outlineLvl w:val="0"/>
        <w:rPr>
          <w:rFonts w:ascii="Times New Roman" w:eastAsiaTheme="majorEastAsia" w:hAnsi="Times New Roman" w:cs="Times New Roman"/>
          <w:b/>
          <w:bCs/>
          <w:lang w:val="es-ES_tradnl" w:eastAsia="es-ES"/>
        </w:rPr>
      </w:pPr>
      <w:bookmarkStart w:id="42" w:name="_Toc125538988"/>
      <w:bookmarkStart w:id="43" w:name="_Toc160196848"/>
      <w:r w:rsidRPr="0048246B">
        <w:rPr>
          <w:rFonts w:ascii="Times New Roman" w:eastAsiaTheme="majorEastAsia" w:hAnsi="Times New Roman" w:cs="Times New Roman"/>
          <w:b/>
          <w:bCs/>
          <w:sz w:val="26"/>
          <w:szCs w:val="26"/>
          <w:lang w:val="es-ES_tradnl" w:eastAsia="es-ES"/>
        </w:rPr>
        <w:t>II</w:t>
      </w:r>
      <w:r w:rsidR="00AE4227" w:rsidRPr="0048246B">
        <w:rPr>
          <w:rFonts w:ascii="Times New Roman" w:eastAsiaTheme="majorEastAsia" w:hAnsi="Times New Roman" w:cs="Times New Roman"/>
          <w:b/>
          <w:bCs/>
          <w:sz w:val="26"/>
          <w:szCs w:val="26"/>
          <w:lang w:val="es-ES_tradnl" w:eastAsia="es-ES"/>
        </w:rPr>
        <w:t>.</w:t>
      </w:r>
      <w:r w:rsidR="00AE4227" w:rsidRPr="0048246B">
        <w:rPr>
          <w:rFonts w:ascii="Times New Roman" w:eastAsiaTheme="majorEastAsia" w:hAnsi="Times New Roman" w:cs="Times New Roman"/>
          <w:b/>
          <w:bCs/>
          <w:sz w:val="28"/>
          <w:szCs w:val="28"/>
          <w:lang w:val="es-ES_tradnl" w:eastAsia="es-ES"/>
        </w:rPr>
        <w:t xml:space="preserve"> </w:t>
      </w:r>
      <w:r w:rsidR="0039645E" w:rsidRPr="0048246B">
        <w:rPr>
          <w:rFonts w:ascii="Times New Roman" w:eastAsiaTheme="majorEastAsia" w:hAnsi="Times New Roman" w:cs="Times New Roman"/>
          <w:b/>
          <w:bCs/>
          <w:sz w:val="28"/>
          <w:szCs w:val="28"/>
          <w:lang w:val="es-ES_tradnl" w:eastAsia="es-ES"/>
        </w:rPr>
        <w:t>Gasto Público</w:t>
      </w:r>
      <w:bookmarkStart w:id="44" w:name="_Toc125458258"/>
      <w:bookmarkStart w:id="45" w:name="_Toc125458346"/>
      <w:bookmarkEnd w:id="42"/>
      <w:bookmarkEnd w:id="43"/>
      <w:bookmarkEnd w:id="44"/>
      <w:bookmarkEnd w:id="45"/>
    </w:p>
    <w:p w14:paraId="7210A874" w14:textId="77777777" w:rsidR="0039645E" w:rsidRPr="0048246B" w:rsidRDefault="0039645E" w:rsidP="00DA2155">
      <w:pPr>
        <w:pStyle w:val="Prrafodelista"/>
        <w:ind w:left="284"/>
        <w:jc w:val="both"/>
        <w:rPr>
          <w:rFonts w:ascii="Times New Roman" w:eastAsiaTheme="majorEastAsia" w:hAnsi="Times New Roman" w:cs="Times New Roman"/>
          <w:b/>
          <w:bCs/>
          <w:lang w:val="es-ES_tradnl" w:eastAsia="es-ES"/>
        </w:rPr>
      </w:pPr>
    </w:p>
    <w:p w14:paraId="5AAF859E" w14:textId="2DE629AC" w:rsidR="00BC00C1" w:rsidRDefault="00BC00C1" w:rsidP="0039645E">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P</w:t>
      </w:r>
      <w:r w:rsidR="000E78CA">
        <w:rPr>
          <w:rFonts w:ascii="Times New Roman" w:eastAsia="Times New Roman" w:hAnsi="Times New Roman" w:cs="Times New Roman"/>
          <w:sz w:val="22"/>
          <w:szCs w:val="22"/>
        </w:rPr>
        <w:t xml:space="preserve">ara </w:t>
      </w:r>
      <w:r>
        <w:rPr>
          <w:rFonts w:ascii="Times New Roman" w:eastAsia="Times New Roman" w:hAnsi="Times New Roman" w:cs="Times New Roman"/>
          <w:sz w:val="22"/>
          <w:szCs w:val="22"/>
        </w:rPr>
        <w:t xml:space="preserve">los ejercicios fiscales </w:t>
      </w:r>
      <w:r w:rsidR="000E78CA">
        <w:rPr>
          <w:rFonts w:ascii="Times New Roman" w:eastAsia="Times New Roman" w:hAnsi="Times New Roman" w:cs="Times New Roman"/>
          <w:sz w:val="22"/>
          <w:szCs w:val="22"/>
        </w:rPr>
        <w:t>2022 y 2023 se contó con un presupuesto aprobado, el cual respondió a los requerimientos planteados por las entidades públicas y las prioridades establecidas desde el Ejecutivo.</w:t>
      </w:r>
      <w:r>
        <w:rPr>
          <w:rFonts w:ascii="Times New Roman" w:eastAsia="Times New Roman" w:hAnsi="Times New Roman" w:cs="Times New Roman"/>
          <w:sz w:val="22"/>
          <w:szCs w:val="22"/>
        </w:rPr>
        <w:t xml:space="preserve"> El </w:t>
      </w:r>
      <w:r w:rsidR="00C41F17">
        <w:rPr>
          <w:rFonts w:ascii="Times New Roman" w:eastAsia="Times New Roman" w:hAnsi="Times New Roman" w:cs="Times New Roman"/>
          <w:sz w:val="22"/>
          <w:szCs w:val="22"/>
        </w:rPr>
        <w:t xml:space="preserve">año </w:t>
      </w:r>
      <w:r>
        <w:rPr>
          <w:rFonts w:ascii="Times New Roman" w:eastAsia="Times New Roman" w:hAnsi="Times New Roman" w:cs="Times New Roman"/>
          <w:sz w:val="22"/>
          <w:szCs w:val="22"/>
        </w:rPr>
        <w:t xml:space="preserve">2023 </w:t>
      </w:r>
      <w:r w:rsidR="004F54F7">
        <w:rPr>
          <w:rFonts w:ascii="Times New Roman" w:eastAsia="Times New Roman" w:hAnsi="Times New Roman" w:cs="Times New Roman"/>
          <w:sz w:val="22"/>
          <w:szCs w:val="22"/>
        </w:rPr>
        <w:t xml:space="preserve">fue </w:t>
      </w:r>
      <w:r>
        <w:rPr>
          <w:rFonts w:ascii="Times New Roman" w:eastAsia="Times New Roman" w:hAnsi="Times New Roman" w:cs="Times New Roman"/>
          <w:sz w:val="22"/>
          <w:szCs w:val="22"/>
        </w:rPr>
        <w:t>el segundo año consecutivo que contó con la facilidad de manejo fiscal que otorga un presupuesto aprobado luego de dos años (</w:t>
      </w:r>
      <w:r w:rsidRPr="00BC00C1">
        <w:rPr>
          <w:rFonts w:ascii="Times New Roman" w:eastAsia="Times New Roman" w:hAnsi="Times New Roman" w:cs="Times New Roman"/>
          <w:sz w:val="22"/>
          <w:szCs w:val="22"/>
        </w:rPr>
        <w:t>2020 y 2021</w:t>
      </w:r>
      <w:r>
        <w:rPr>
          <w:rFonts w:ascii="Times New Roman" w:eastAsia="Times New Roman" w:hAnsi="Times New Roman" w:cs="Times New Roman"/>
          <w:sz w:val="22"/>
          <w:szCs w:val="22"/>
        </w:rPr>
        <w:t>)</w:t>
      </w:r>
      <w:r w:rsidRPr="00BC00C1">
        <w:rPr>
          <w:rFonts w:ascii="Times New Roman" w:eastAsia="Times New Roman" w:hAnsi="Times New Roman" w:cs="Times New Roman"/>
          <w:sz w:val="22"/>
          <w:szCs w:val="22"/>
        </w:rPr>
        <w:t xml:space="preserve"> que no contaron con un presupuesto aprobado por el Congreso de la República</w:t>
      </w:r>
      <w:r>
        <w:rPr>
          <w:rFonts w:ascii="Times New Roman" w:eastAsia="Times New Roman" w:hAnsi="Times New Roman" w:cs="Times New Roman"/>
          <w:sz w:val="22"/>
          <w:szCs w:val="22"/>
        </w:rPr>
        <w:t>.</w:t>
      </w:r>
    </w:p>
    <w:p w14:paraId="6ADEC6FF" w14:textId="77777777" w:rsidR="0039645E" w:rsidRPr="004A66F0" w:rsidRDefault="0039645E" w:rsidP="0039645E">
      <w:pPr>
        <w:rPr>
          <w:rFonts w:ascii="Times New Roman" w:eastAsia="Times New Roman" w:hAnsi="Times New Roman" w:cs="Times New Roman"/>
          <w:sz w:val="22"/>
          <w:szCs w:val="22"/>
        </w:rPr>
      </w:pPr>
    </w:p>
    <w:p w14:paraId="7F850DD5" w14:textId="04E8B9D8" w:rsidR="0039645E" w:rsidRPr="004A66F0" w:rsidRDefault="0039645E" w:rsidP="0039645E">
      <w:pPr>
        <w:jc w:val="both"/>
        <w:rPr>
          <w:rFonts w:ascii="Times New Roman" w:hAnsi="Times New Roman" w:cs="Times New Roman"/>
          <w:sz w:val="22"/>
          <w:szCs w:val="22"/>
          <w:lang w:val="es-ES_tradnl" w:eastAsia="es-ES"/>
        </w:rPr>
      </w:pPr>
      <w:r w:rsidRPr="004A66F0">
        <w:rPr>
          <w:rFonts w:ascii="Times New Roman" w:hAnsi="Times New Roman" w:cs="Times New Roman"/>
          <w:sz w:val="22"/>
          <w:szCs w:val="22"/>
          <w:lang w:val="es-ES_tradnl" w:eastAsia="es-ES"/>
        </w:rPr>
        <w:t>Entre los elementos más importantes que influenciaron la ejecución de gasto en 202</w:t>
      </w:r>
      <w:r w:rsidR="000E78CA">
        <w:rPr>
          <w:rFonts w:ascii="Times New Roman" w:hAnsi="Times New Roman" w:cs="Times New Roman"/>
          <w:sz w:val="22"/>
          <w:szCs w:val="22"/>
          <w:lang w:val="es-ES_tradnl" w:eastAsia="es-ES"/>
        </w:rPr>
        <w:t>3</w:t>
      </w:r>
      <w:r w:rsidRPr="004A66F0">
        <w:rPr>
          <w:rFonts w:ascii="Times New Roman" w:hAnsi="Times New Roman" w:cs="Times New Roman"/>
          <w:sz w:val="22"/>
          <w:szCs w:val="22"/>
          <w:lang w:val="es-ES_tradnl" w:eastAsia="es-ES"/>
        </w:rPr>
        <w:t>, destacan:</w:t>
      </w:r>
    </w:p>
    <w:p w14:paraId="2E70A57B" w14:textId="77777777" w:rsidR="0039645E" w:rsidRPr="004A66F0" w:rsidRDefault="0039645E" w:rsidP="0039645E">
      <w:pPr>
        <w:contextualSpacing/>
        <w:jc w:val="both"/>
        <w:rPr>
          <w:rFonts w:ascii="Times New Roman" w:eastAsia="Times New Roman" w:hAnsi="Times New Roman" w:cs="Times New Roman"/>
          <w:sz w:val="22"/>
          <w:szCs w:val="22"/>
          <w:lang w:val="es-ES_tradnl" w:eastAsia="es-ES"/>
        </w:rPr>
      </w:pPr>
    </w:p>
    <w:p w14:paraId="6529938A" w14:textId="3EC5EAE1" w:rsidR="000C73B9" w:rsidRDefault="000E78CA" w:rsidP="00DA2155">
      <w:pPr>
        <w:numPr>
          <w:ilvl w:val="0"/>
          <w:numId w:val="25"/>
        </w:numPr>
        <w:ind w:left="567"/>
        <w:contextualSpacing/>
        <w:jc w:val="both"/>
        <w:rPr>
          <w:rFonts w:ascii="Times New Roman" w:eastAsia="Times New Roman" w:hAnsi="Times New Roman" w:cs="Times New Roman"/>
          <w:sz w:val="22"/>
          <w:szCs w:val="22"/>
        </w:rPr>
      </w:pPr>
      <w:bookmarkStart w:id="46" w:name="_Hlk156558481"/>
      <w:r>
        <w:rPr>
          <w:rFonts w:ascii="Times New Roman" w:eastAsia="Times New Roman" w:hAnsi="Times New Roman" w:cs="Times New Roman"/>
          <w:sz w:val="22"/>
          <w:szCs w:val="22"/>
        </w:rPr>
        <w:t xml:space="preserve">Desde finales de 2021 y durante el 2022 se aprobaron subsidios ante la volatilidad de precios internacionales. </w:t>
      </w:r>
      <w:r w:rsidR="00092964">
        <w:rPr>
          <w:rFonts w:ascii="Times New Roman" w:eastAsia="Times New Roman" w:hAnsi="Times New Roman" w:cs="Times New Roman"/>
          <w:sz w:val="22"/>
          <w:szCs w:val="22"/>
        </w:rPr>
        <w:t xml:space="preserve">Siendo </w:t>
      </w:r>
      <w:r w:rsidR="00AB05D7">
        <w:rPr>
          <w:rFonts w:ascii="Times New Roman" w:eastAsia="Times New Roman" w:hAnsi="Times New Roman" w:cs="Times New Roman"/>
          <w:sz w:val="22"/>
          <w:szCs w:val="22"/>
        </w:rPr>
        <w:t>é</w:t>
      </w:r>
      <w:r w:rsidR="00092964">
        <w:rPr>
          <w:rFonts w:ascii="Times New Roman" w:eastAsia="Times New Roman" w:hAnsi="Times New Roman" w:cs="Times New Roman"/>
          <w:sz w:val="22"/>
          <w:szCs w:val="22"/>
        </w:rPr>
        <w:t xml:space="preserve">stos </w:t>
      </w:r>
      <w:r>
        <w:rPr>
          <w:rFonts w:ascii="Times New Roman" w:eastAsia="Times New Roman" w:hAnsi="Times New Roman" w:cs="Times New Roman"/>
          <w:sz w:val="22"/>
          <w:szCs w:val="22"/>
        </w:rPr>
        <w:t xml:space="preserve">el subsidio al gas propano, a los combustibles y a la tarifa social </w:t>
      </w:r>
      <w:r w:rsidR="00092964">
        <w:rPr>
          <w:rFonts w:ascii="Times New Roman" w:eastAsia="Times New Roman" w:hAnsi="Times New Roman" w:cs="Times New Roman"/>
          <w:sz w:val="22"/>
          <w:szCs w:val="22"/>
        </w:rPr>
        <w:t xml:space="preserve">ampliada </w:t>
      </w:r>
      <w:r>
        <w:rPr>
          <w:rFonts w:ascii="Times New Roman" w:eastAsia="Times New Roman" w:hAnsi="Times New Roman" w:cs="Times New Roman"/>
          <w:sz w:val="22"/>
          <w:szCs w:val="22"/>
        </w:rPr>
        <w:t>de la energía eléctrica. Para la primera parte del 2023 estuvo vigente el subsidio al gas propano y a la tarifa social ampliada de la energía eléctrica, para lo cual fue necesario</w:t>
      </w:r>
      <w:r w:rsidR="00B8065A">
        <w:rPr>
          <w:rFonts w:ascii="Times New Roman" w:eastAsia="Times New Roman" w:hAnsi="Times New Roman" w:cs="Times New Roman"/>
          <w:sz w:val="22"/>
          <w:szCs w:val="22"/>
        </w:rPr>
        <w:t xml:space="preserve"> ampliar el presupuesto de 2023 por Q150 millones para garantizar el apoyo social temporal a </w:t>
      </w:r>
      <w:r w:rsidR="00B8065A">
        <w:rPr>
          <w:rFonts w:ascii="Times New Roman" w:eastAsia="Times New Roman" w:hAnsi="Times New Roman" w:cs="Times New Roman"/>
          <w:sz w:val="22"/>
          <w:szCs w:val="22"/>
        </w:rPr>
        <w:lastRenderedPageBreak/>
        <w:t>los consumidores de gas propano</w:t>
      </w:r>
      <w:r w:rsidR="0008219A">
        <w:rPr>
          <w:rFonts w:ascii="Times New Roman" w:eastAsia="Times New Roman" w:hAnsi="Times New Roman" w:cs="Times New Roman"/>
          <w:sz w:val="22"/>
          <w:szCs w:val="22"/>
        </w:rPr>
        <w:t>,</w:t>
      </w:r>
      <w:r w:rsidR="00B8065A">
        <w:rPr>
          <w:rFonts w:ascii="Times New Roman" w:eastAsia="Times New Roman" w:hAnsi="Times New Roman" w:cs="Times New Roman"/>
          <w:sz w:val="22"/>
          <w:szCs w:val="22"/>
        </w:rPr>
        <w:t xml:space="preserve"> y por Q197 millones para cumplir con la ampliación de la tarifa social de la energía eléctrica.</w:t>
      </w:r>
    </w:p>
    <w:p w14:paraId="0B1A4777" w14:textId="77777777" w:rsidR="00EB501D" w:rsidRDefault="00EB501D" w:rsidP="00DA2155">
      <w:pPr>
        <w:ind w:left="567"/>
        <w:contextualSpacing/>
        <w:jc w:val="both"/>
        <w:rPr>
          <w:rFonts w:ascii="Times New Roman" w:eastAsia="Times New Roman" w:hAnsi="Times New Roman" w:cs="Times New Roman"/>
          <w:sz w:val="22"/>
          <w:szCs w:val="22"/>
        </w:rPr>
      </w:pPr>
    </w:p>
    <w:p w14:paraId="6497140B" w14:textId="0451A2DD" w:rsidR="00EB501D" w:rsidRDefault="00EB501D" w:rsidP="00DA2155">
      <w:pPr>
        <w:numPr>
          <w:ilvl w:val="0"/>
          <w:numId w:val="25"/>
        </w:numPr>
        <w:ind w:left="567"/>
        <w:contextualSpacing/>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En el primer cuatrimestre del 2023 se</w:t>
      </w:r>
      <w:r w:rsidRPr="004A66F0">
        <w:rPr>
          <w:rFonts w:ascii="Times New Roman" w:eastAsia="Times New Roman" w:hAnsi="Times New Roman" w:cs="Times New Roman"/>
          <w:sz w:val="22"/>
          <w:szCs w:val="22"/>
        </w:rPr>
        <w:t xml:space="preserve"> observó una ejecución dinámica del gasto público</w:t>
      </w:r>
      <w:r>
        <w:rPr>
          <w:rFonts w:ascii="Times New Roman" w:eastAsia="Times New Roman" w:hAnsi="Times New Roman" w:cs="Times New Roman"/>
          <w:sz w:val="22"/>
          <w:szCs w:val="22"/>
        </w:rPr>
        <w:t xml:space="preserve"> que fue desacelerándose hasta ubicarse en un crecimiento modesto de 5.9%, incluyendo las amortizaciones de la deuda pública, el cual es bastante menor al crecimiento observado en 2022 (16.8%).</w:t>
      </w:r>
    </w:p>
    <w:p w14:paraId="26B39D7F" w14:textId="128DAEAC" w:rsidR="00B53C13" w:rsidRPr="00EB501D" w:rsidRDefault="00B53C13" w:rsidP="00DA2155">
      <w:pPr>
        <w:ind w:left="567"/>
        <w:contextualSpacing/>
        <w:jc w:val="both"/>
        <w:rPr>
          <w:rFonts w:ascii="Times New Roman" w:eastAsia="Times New Roman" w:hAnsi="Times New Roman" w:cs="Times New Roman"/>
          <w:sz w:val="22"/>
          <w:szCs w:val="22"/>
        </w:rPr>
      </w:pPr>
    </w:p>
    <w:p w14:paraId="4B8DCF62" w14:textId="2CE49AAF" w:rsidR="000C73B9" w:rsidRDefault="000C73B9" w:rsidP="00DA2155">
      <w:pPr>
        <w:numPr>
          <w:ilvl w:val="0"/>
          <w:numId w:val="25"/>
        </w:numPr>
        <w:ind w:left="567"/>
        <w:contextualSpacing/>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En 2023 la dinámica del gasto público estuvo influenciada por la ejecución de los programas en atención a los Estados de Calamidad Pública, tales como la emergencia del COVID-19, por la depresión tropical ETA, por la época lluviosa, temporada ciclónica y sistemas de baja presión</w:t>
      </w:r>
      <w:r w:rsidR="00B53C13">
        <w:rPr>
          <w:rFonts w:ascii="Times New Roman" w:eastAsia="Times New Roman" w:hAnsi="Times New Roman" w:cs="Times New Roman"/>
          <w:sz w:val="22"/>
          <w:szCs w:val="22"/>
        </w:rPr>
        <w:t xml:space="preserve"> y los efectos del ciclón tropical Julia, dichos programas tuvieron modificaciones presupuestarias y un alto nivel de ejecución.</w:t>
      </w:r>
      <w:r w:rsidR="00092964">
        <w:rPr>
          <w:rFonts w:ascii="Times New Roman" w:eastAsia="Times New Roman" w:hAnsi="Times New Roman" w:cs="Times New Roman"/>
          <w:sz w:val="22"/>
          <w:szCs w:val="22"/>
        </w:rPr>
        <w:t xml:space="preserve"> Adicionalmente, en 2023 no hubo necesidad de una declaratoria de Estado de Calamidad, por lo que dicho gasto correspondió a eventos ocurridos en años anteriores. </w:t>
      </w:r>
    </w:p>
    <w:p w14:paraId="65A32C4A" w14:textId="77777777" w:rsidR="000C73B9" w:rsidRDefault="000C73B9" w:rsidP="00DA2155">
      <w:pPr>
        <w:pStyle w:val="Prrafodelista"/>
        <w:ind w:left="567"/>
        <w:rPr>
          <w:rFonts w:ascii="Times New Roman" w:eastAsia="Times New Roman" w:hAnsi="Times New Roman" w:cs="Times New Roman"/>
        </w:rPr>
      </w:pPr>
    </w:p>
    <w:p w14:paraId="692A0576" w14:textId="618C6881" w:rsidR="00B53C13" w:rsidRDefault="00DE5380" w:rsidP="00DA2155">
      <w:pPr>
        <w:numPr>
          <w:ilvl w:val="0"/>
          <w:numId w:val="25"/>
        </w:numPr>
        <w:ind w:left="567"/>
        <w:contextualSpacing/>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Durante el ejercicio fiscal se autorizaron ampliaciones presupuestarias</w:t>
      </w:r>
      <w:r w:rsidR="00544561">
        <w:rPr>
          <w:rFonts w:ascii="Times New Roman" w:eastAsia="Times New Roman" w:hAnsi="Times New Roman" w:cs="Times New Roman"/>
          <w:sz w:val="22"/>
          <w:szCs w:val="22"/>
        </w:rPr>
        <w:t xml:space="preserve"> por Q3</w:t>
      </w:r>
      <w:r>
        <w:rPr>
          <w:rFonts w:ascii="Times New Roman" w:eastAsia="Times New Roman" w:hAnsi="Times New Roman" w:cs="Times New Roman"/>
          <w:sz w:val="22"/>
          <w:szCs w:val="22"/>
        </w:rPr>
        <w:t>,</w:t>
      </w:r>
      <w:r w:rsidR="00544561">
        <w:rPr>
          <w:rFonts w:ascii="Times New Roman" w:eastAsia="Times New Roman" w:hAnsi="Times New Roman" w:cs="Times New Roman"/>
          <w:sz w:val="22"/>
          <w:szCs w:val="22"/>
        </w:rPr>
        <w:t>180.4 millones,</w:t>
      </w:r>
      <w:r>
        <w:rPr>
          <w:rFonts w:ascii="Times New Roman" w:eastAsia="Times New Roman" w:hAnsi="Times New Roman" w:cs="Times New Roman"/>
          <w:sz w:val="22"/>
          <w:szCs w:val="22"/>
        </w:rPr>
        <w:t xml:space="preserve"> las cuales</w:t>
      </w:r>
      <w:r w:rsidR="00EB501D">
        <w:rPr>
          <w:rFonts w:ascii="Times New Roman" w:eastAsia="Times New Roman" w:hAnsi="Times New Roman" w:cs="Times New Roman"/>
          <w:sz w:val="22"/>
          <w:szCs w:val="22"/>
        </w:rPr>
        <w:t xml:space="preserve"> </w:t>
      </w:r>
      <w:r w:rsidR="00845089">
        <w:rPr>
          <w:rFonts w:ascii="Times New Roman" w:eastAsia="Times New Roman" w:hAnsi="Times New Roman" w:cs="Times New Roman"/>
          <w:sz w:val="22"/>
          <w:szCs w:val="22"/>
        </w:rPr>
        <w:t xml:space="preserve"> respondieron </w:t>
      </w:r>
      <w:r w:rsidR="00EB501D">
        <w:rPr>
          <w:rFonts w:ascii="Times New Roman" w:eastAsia="Times New Roman" w:hAnsi="Times New Roman" w:cs="Times New Roman"/>
          <w:sz w:val="22"/>
          <w:szCs w:val="22"/>
        </w:rPr>
        <w:t xml:space="preserve">a </w:t>
      </w:r>
      <w:r>
        <w:rPr>
          <w:rFonts w:ascii="Times New Roman" w:eastAsia="Times New Roman" w:hAnsi="Times New Roman" w:cs="Times New Roman"/>
          <w:sz w:val="22"/>
          <w:szCs w:val="22"/>
        </w:rPr>
        <w:t xml:space="preserve">prioridades </w:t>
      </w:r>
      <w:r w:rsidR="00EB501D">
        <w:rPr>
          <w:rFonts w:ascii="Times New Roman" w:eastAsia="Times New Roman" w:hAnsi="Times New Roman" w:cs="Times New Roman"/>
          <w:sz w:val="22"/>
          <w:szCs w:val="22"/>
        </w:rPr>
        <w:t>d</w:t>
      </w:r>
      <w:r>
        <w:rPr>
          <w:rFonts w:ascii="Times New Roman" w:eastAsia="Times New Roman" w:hAnsi="Times New Roman" w:cs="Times New Roman"/>
          <w:sz w:val="22"/>
          <w:szCs w:val="22"/>
        </w:rPr>
        <w:t xml:space="preserve">el </w:t>
      </w:r>
      <w:r w:rsidR="00544561">
        <w:rPr>
          <w:rFonts w:ascii="Times New Roman" w:eastAsia="Times New Roman" w:hAnsi="Times New Roman" w:cs="Times New Roman"/>
          <w:sz w:val="22"/>
          <w:szCs w:val="22"/>
        </w:rPr>
        <w:t>E</w:t>
      </w:r>
      <w:r>
        <w:rPr>
          <w:rFonts w:ascii="Times New Roman" w:eastAsia="Times New Roman" w:hAnsi="Times New Roman" w:cs="Times New Roman"/>
          <w:sz w:val="22"/>
          <w:szCs w:val="22"/>
        </w:rPr>
        <w:t>jecutivo y</w:t>
      </w:r>
      <w:r w:rsidR="00845089">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principalmente a fortalecer el mantenimiento y construcción de infraestructura estratégica</w:t>
      </w:r>
      <w:r w:rsidR="00544561">
        <w:rPr>
          <w:rFonts w:ascii="Times New Roman" w:eastAsia="Times New Roman" w:hAnsi="Times New Roman" w:cs="Times New Roman"/>
          <w:sz w:val="22"/>
          <w:szCs w:val="22"/>
        </w:rPr>
        <w:t xml:space="preserve">, a cubrir los subsidios temporales, cumplir con el </w:t>
      </w:r>
      <w:r w:rsidR="00544561" w:rsidRPr="00544561">
        <w:rPr>
          <w:rFonts w:ascii="Times New Roman" w:eastAsia="Times New Roman" w:hAnsi="Times New Roman" w:cs="Times New Roman"/>
          <w:sz w:val="22"/>
          <w:szCs w:val="22"/>
        </w:rPr>
        <w:t>incremento a las jubilaciones y pensiones del régimen de clases pasivas y civiles del Estado</w:t>
      </w:r>
      <w:r w:rsidR="00544561">
        <w:rPr>
          <w:rFonts w:ascii="Times New Roman" w:eastAsia="Times New Roman" w:hAnsi="Times New Roman" w:cs="Times New Roman"/>
          <w:sz w:val="22"/>
          <w:szCs w:val="22"/>
        </w:rPr>
        <w:t>,</w:t>
      </w:r>
      <w:r w:rsidR="00544561" w:rsidRPr="00544561">
        <w:rPr>
          <w:rFonts w:ascii="Times New Roman" w:eastAsia="Times New Roman" w:hAnsi="Times New Roman" w:cs="Times New Roman"/>
          <w:sz w:val="22"/>
          <w:szCs w:val="22"/>
        </w:rPr>
        <w:t xml:space="preserve"> ampliaciones a favor de los CODEDES</w:t>
      </w:r>
      <w:r w:rsidR="00544561">
        <w:rPr>
          <w:rFonts w:ascii="Times New Roman" w:eastAsia="Times New Roman" w:hAnsi="Times New Roman" w:cs="Times New Roman"/>
          <w:sz w:val="22"/>
          <w:szCs w:val="22"/>
        </w:rPr>
        <w:t xml:space="preserve">, cubrir beneficiarios de la Ley Temporal de Desarrollo Integral y el fortalecimiento del programa del adulto mayor, entre otras. </w:t>
      </w:r>
    </w:p>
    <w:p w14:paraId="20C9744A" w14:textId="77777777" w:rsidR="00EB501D" w:rsidRDefault="00EB501D" w:rsidP="00DA2155">
      <w:pPr>
        <w:pStyle w:val="Prrafodelista"/>
        <w:ind w:left="567"/>
        <w:rPr>
          <w:rFonts w:ascii="Times New Roman" w:eastAsia="Times New Roman" w:hAnsi="Times New Roman" w:cs="Times New Roman"/>
        </w:rPr>
      </w:pPr>
    </w:p>
    <w:p w14:paraId="3291DC9E" w14:textId="18C2BA40" w:rsidR="00EB501D" w:rsidRPr="00EB501D" w:rsidRDefault="00EB501D" w:rsidP="00DA2155">
      <w:pPr>
        <w:numPr>
          <w:ilvl w:val="0"/>
          <w:numId w:val="25"/>
        </w:numPr>
        <w:ind w:left="567"/>
        <w:contextualSpacing/>
        <w:jc w:val="both"/>
        <w:rPr>
          <w:rFonts w:ascii="Times New Roman" w:eastAsia="Times New Roman" w:hAnsi="Times New Roman" w:cs="Times New Roman"/>
          <w:sz w:val="22"/>
          <w:szCs w:val="22"/>
        </w:rPr>
      </w:pPr>
      <w:r w:rsidRPr="00EB501D">
        <w:rPr>
          <w:rFonts w:ascii="Times New Roman" w:eastAsia="Times New Roman" w:hAnsi="Times New Roman" w:cs="Times New Roman"/>
          <w:sz w:val="22"/>
          <w:szCs w:val="22"/>
        </w:rPr>
        <w:t>El Ministerio de Comunicaciones, Infraestructura y Vivienda mantuvo intervenciones en</w:t>
      </w:r>
      <w:r w:rsidR="00DA00CD">
        <w:rPr>
          <w:rFonts w:ascii="Times New Roman" w:eastAsia="Times New Roman" w:hAnsi="Times New Roman" w:cs="Times New Roman"/>
          <w:sz w:val="22"/>
          <w:szCs w:val="22"/>
        </w:rPr>
        <w:t xml:space="preserve"> el</w:t>
      </w:r>
      <w:r w:rsidRPr="00EB501D">
        <w:rPr>
          <w:rFonts w:ascii="Times New Roman" w:eastAsia="Times New Roman" w:hAnsi="Times New Roman" w:cs="Times New Roman"/>
          <w:sz w:val="22"/>
          <w:szCs w:val="22"/>
        </w:rPr>
        <w:t xml:space="preserve"> programa de infraestructura estratégica correspondientes al Decreto </w:t>
      </w:r>
      <w:r w:rsidR="00845089">
        <w:rPr>
          <w:rFonts w:ascii="Times New Roman" w:eastAsia="Times New Roman" w:hAnsi="Times New Roman" w:cs="Times New Roman"/>
          <w:sz w:val="22"/>
          <w:szCs w:val="22"/>
        </w:rPr>
        <w:t>N</w:t>
      </w:r>
      <w:r w:rsidR="00845089" w:rsidRPr="00EB501D">
        <w:rPr>
          <w:rFonts w:ascii="Times New Roman" w:eastAsia="Times New Roman" w:hAnsi="Times New Roman" w:cs="Times New Roman"/>
          <w:sz w:val="22"/>
          <w:szCs w:val="22"/>
        </w:rPr>
        <w:t xml:space="preserve">úmero </w:t>
      </w:r>
      <w:r w:rsidRPr="00EB501D">
        <w:rPr>
          <w:rFonts w:ascii="Times New Roman" w:eastAsia="Times New Roman" w:hAnsi="Times New Roman" w:cs="Times New Roman"/>
          <w:sz w:val="22"/>
          <w:szCs w:val="22"/>
        </w:rPr>
        <w:t xml:space="preserve">21-2022 “Ley para </w:t>
      </w:r>
      <w:r w:rsidR="00845089">
        <w:rPr>
          <w:rFonts w:ascii="Times New Roman" w:eastAsia="Times New Roman" w:hAnsi="Times New Roman" w:cs="Times New Roman"/>
          <w:sz w:val="22"/>
          <w:szCs w:val="22"/>
        </w:rPr>
        <w:t>F</w:t>
      </w:r>
      <w:r w:rsidR="00845089" w:rsidRPr="00EB501D">
        <w:rPr>
          <w:rFonts w:ascii="Times New Roman" w:eastAsia="Times New Roman" w:hAnsi="Times New Roman" w:cs="Times New Roman"/>
          <w:sz w:val="22"/>
          <w:szCs w:val="22"/>
        </w:rPr>
        <w:t xml:space="preserve">ortalecer </w:t>
      </w:r>
      <w:r w:rsidRPr="00EB501D">
        <w:rPr>
          <w:rFonts w:ascii="Times New Roman" w:eastAsia="Times New Roman" w:hAnsi="Times New Roman" w:cs="Times New Roman"/>
          <w:sz w:val="22"/>
          <w:szCs w:val="22"/>
        </w:rPr>
        <w:t>el Mantenimiento y Construcción de Infraestructura Estratégica”, siendo el objeto apoyar el mantenimiento y construcción de infraestructura estratégica, así como la recuperación de la red vial</w:t>
      </w:r>
      <w:r>
        <w:rPr>
          <w:rFonts w:ascii="Times New Roman" w:eastAsia="Times New Roman" w:hAnsi="Times New Roman" w:cs="Times New Roman"/>
          <w:sz w:val="22"/>
          <w:szCs w:val="22"/>
        </w:rPr>
        <w:t xml:space="preserve">. Estas asignaciones correspondían </w:t>
      </w:r>
      <w:r w:rsidR="00AC6D59">
        <w:rPr>
          <w:rFonts w:ascii="Times New Roman" w:eastAsia="Times New Roman" w:hAnsi="Times New Roman" w:cs="Times New Roman"/>
          <w:sz w:val="22"/>
          <w:szCs w:val="22"/>
        </w:rPr>
        <w:t>inicialmente</w:t>
      </w:r>
      <w:r w:rsidR="00DC0B62">
        <w:rPr>
          <w:rFonts w:ascii="Times New Roman" w:eastAsia="Times New Roman" w:hAnsi="Times New Roman" w:cs="Times New Roman"/>
          <w:sz w:val="22"/>
          <w:szCs w:val="22"/>
        </w:rPr>
        <w:t xml:space="preserve"> al ejercicio fiscal</w:t>
      </w:r>
      <w:r>
        <w:rPr>
          <w:rFonts w:ascii="Times New Roman" w:eastAsia="Times New Roman" w:hAnsi="Times New Roman" w:cs="Times New Roman"/>
          <w:sz w:val="22"/>
          <w:szCs w:val="22"/>
        </w:rPr>
        <w:t xml:space="preserve"> 2022</w:t>
      </w:r>
      <w:r w:rsidR="00DC0B62">
        <w:rPr>
          <w:rFonts w:ascii="Times New Roman" w:eastAsia="Times New Roman" w:hAnsi="Times New Roman" w:cs="Times New Roman"/>
          <w:sz w:val="22"/>
          <w:szCs w:val="22"/>
        </w:rPr>
        <w:t>, no obstante, mucho de estos recursos se reorientaron a fortalecer el Fondo Emergente.</w:t>
      </w:r>
    </w:p>
    <w:bookmarkEnd w:id="46"/>
    <w:p w14:paraId="2C5D7304" w14:textId="18122C82" w:rsidR="00392126" w:rsidRDefault="00392126" w:rsidP="00B53C13">
      <w:pPr>
        <w:pStyle w:val="Prrafodelista"/>
        <w:rPr>
          <w:rFonts w:ascii="Times New Roman" w:eastAsia="Times New Roman" w:hAnsi="Times New Roman" w:cs="Times New Roman"/>
        </w:rPr>
      </w:pPr>
    </w:p>
    <w:p w14:paraId="32A8A4EF" w14:textId="0D19E3F4" w:rsidR="0039645E" w:rsidRPr="004A66F0" w:rsidRDefault="00217F22" w:rsidP="0039645E">
      <w:pPr>
        <w:jc w:val="both"/>
        <w:rPr>
          <w:rFonts w:ascii="Times New Roman" w:hAnsi="Times New Roman" w:cs="Times New Roman"/>
          <w:sz w:val="22"/>
          <w:szCs w:val="22"/>
          <w:lang w:val="es-ES_tradnl" w:eastAsia="es-ES"/>
        </w:rPr>
      </w:pPr>
      <w:r w:rsidRPr="00217F22">
        <w:rPr>
          <w:rFonts w:ascii="Times New Roman" w:hAnsi="Times New Roman" w:cs="Times New Roman"/>
          <w:sz w:val="22"/>
          <w:szCs w:val="22"/>
          <w:lang w:val="es-ES_tradnl" w:eastAsia="es-ES"/>
        </w:rPr>
        <w:t>E</w:t>
      </w:r>
      <w:r w:rsidR="0039645E" w:rsidRPr="00217F22">
        <w:rPr>
          <w:rFonts w:ascii="Times New Roman" w:hAnsi="Times New Roman" w:cs="Times New Roman"/>
          <w:sz w:val="22"/>
          <w:szCs w:val="22"/>
          <w:lang w:val="es-ES_tradnl" w:eastAsia="es-ES"/>
        </w:rPr>
        <w:t>xisten otros elementos que incidieron en la ejecución de gasto de 202</w:t>
      </w:r>
      <w:r w:rsidR="00B53C13" w:rsidRPr="00217F22">
        <w:rPr>
          <w:rFonts w:ascii="Times New Roman" w:hAnsi="Times New Roman" w:cs="Times New Roman"/>
          <w:sz w:val="22"/>
          <w:szCs w:val="22"/>
          <w:lang w:val="es-ES_tradnl" w:eastAsia="es-ES"/>
        </w:rPr>
        <w:t>3</w:t>
      </w:r>
      <w:r w:rsidR="0039645E" w:rsidRPr="00217F22">
        <w:rPr>
          <w:rFonts w:ascii="Times New Roman" w:hAnsi="Times New Roman" w:cs="Times New Roman"/>
          <w:sz w:val="22"/>
          <w:szCs w:val="22"/>
          <w:lang w:val="es-ES_tradnl" w:eastAsia="es-ES"/>
        </w:rPr>
        <w:t xml:space="preserve">, estos serán abordados en secciones posteriores, los mencionados anteriormente se pueden </w:t>
      </w:r>
      <w:r w:rsidR="00845089" w:rsidRPr="00217F22">
        <w:rPr>
          <w:rFonts w:ascii="Times New Roman" w:hAnsi="Times New Roman" w:cs="Times New Roman"/>
          <w:sz w:val="22"/>
          <w:szCs w:val="22"/>
          <w:lang w:val="es-ES_tradnl" w:eastAsia="es-ES"/>
        </w:rPr>
        <w:t>considerar</w:t>
      </w:r>
      <w:r w:rsidR="00845089">
        <w:rPr>
          <w:rFonts w:ascii="Times New Roman" w:hAnsi="Times New Roman" w:cs="Times New Roman"/>
          <w:sz w:val="22"/>
          <w:szCs w:val="22"/>
          <w:lang w:val="es-ES_tradnl" w:eastAsia="es-ES"/>
        </w:rPr>
        <w:t xml:space="preserve"> </w:t>
      </w:r>
      <w:r w:rsidR="0039645E" w:rsidRPr="00217F22">
        <w:rPr>
          <w:rFonts w:ascii="Times New Roman" w:hAnsi="Times New Roman" w:cs="Times New Roman"/>
          <w:sz w:val="22"/>
          <w:szCs w:val="22"/>
          <w:lang w:val="es-ES_tradnl" w:eastAsia="es-ES"/>
        </w:rPr>
        <w:t>los más relevantes</w:t>
      </w:r>
      <w:r w:rsidRPr="00217F22">
        <w:rPr>
          <w:rFonts w:ascii="Times New Roman" w:hAnsi="Times New Roman" w:cs="Times New Roman"/>
          <w:sz w:val="22"/>
          <w:szCs w:val="22"/>
          <w:lang w:val="es-ES_tradnl" w:eastAsia="es-ES"/>
        </w:rPr>
        <w:t>.</w:t>
      </w:r>
      <w:r w:rsidR="0039645E" w:rsidRPr="00217F22">
        <w:rPr>
          <w:rFonts w:ascii="Times New Roman" w:hAnsi="Times New Roman" w:cs="Times New Roman"/>
          <w:sz w:val="22"/>
          <w:szCs w:val="22"/>
          <w:lang w:val="es-ES_tradnl" w:eastAsia="es-ES"/>
        </w:rPr>
        <w:t xml:space="preserve"> </w:t>
      </w:r>
    </w:p>
    <w:p w14:paraId="0ACC3381" w14:textId="4E4B181E" w:rsidR="0039645E" w:rsidRPr="004A66F0" w:rsidRDefault="0039645E" w:rsidP="0039645E">
      <w:pPr>
        <w:rPr>
          <w:rFonts w:ascii="Times New Roman" w:eastAsia="Times New Roman" w:hAnsi="Times New Roman" w:cs="Times New Roman"/>
          <w:sz w:val="22"/>
          <w:szCs w:val="22"/>
          <w:lang w:val="es-ES_tradnl"/>
        </w:rPr>
      </w:pPr>
    </w:p>
    <w:p w14:paraId="56E084B3" w14:textId="31E69626" w:rsidR="0039645E" w:rsidRPr="00F4749C" w:rsidRDefault="00D6425E" w:rsidP="000656CC">
      <w:pPr>
        <w:keepNext/>
        <w:keepLines/>
        <w:tabs>
          <w:tab w:val="left" w:pos="1134"/>
        </w:tabs>
        <w:ind w:left="567" w:hanging="283"/>
        <w:jc w:val="both"/>
        <w:outlineLvl w:val="1"/>
        <w:rPr>
          <w:rFonts w:ascii="Times New Roman" w:eastAsiaTheme="majorEastAsia" w:hAnsi="Times New Roman" w:cs="Times New Roman"/>
          <w:b/>
          <w:bCs/>
        </w:rPr>
      </w:pPr>
      <w:bookmarkStart w:id="47" w:name="_Toc125538990"/>
      <w:bookmarkStart w:id="48" w:name="_Toc160196849"/>
      <w:r>
        <w:rPr>
          <w:rFonts w:ascii="Times New Roman" w:eastAsiaTheme="majorEastAsia" w:hAnsi="Times New Roman" w:cs="Times New Roman"/>
          <w:b/>
          <w:bCs/>
        </w:rPr>
        <w:t xml:space="preserve">2.1 </w:t>
      </w:r>
      <w:r w:rsidR="00F4749C">
        <w:rPr>
          <w:rFonts w:ascii="Times New Roman" w:eastAsiaTheme="majorEastAsia" w:hAnsi="Times New Roman" w:cs="Times New Roman"/>
          <w:b/>
          <w:bCs/>
        </w:rPr>
        <w:t>Modesto</w:t>
      </w:r>
      <w:r w:rsidR="0039645E" w:rsidRPr="00F4749C">
        <w:rPr>
          <w:rFonts w:ascii="Times New Roman" w:eastAsiaTheme="majorEastAsia" w:hAnsi="Times New Roman" w:cs="Times New Roman"/>
          <w:b/>
          <w:bCs/>
        </w:rPr>
        <w:t xml:space="preserve"> dinamismo en la ejecución del gasto 202</w:t>
      </w:r>
      <w:bookmarkEnd w:id="47"/>
      <w:r w:rsidR="00F4749C">
        <w:rPr>
          <w:rFonts w:ascii="Times New Roman" w:eastAsiaTheme="majorEastAsia" w:hAnsi="Times New Roman" w:cs="Times New Roman"/>
          <w:b/>
          <w:bCs/>
        </w:rPr>
        <w:t>3</w:t>
      </w:r>
      <w:bookmarkEnd w:id="48"/>
    </w:p>
    <w:p w14:paraId="7E4FA0A3" w14:textId="4054D8EA" w:rsidR="0039645E" w:rsidRPr="00A02621" w:rsidRDefault="0039645E" w:rsidP="000656CC">
      <w:pPr>
        <w:rPr>
          <w:rFonts w:ascii="Times New Roman" w:eastAsiaTheme="majorEastAsia" w:hAnsi="Times New Roman" w:cs="Times New Roman"/>
          <w:b/>
          <w:bCs/>
        </w:rPr>
      </w:pPr>
    </w:p>
    <w:p w14:paraId="3A78B399" w14:textId="41FE08A8" w:rsidR="00744A13" w:rsidRDefault="0039645E" w:rsidP="003565E1">
      <w:pPr>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 xml:space="preserve">La ejecución </w:t>
      </w:r>
      <w:r w:rsidR="009C1DAD">
        <w:rPr>
          <w:rFonts w:ascii="Times New Roman" w:eastAsia="Times New Roman" w:hAnsi="Times New Roman" w:cs="Times New Roman"/>
          <w:sz w:val="22"/>
          <w:szCs w:val="22"/>
          <w:lang w:val="es-ES_tradnl" w:eastAsia="es-ES"/>
        </w:rPr>
        <w:t>del</w:t>
      </w:r>
      <w:r w:rsidR="009C1DAD" w:rsidRPr="004A66F0">
        <w:rPr>
          <w:rFonts w:ascii="Times New Roman" w:eastAsia="Times New Roman" w:hAnsi="Times New Roman" w:cs="Times New Roman"/>
          <w:sz w:val="22"/>
          <w:szCs w:val="22"/>
          <w:lang w:val="es-ES_tradnl" w:eastAsia="es-ES"/>
        </w:rPr>
        <w:t xml:space="preserve"> </w:t>
      </w:r>
      <w:r w:rsidRPr="004A66F0">
        <w:rPr>
          <w:rFonts w:ascii="Times New Roman" w:eastAsia="Times New Roman" w:hAnsi="Times New Roman" w:cs="Times New Roman"/>
          <w:sz w:val="22"/>
          <w:szCs w:val="22"/>
          <w:lang w:val="es-ES_tradnl" w:eastAsia="es-ES"/>
        </w:rPr>
        <w:t>gasto al cierre de 202</w:t>
      </w:r>
      <w:r w:rsidR="00744A13">
        <w:rPr>
          <w:rFonts w:ascii="Times New Roman" w:eastAsia="Times New Roman" w:hAnsi="Times New Roman" w:cs="Times New Roman"/>
          <w:sz w:val="22"/>
          <w:szCs w:val="22"/>
          <w:lang w:val="es-ES_tradnl" w:eastAsia="es-ES"/>
        </w:rPr>
        <w:t>3</w:t>
      </w:r>
      <w:r w:rsidRPr="004A66F0">
        <w:rPr>
          <w:rFonts w:ascii="Times New Roman" w:eastAsia="Times New Roman" w:hAnsi="Times New Roman" w:cs="Times New Roman"/>
          <w:sz w:val="22"/>
          <w:szCs w:val="22"/>
          <w:lang w:val="es-ES_tradnl" w:eastAsia="es-ES"/>
        </w:rPr>
        <w:t xml:space="preserve"> se situó en Q1</w:t>
      </w:r>
      <w:r w:rsidR="00BD70E3">
        <w:rPr>
          <w:rFonts w:ascii="Times New Roman" w:eastAsia="Times New Roman" w:hAnsi="Times New Roman" w:cs="Times New Roman"/>
          <w:sz w:val="22"/>
          <w:szCs w:val="22"/>
          <w:lang w:val="es-ES_tradnl" w:eastAsia="es-ES"/>
        </w:rPr>
        <w:t>12</w:t>
      </w:r>
      <w:r w:rsidRPr="004A66F0">
        <w:rPr>
          <w:rFonts w:ascii="Times New Roman" w:eastAsia="Times New Roman" w:hAnsi="Times New Roman" w:cs="Times New Roman"/>
          <w:sz w:val="22"/>
          <w:szCs w:val="22"/>
          <w:lang w:val="es-ES_tradnl" w:eastAsia="es-ES"/>
        </w:rPr>
        <w:t>,</w:t>
      </w:r>
      <w:r w:rsidR="00BD70E3">
        <w:rPr>
          <w:rFonts w:ascii="Times New Roman" w:eastAsia="Times New Roman" w:hAnsi="Times New Roman" w:cs="Times New Roman"/>
          <w:sz w:val="22"/>
          <w:szCs w:val="22"/>
          <w:lang w:val="es-ES_tradnl" w:eastAsia="es-ES"/>
        </w:rPr>
        <w:t>246</w:t>
      </w:r>
      <w:r w:rsidRPr="004A66F0">
        <w:rPr>
          <w:rFonts w:ascii="Times New Roman" w:eastAsia="Times New Roman" w:hAnsi="Times New Roman" w:cs="Times New Roman"/>
          <w:sz w:val="22"/>
          <w:szCs w:val="22"/>
          <w:lang w:val="es-ES_tradnl" w:eastAsia="es-ES"/>
        </w:rPr>
        <w:t>.</w:t>
      </w:r>
      <w:r w:rsidR="00BD70E3">
        <w:rPr>
          <w:rFonts w:ascii="Times New Roman" w:eastAsia="Times New Roman" w:hAnsi="Times New Roman" w:cs="Times New Roman"/>
          <w:sz w:val="22"/>
          <w:szCs w:val="22"/>
          <w:lang w:val="es-ES_tradnl" w:eastAsia="es-ES"/>
        </w:rPr>
        <w:t>4</w:t>
      </w:r>
      <w:r w:rsidRPr="004A66F0">
        <w:rPr>
          <w:rFonts w:ascii="Times New Roman" w:eastAsia="Times New Roman" w:hAnsi="Times New Roman" w:cs="Times New Roman"/>
          <w:sz w:val="22"/>
          <w:szCs w:val="22"/>
          <w:lang w:val="es-ES_tradnl" w:eastAsia="es-ES"/>
        </w:rPr>
        <w:t xml:space="preserve"> millones (sin incluir amortizaciones de la deuda pública), mayor en Q6</w:t>
      </w:r>
      <w:r w:rsidR="00BD70E3">
        <w:rPr>
          <w:rFonts w:ascii="Times New Roman" w:eastAsia="Times New Roman" w:hAnsi="Times New Roman" w:cs="Times New Roman"/>
          <w:sz w:val="22"/>
          <w:szCs w:val="22"/>
          <w:lang w:val="es-ES_tradnl" w:eastAsia="es-ES"/>
        </w:rPr>
        <w:t>,520</w:t>
      </w:r>
      <w:r w:rsidRPr="004A66F0">
        <w:rPr>
          <w:rFonts w:ascii="Times New Roman" w:eastAsia="Times New Roman" w:hAnsi="Times New Roman" w:cs="Times New Roman"/>
          <w:sz w:val="22"/>
          <w:szCs w:val="22"/>
          <w:lang w:val="es-ES_tradnl" w:eastAsia="es-ES"/>
        </w:rPr>
        <w:t>.</w:t>
      </w:r>
      <w:r w:rsidR="00BD70E3">
        <w:rPr>
          <w:rFonts w:ascii="Times New Roman" w:eastAsia="Times New Roman" w:hAnsi="Times New Roman" w:cs="Times New Roman"/>
          <w:sz w:val="22"/>
          <w:szCs w:val="22"/>
          <w:lang w:val="es-ES_tradnl" w:eastAsia="es-ES"/>
        </w:rPr>
        <w:t>6</w:t>
      </w:r>
      <w:r w:rsidRPr="004A66F0">
        <w:rPr>
          <w:rFonts w:ascii="Times New Roman" w:eastAsia="Times New Roman" w:hAnsi="Times New Roman" w:cs="Times New Roman"/>
          <w:sz w:val="22"/>
          <w:szCs w:val="22"/>
          <w:lang w:val="es-ES_tradnl" w:eastAsia="es-ES"/>
        </w:rPr>
        <w:t xml:space="preserve"> millones al cierre de 202</w:t>
      </w:r>
      <w:r w:rsidR="00BD70E3">
        <w:rPr>
          <w:rFonts w:ascii="Times New Roman" w:eastAsia="Times New Roman" w:hAnsi="Times New Roman" w:cs="Times New Roman"/>
          <w:sz w:val="22"/>
          <w:szCs w:val="22"/>
          <w:lang w:val="es-ES_tradnl" w:eastAsia="es-ES"/>
        </w:rPr>
        <w:t>2</w:t>
      </w:r>
      <w:r w:rsidRPr="004A66F0">
        <w:rPr>
          <w:rFonts w:ascii="Times New Roman" w:eastAsia="Times New Roman" w:hAnsi="Times New Roman" w:cs="Times New Roman"/>
          <w:sz w:val="22"/>
          <w:szCs w:val="22"/>
          <w:lang w:val="es-ES_tradnl" w:eastAsia="es-ES"/>
        </w:rPr>
        <w:t xml:space="preserve">. </w:t>
      </w:r>
      <w:r w:rsidR="00744A13">
        <w:rPr>
          <w:rFonts w:ascii="Times New Roman" w:eastAsia="Times New Roman" w:hAnsi="Times New Roman" w:cs="Times New Roman"/>
          <w:sz w:val="22"/>
          <w:szCs w:val="22"/>
          <w:lang w:val="es-ES_tradnl" w:eastAsia="es-ES"/>
        </w:rPr>
        <w:t xml:space="preserve"> </w:t>
      </w:r>
    </w:p>
    <w:p w14:paraId="555E9BC3" w14:textId="77777777" w:rsidR="00744A13" w:rsidRDefault="00744A13" w:rsidP="003565E1">
      <w:pPr>
        <w:jc w:val="both"/>
        <w:rPr>
          <w:rFonts w:ascii="Times New Roman" w:eastAsia="Times New Roman" w:hAnsi="Times New Roman" w:cs="Times New Roman"/>
          <w:sz w:val="22"/>
          <w:szCs w:val="22"/>
          <w:lang w:val="es-ES_tradnl" w:eastAsia="es-ES"/>
        </w:rPr>
      </w:pPr>
    </w:p>
    <w:p w14:paraId="282FCCC5" w14:textId="32482F93" w:rsidR="001A25FC" w:rsidRPr="00971994" w:rsidRDefault="001B6652" w:rsidP="0039645E">
      <w:pPr>
        <w:jc w:val="both"/>
        <w:rPr>
          <w:rFonts w:ascii="Times New Roman" w:eastAsia="Times New Roman" w:hAnsi="Times New Roman" w:cs="Times New Roman"/>
          <w:sz w:val="22"/>
          <w:szCs w:val="22"/>
          <w:lang w:val="es-ES_tradnl" w:eastAsia="es-ES"/>
        </w:rPr>
      </w:pPr>
      <w:r w:rsidRPr="00971994">
        <w:rPr>
          <w:rFonts w:ascii="Times New Roman" w:eastAsia="Times New Roman" w:hAnsi="Times New Roman" w:cs="Times New Roman"/>
          <w:sz w:val="22"/>
          <w:szCs w:val="22"/>
          <w:lang w:val="es-ES_tradnl" w:eastAsia="es-ES"/>
        </w:rPr>
        <w:t xml:space="preserve">A nivel internacional se ampliaron las tensiones geopolíticas al conflicto entre Rusia y Ucrania que venía desarrollándose desde febrero de 2022 y por la cual se vio afectado </w:t>
      </w:r>
      <w:r w:rsidR="0039645E" w:rsidRPr="00971994">
        <w:rPr>
          <w:rFonts w:ascii="Times New Roman" w:eastAsia="Times New Roman" w:hAnsi="Times New Roman" w:cs="Times New Roman"/>
          <w:sz w:val="22"/>
          <w:szCs w:val="22"/>
          <w:lang w:val="es-ES_tradnl" w:eastAsia="es-ES"/>
        </w:rPr>
        <w:t>el abastecimiento del mercado de ciertos commodities</w:t>
      </w:r>
      <w:r w:rsidR="008B6FB2">
        <w:rPr>
          <w:rFonts w:ascii="Times New Roman" w:eastAsia="Times New Roman" w:hAnsi="Times New Roman" w:cs="Times New Roman"/>
          <w:sz w:val="22"/>
          <w:szCs w:val="22"/>
          <w:lang w:val="es-ES_tradnl" w:eastAsia="es-ES"/>
        </w:rPr>
        <w:t>.</w:t>
      </w:r>
      <w:r w:rsidR="0039645E" w:rsidRPr="00971994">
        <w:rPr>
          <w:rFonts w:ascii="Times New Roman" w:eastAsia="Times New Roman" w:hAnsi="Times New Roman" w:cs="Times New Roman"/>
          <w:sz w:val="22"/>
          <w:szCs w:val="22"/>
          <w:lang w:val="es-ES_tradnl" w:eastAsia="es-ES"/>
        </w:rPr>
        <w:t xml:space="preserve"> </w:t>
      </w:r>
      <w:r w:rsidR="008B6FB2">
        <w:rPr>
          <w:rFonts w:ascii="Times New Roman" w:eastAsia="Times New Roman" w:hAnsi="Times New Roman" w:cs="Times New Roman"/>
          <w:sz w:val="22"/>
          <w:szCs w:val="22"/>
          <w:lang w:val="es-ES_tradnl" w:eastAsia="es-ES"/>
        </w:rPr>
        <w:t>I</w:t>
      </w:r>
      <w:r w:rsidR="0039645E" w:rsidRPr="00971994">
        <w:rPr>
          <w:rFonts w:ascii="Times New Roman" w:eastAsia="Times New Roman" w:hAnsi="Times New Roman" w:cs="Times New Roman"/>
          <w:sz w:val="22"/>
          <w:szCs w:val="22"/>
          <w:lang w:val="es-ES_tradnl" w:eastAsia="es-ES"/>
        </w:rPr>
        <w:t>ncidiendo</w:t>
      </w:r>
      <w:r w:rsidR="001A25FC" w:rsidRPr="00971994">
        <w:rPr>
          <w:rFonts w:ascii="Times New Roman" w:eastAsia="Times New Roman" w:hAnsi="Times New Roman" w:cs="Times New Roman"/>
          <w:sz w:val="22"/>
          <w:szCs w:val="22"/>
          <w:lang w:val="es-ES_tradnl" w:eastAsia="es-ES"/>
        </w:rPr>
        <w:t xml:space="preserve"> en los precios</w:t>
      </w:r>
      <w:r w:rsidR="00501DD4">
        <w:rPr>
          <w:rFonts w:ascii="Times New Roman" w:eastAsia="Times New Roman" w:hAnsi="Times New Roman" w:cs="Times New Roman"/>
          <w:sz w:val="22"/>
          <w:szCs w:val="22"/>
          <w:lang w:val="es-ES_tradnl" w:eastAsia="es-ES"/>
        </w:rPr>
        <w:t xml:space="preserve"> y la inflación</w:t>
      </w:r>
      <w:r w:rsidR="001A25FC" w:rsidRPr="00971994">
        <w:rPr>
          <w:rFonts w:ascii="Times New Roman" w:eastAsia="Times New Roman" w:hAnsi="Times New Roman" w:cs="Times New Roman"/>
          <w:sz w:val="22"/>
          <w:szCs w:val="22"/>
          <w:lang w:val="es-ES_tradnl" w:eastAsia="es-ES"/>
        </w:rPr>
        <w:t>, se sumó el conflicto entre Israel y Gaza y a finales de año</w:t>
      </w:r>
      <w:r w:rsidR="008B6FB2">
        <w:rPr>
          <w:rFonts w:ascii="Times New Roman" w:eastAsia="Times New Roman" w:hAnsi="Times New Roman" w:cs="Times New Roman"/>
          <w:sz w:val="22"/>
          <w:szCs w:val="22"/>
          <w:lang w:val="es-ES_tradnl" w:eastAsia="es-ES"/>
        </w:rPr>
        <w:t>,</w:t>
      </w:r>
      <w:r w:rsidR="001A25FC" w:rsidRPr="00971994">
        <w:rPr>
          <w:rFonts w:ascii="Times New Roman" w:eastAsia="Times New Roman" w:hAnsi="Times New Roman" w:cs="Times New Roman"/>
          <w:sz w:val="22"/>
          <w:szCs w:val="22"/>
          <w:lang w:val="es-ES_tradnl" w:eastAsia="es-ES"/>
        </w:rPr>
        <w:t xml:space="preserve"> el ataque a embarcaciones que transit</w:t>
      </w:r>
      <w:r w:rsidR="00501DD4">
        <w:rPr>
          <w:rFonts w:ascii="Times New Roman" w:eastAsia="Times New Roman" w:hAnsi="Times New Roman" w:cs="Times New Roman"/>
          <w:sz w:val="22"/>
          <w:szCs w:val="22"/>
          <w:lang w:val="es-ES_tradnl" w:eastAsia="es-ES"/>
        </w:rPr>
        <w:t>aban</w:t>
      </w:r>
      <w:r w:rsidR="001A25FC" w:rsidRPr="00971994">
        <w:rPr>
          <w:rFonts w:ascii="Times New Roman" w:eastAsia="Times New Roman" w:hAnsi="Times New Roman" w:cs="Times New Roman"/>
          <w:sz w:val="22"/>
          <w:szCs w:val="22"/>
          <w:lang w:val="es-ES_tradnl" w:eastAsia="es-ES"/>
        </w:rPr>
        <w:t xml:space="preserve"> por el mar Rojo, lo cual podría tener repercusiones en el comercio mundial con </w:t>
      </w:r>
      <w:r w:rsidR="009C1DAD" w:rsidRPr="00971994">
        <w:rPr>
          <w:rFonts w:ascii="Times New Roman" w:eastAsia="Times New Roman" w:hAnsi="Times New Roman" w:cs="Times New Roman"/>
          <w:sz w:val="22"/>
          <w:szCs w:val="22"/>
          <w:lang w:val="es-ES_tradnl" w:eastAsia="es-ES"/>
        </w:rPr>
        <w:t>cost</w:t>
      </w:r>
      <w:r w:rsidR="009C1DAD">
        <w:rPr>
          <w:rFonts w:ascii="Times New Roman" w:eastAsia="Times New Roman" w:hAnsi="Times New Roman" w:cs="Times New Roman"/>
          <w:sz w:val="22"/>
          <w:szCs w:val="22"/>
          <w:lang w:val="es-ES_tradnl" w:eastAsia="es-ES"/>
        </w:rPr>
        <w:t>o</w:t>
      </w:r>
      <w:r w:rsidR="009C1DAD" w:rsidRPr="00971994">
        <w:rPr>
          <w:rFonts w:ascii="Times New Roman" w:eastAsia="Times New Roman" w:hAnsi="Times New Roman" w:cs="Times New Roman"/>
          <w:sz w:val="22"/>
          <w:szCs w:val="22"/>
          <w:lang w:val="es-ES_tradnl" w:eastAsia="es-ES"/>
        </w:rPr>
        <w:t xml:space="preserve">s </w:t>
      </w:r>
      <w:r w:rsidR="001A25FC" w:rsidRPr="00971994">
        <w:rPr>
          <w:rFonts w:ascii="Times New Roman" w:eastAsia="Times New Roman" w:hAnsi="Times New Roman" w:cs="Times New Roman"/>
          <w:sz w:val="22"/>
          <w:szCs w:val="22"/>
          <w:lang w:val="es-ES_tradnl" w:eastAsia="es-ES"/>
        </w:rPr>
        <w:t xml:space="preserve">significativos por el desvío de buques hacia rutas </w:t>
      </w:r>
      <w:r w:rsidR="00971994" w:rsidRPr="00971994">
        <w:rPr>
          <w:rFonts w:ascii="Times New Roman" w:eastAsia="Times New Roman" w:hAnsi="Times New Roman" w:cs="Times New Roman"/>
          <w:sz w:val="22"/>
          <w:szCs w:val="22"/>
          <w:lang w:val="es-ES_tradnl" w:eastAsia="es-ES"/>
        </w:rPr>
        <w:t>más lejanas y con retrasos en la entrega de productos.</w:t>
      </w:r>
    </w:p>
    <w:p w14:paraId="7B136C61" w14:textId="3331D22E" w:rsidR="001A25FC" w:rsidRDefault="001A25FC" w:rsidP="0039645E">
      <w:pPr>
        <w:jc w:val="both"/>
        <w:rPr>
          <w:rFonts w:ascii="Times New Roman" w:eastAsia="Times New Roman" w:hAnsi="Times New Roman" w:cs="Times New Roman"/>
          <w:sz w:val="22"/>
          <w:szCs w:val="22"/>
          <w:highlight w:val="yellow"/>
          <w:lang w:val="es-ES_tradnl" w:eastAsia="es-ES"/>
        </w:rPr>
      </w:pPr>
    </w:p>
    <w:p w14:paraId="07B8EA84" w14:textId="5F964616" w:rsidR="00971994" w:rsidRDefault="00501DD4" w:rsidP="0039645E">
      <w:pPr>
        <w:jc w:val="both"/>
        <w:rPr>
          <w:rFonts w:ascii="Times New Roman" w:eastAsia="Times New Roman" w:hAnsi="Times New Roman" w:cs="Times New Roman"/>
          <w:sz w:val="22"/>
          <w:szCs w:val="22"/>
          <w:lang w:val="es-ES_tradnl" w:eastAsia="es-ES"/>
        </w:rPr>
      </w:pPr>
      <w:r>
        <w:rPr>
          <w:rFonts w:ascii="Times New Roman" w:eastAsia="Times New Roman" w:hAnsi="Times New Roman" w:cs="Times New Roman"/>
          <w:sz w:val="22"/>
          <w:szCs w:val="22"/>
          <w:lang w:val="es-ES_tradnl" w:eastAsia="es-ES"/>
        </w:rPr>
        <w:t xml:space="preserve">En este contexto, </w:t>
      </w:r>
      <w:r w:rsidR="00971994" w:rsidRPr="00971994">
        <w:rPr>
          <w:rFonts w:ascii="Times New Roman" w:eastAsia="Times New Roman" w:hAnsi="Times New Roman" w:cs="Times New Roman"/>
          <w:sz w:val="22"/>
          <w:szCs w:val="22"/>
          <w:lang w:val="es-ES_tradnl" w:eastAsia="es-ES"/>
        </w:rPr>
        <w:t>en febrero se alcanzó el mayor nivel de inflación, al ubicarse en 9.92%, la cual venia escalando desde principios de</w:t>
      </w:r>
      <w:r w:rsidR="00971994">
        <w:rPr>
          <w:rFonts w:ascii="Times New Roman" w:eastAsia="Times New Roman" w:hAnsi="Times New Roman" w:cs="Times New Roman"/>
          <w:sz w:val="22"/>
          <w:szCs w:val="22"/>
          <w:lang w:val="es-ES_tradnl" w:eastAsia="es-ES"/>
        </w:rPr>
        <w:t>l 2022</w:t>
      </w:r>
      <w:r w:rsidR="00971994" w:rsidRPr="00971994">
        <w:rPr>
          <w:rFonts w:ascii="Times New Roman" w:eastAsia="Times New Roman" w:hAnsi="Times New Roman" w:cs="Times New Roman"/>
          <w:sz w:val="22"/>
          <w:szCs w:val="22"/>
          <w:lang w:val="es-ES_tradnl" w:eastAsia="es-ES"/>
        </w:rPr>
        <w:t xml:space="preserve">, </w:t>
      </w:r>
      <w:r w:rsidR="00971994">
        <w:rPr>
          <w:rFonts w:ascii="Times New Roman" w:eastAsia="Times New Roman" w:hAnsi="Times New Roman" w:cs="Times New Roman"/>
          <w:sz w:val="22"/>
          <w:szCs w:val="22"/>
          <w:lang w:val="es-ES_tradnl" w:eastAsia="es-ES"/>
        </w:rPr>
        <w:t xml:space="preserve">con lo cual se </w:t>
      </w:r>
      <w:r w:rsidR="00971994" w:rsidRPr="00971994">
        <w:rPr>
          <w:rFonts w:ascii="Times New Roman" w:eastAsia="Times New Roman" w:hAnsi="Times New Roman" w:cs="Times New Roman"/>
          <w:sz w:val="22"/>
          <w:szCs w:val="22"/>
          <w:lang w:val="es-ES_tradnl" w:eastAsia="es-ES"/>
        </w:rPr>
        <w:t>acentuó la necesidad de continuar con los subsidios de apoyo temporal, como lo fue el gas propano y la ampliación a la tarifa social de la energía eléctrica.</w:t>
      </w:r>
    </w:p>
    <w:p w14:paraId="230BA956" w14:textId="116C1EF0" w:rsidR="00501DD4" w:rsidRDefault="00501DD4" w:rsidP="0039645E">
      <w:pPr>
        <w:jc w:val="both"/>
        <w:rPr>
          <w:rFonts w:ascii="Times New Roman" w:eastAsia="Times New Roman" w:hAnsi="Times New Roman" w:cs="Times New Roman"/>
          <w:sz w:val="22"/>
          <w:szCs w:val="22"/>
          <w:lang w:val="es-ES_tradnl" w:eastAsia="es-ES"/>
        </w:rPr>
      </w:pPr>
    </w:p>
    <w:p w14:paraId="0A121F38" w14:textId="7945CEAD" w:rsidR="00501DD4" w:rsidRDefault="00501DD4" w:rsidP="00501DD4">
      <w:pPr>
        <w:jc w:val="both"/>
        <w:rPr>
          <w:rFonts w:ascii="Times New Roman" w:eastAsia="Times New Roman" w:hAnsi="Times New Roman" w:cs="Times New Roman"/>
          <w:sz w:val="22"/>
          <w:szCs w:val="22"/>
          <w:lang w:val="es-ES_tradnl" w:eastAsia="es-ES"/>
        </w:rPr>
      </w:pPr>
      <w:r>
        <w:rPr>
          <w:rFonts w:ascii="Times New Roman" w:eastAsia="Times New Roman" w:hAnsi="Times New Roman" w:cs="Times New Roman"/>
          <w:sz w:val="22"/>
          <w:szCs w:val="22"/>
          <w:lang w:val="es-ES_tradnl" w:eastAsia="es-ES"/>
        </w:rPr>
        <w:lastRenderedPageBreak/>
        <w:t>A nivel nacional, e</w:t>
      </w:r>
      <w:r w:rsidRPr="00BD70E3">
        <w:rPr>
          <w:rFonts w:ascii="Times New Roman" w:eastAsia="Times New Roman" w:hAnsi="Times New Roman" w:cs="Times New Roman"/>
          <w:sz w:val="22"/>
          <w:szCs w:val="22"/>
          <w:lang w:val="es-ES_tradnl" w:eastAsia="es-ES"/>
        </w:rPr>
        <w:t>l</w:t>
      </w:r>
      <w:r>
        <w:rPr>
          <w:rFonts w:ascii="Times New Roman" w:eastAsia="Times New Roman" w:hAnsi="Times New Roman" w:cs="Times New Roman"/>
          <w:sz w:val="22"/>
          <w:szCs w:val="22"/>
          <w:lang w:val="es-ES_tradnl" w:eastAsia="es-ES"/>
        </w:rPr>
        <w:t xml:space="preserve"> 2023 </w:t>
      </w:r>
      <w:r w:rsidRPr="00BD70E3">
        <w:rPr>
          <w:rFonts w:ascii="Times New Roman" w:eastAsia="Times New Roman" w:hAnsi="Times New Roman" w:cs="Times New Roman"/>
          <w:sz w:val="22"/>
          <w:szCs w:val="22"/>
          <w:lang w:val="es-ES_tradnl" w:eastAsia="es-ES"/>
        </w:rPr>
        <w:t xml:space="preserve">estuvo marcado por las Elecciones Generales para elegir al </w:t>
      </w:r>
      <w:r>
        <w:rPr>
          <w:rFonts w:ascii="Times New Roman" w:eastAsia="Times New Roman" w:hAnsi="Times New Roman" w:cs="Times New Roman"/>
          <w:sz w:val="22"/>
          <w:szCs w:val="22"/>
          <w:lang w:val="es-ES_tradnl" w:eastAsia="es-ES"/>
        </w:rPr>
        <w:t>P</w:t>
      </w:r>
      <w:r w:rsidRPr="00BD70E3">
        <w:rPr>
          <w:rFonts w:ascii="Times New Roman" w:eastAsia="Times New Roman" w:hAnsi="Times New Roman" w:cs="Times New Roman"/>
          <w:sz w:val="22"/>
          <w:szCs w:val="22"/>
          <w:lang w:val="es-ES_tradnl" w:eastAsia="es-ES"/>
        </w:rPr>
        <w:t xml:space="preserve">residente </w:t>
      </w:r>
      <w:r w:rsidR="009C1DAD" w:rsidRPr="00BD70E3">
        <w:rPr>
          <w:rFonts w:ascii="Times New Roman" w:eastAsia="Times New Roman" w:hAnsi="Times New Roman" w:cs="Times New Roman"/>
          <w:sz w:val="22"/>
          <w:szCs w:val="22"/>
          <w:lang w:val="es-ES_tradnl" w:eastAsia="es-ES"/>
        </w:rPr>
        <w:t xml:space="preserve">y </w:t>
      </w:r>
      <w:r w:rsidR="009C1DAD">
        <w:rPr>
          <w:rFonts w:ascii="Times New Roman" w:eastAsia="Times New Roman" w:hAnsi="Times New Roman" w:cs="Times New Roman"/>
          <w:sz w:val="22"/>
          <w:szCs w:val="22"/>
          <w:lang w:val="es-ES_tradnl" w:eastAsia="es-ES"/>
        </w:rPr>
        <w:t>V</w:t>
      </w:r>
      <w:r w:rsidR="009C1DAD" w:rsidRPr="00BD70E3">
        <w:rPr>
          <w:rFonts w:ascii="Times New Roman" w:eastAsia="Times New Roman" w:hAnsi="Times New Roman" w:cs="Times New Roman"/>
          <w:sz w:val="22"/>
          <w:szCs w:val="22"/>
          <w:lang w:val="es-ES_tradnl" w:eastAsia="es-ES"/>
        </w:rPr>
        <w:t xml:space="preserve">icepresidente </w:t>
      </w:r>
      <w:r w:rsidRPr="00BD70E3">
        <w:rPr>
          <w:rFonts w:ascii="Times New Roman" w:eastAsia="Times New Roman" w:hAnsi="Times New Roman" w:cs="Times New Roman"/>
          <w:sz w:val="22"/>
          <w:szCs w:val="22"/>
          <w:lang w:val="es-ES_tradnl" w:eastAsia="es-ES"/>
        </w:rPr>
        <w:t>de la República, diputados al Congreso, alcaldes municipales y diputados al Parlamento Centroamericano, siendo un evento clave y trascendental en el año</w:t>
      </w:r>
      <w:r>
        <w:rPr>
          <w:rFonts w:ascii="Times New Roman" w:eastAsia="Times New Roman" w:hAnsi="Times New Roman" w:cs="Times New Roman"/>
          <w:sz w:val="22"/>
          <w:szCs w:val="22"/>
          <w:lang w:val="es-ES_tradnl" w:eastAsia="es-ES"/>
        </w:rPr>
        <w:t xml:space="preserve">, estas </w:t>
      </w:r>
      <w:r w:rsidR="008B6FB2">
        <w:rPr>
          <w:rFonts w:ascii="Times New Roman" w:eastAsia="Times New Roman" w:hAnsi="Times New Roman" w:cs="Times New Roman"/>
          <w:sz w:val="22"/>
          <w:szCs w:val="22"/>
          <w:lang w:val="es-ES_tradnl" w:eastAsia="es-ES"/>
        </w:rPr>
        <w:t xml:space="preserve">elecciones </w:t>
      </w:r>
      <w:r>
        <w:rPr>
          <w:rFonts w:ascii="Times New Roman" w:eastAsia="Times New Roman" w:hAnsi="Times New Roman" w:cs="Times New Roman"/>
          <w:sz w:val="22"/>
          <w:szCs w:val="22"/>
          <w:lang w:val="es-ES_tradnl" w:eastAsia="es-ES"/>
        </w:rPr>
        <w:t xml:space="preserve">se </w:t>
      </w:r>
      <w:r w:rsidRPr="00F33B68">
        <w:rPr>
          <w:rFonts w:ascii="Times New Roman" w:eastAsia="Times New Roman" w:hAnsi="Times New Roman" w:cs="Times New Roman"/>
          <w:sz w:val="22"/>
          <w:szCs w:val="22"/>
          <w:lang w:val="es-ES_tradnl" w:eastAsia="es-ES"/>
        </w:rPr>
        <w:t xml:space="preserve">llevaron a cabo el </w:t>
      </w:r>
      <w:r w:rsidR="009C1DAD">
        <w:rPr>
          <w:rFonts w:ascii="Times New Roman" w:eastAsia="Times New Roman" w:hAnsi="Times New Roman" w:cs="Times New Roman"/>
          <w:sz w:val="22"/>
          <w:szCs w:val="22"/>
          <w:lang w:val="es-ES_tradnl" w:eastAsia="es-ES"/>
        </w:rPr>
        <w:t xml:space="preserve"> </w:t>
      </w:r>
      <w:r w:rsidRPr="00F33B68">
        <w:rPr>
          <w:rFonts w:ascii="Times New Roman" w:eastAsia="Times New Roman" w:hAnsi="Times New Roman" w:cs="Times New Roman"/>
          <w:sz w:val="22"/>
          <w:szCs w:val="22"/>
          <w:lang w:val="es-ES_tradnl" w:eastAsia="es-ES"/>
        </w:rPr>
        <w:t>25 de junio</w:t>
      </w:r>
      <w:r>
        <w:rPr>
          <w:rFonts w:ascii="Times New Roman" w:eastAsia="Times New Roman" w:hAnsi="Times New Roman" w:cs="Times New Roman"/>
          <w:sz w:val="22"/>
          <w:szCs w:val="22"/>
          <w:lang w:val="es-ES_tradnl" w:eastAsia="es-ES"/>
        </w:rPr>
        <w:t xml:space="preserve"> del 2023</w:t>
      </w:r>
      <w:r w:rsidRPr="00F33B68">
        <w:rPr>
          <w:rFonts w:ascii="Times New Roman" w:eastAsia="Times New Roman" w:hAnsi="Times New Roman" w:cs="Times New Roman"/>
          <w:sz w:val="22"/>
          <w:szCs w:val="22"/>
          <w:lang w:val="es-ES_tradnl" w:eastAsia="es-ES"/>
        </w:rPr>
        <w:t xml:space="preserve"> y la segunda vuelta se realizó el 20 de agosto</w:t>
      </w:r>
      <w:r>
        <w:rPr>
          <w:rFonts w:ascii="Times New Roman" w:eastAsia="Times New Roman" w:hAnsi="Times New Roman" w:cs="Times New Roman"/>
          <w:sz w:val="22"/>
          <w:szCs w:val="22"/>
          <w:lang w:val="es-ES_tradnl" w:eastAsia="es-ES"/>
        </w:rPr>
        <w:t xml:space="preserve"> del </w:t>
      </w:r>
      <w:r w:rsidR="008B6FB2">
        <w:rPr>
          <w:rFonts w:ascii="Times New Roman" w:eastAsia="Times New Roman" w:hAnsi="Times New Roman" w:cs="Times New Roman"/>
          <w:sz w:val="22"/>
          <w:szCs w:val="22"/>
          <w:lang w:val="es-ES_tradnl" w:eastAsia="es-ES"/>
        </w:rPr>
        <w:t>mismo año</w:t>
      </w:r>
      <w:r w:rsidRPr="00F33B68">
        <w:rPr>
          <w:rFonts w:ascii="Times New Roman" w:eastAsia="Times New Roman" w:hAnsi="Times New Roman" w:cs="Times New Roman"/>
          <w:sz w:val="22"/>
          <w:szCs w:val="22"/>
          <w:lang w:val="es-ES_tradnl" w:eastAsia="es-ES"/>
        </w:rPr>
        <w:t>, siendo importante</w:t>
      </w:r>
      <w:r w:rsidR="009C1DAD">
        <w:rPr>
          <w:rFonts w:ascii="Times New Roman" w:eastAsia="Times New Roman" w:hAnsi="Times New Roman" w:cs="Times New Roman"/>
          <w:sz w:val="22"/>
          <w:szCs w:val="22"/>
          <w:lang w:val="es-ES_tradnl" w:eastAsia="es-ES"/>
        </w:rPr>
        <w:t>s</w:t>
      </w:r>
      <w:r w:rsidRPr="00F33B68">
        <w:rPr>
          <w:rFonts w:ascii="Times New Roman" w:eastAsia="Times New Roman" w:hAnsi="Times New Roman" w:cs="Times New Roman"/>
          <w:sz w:val="22"/>
          <w:szCs w:val="22"/>
          <w:lang w:val="es-ES_tradnl" w:eastAsia="es-ES"/>
        </w:rPr>
        <w:t xml:space="preserve"> las transferencias que recib</w:t>
      </w:r>
      <w:r>
        <w:rPr>
          <w:rFonts w:ascii="Times New Roman" w:eastAsia="Times New Roman" w:hAnsi="Times New Roman" w:cs="Times New Roman"/>
          <w:sz w:val="22"/>
          <w:szCs w:val="22"/>
          <w:lang w:val="es-ES_tradnl" w:eastAsia="es-ES"/>
        </w:rPr>
        <w:t>ió</w:t>
      </w:r>
      <w:r w:rsidRPr="00F33B68">
        <w:rPr>
          <w:rFonts w:ascii="Times New Roman" w:eastAsia="Times New Roman" w:hAnsi="Times New Roman" w:cs="Times New Roman"/>
          <w:sz w:val="22"/>
          <w:szCs w:val="22"/>
          <w:lang w:val="es-ES_tradnl" w:eastAsia="es-ES"/>
        </w:rPr>
        <w:t xml:space="preserve"> el TSE dado que contribuye</w:t>
      </w:r>
      <w:r>
        <w:rPr>
          <w:rFonts w:ascii="Times New Roman" w:eastAsia="Times New Roman" w:hAnsi="Times New Roman" w:cs="Times New Roman"/>
          <w:sz w:val="22"/>
          <w:szCs w:val="22"/>
          <w:lang w:val="es-ES_tradnl" w:eastAsia="es-ES"/>
        </w:rPr>
        <w:t>ron</w:t>
      </w:r>
      <w:r w:rsidRPr="00F33B68">
        <w:rPr>
          <w:rFonts w:ascii="Times New Roman" w:eastAsia="Times New Roman" w:hAnsi="Times New Roman" w:cs="Times New Roman"/>
          <w:sz w:val="22"/>
          <w:szCs w:val="22"/>
          <w:lang w:val="es-ES_tradnl" w:eastAsia="es-ES"/>
        </w:rPr>
        <w:t xml:space="preserve"> a consolidar el proceso democrático. </w:t>
      </w:r>
      <w:r w:rsidR="009C1DAD">
        <w:rPr>
          <w:rFonts w:ascii="Times New Roman" w:eastAsia="Times New Roman" w:hAnsi="Times New Roman" w:cs="Times New Roman"/>
          <w:sz w:val="22"/>
          <w:szCs w:val="22"/>
          <w:lang w:val="es-ES_tradnl" w:eastAsia="es-ES"/>
        </w:rPr>
        <w:t xml:space="preserve"> </w:t>
      </w:r>
    </w:p>
    <w:p w14:paraId="7232013C" w14:textId="77777777" w:rsidR="00971994" w:rsidRDefault="00971994" w:rsidP="0039645E">
      <w:pPr>
        <w:jc w:val="both"/>
        <w:rPr>
          <w:rFonts w:ascii="Times New Roman" w:eastAsia="Times New Roman" w:hAnsi="Times New Roman" w:cs="Times New Roman"/>
          <w:sz w:val="22"/>
          <w:szCs w:val="22"/>
          <w:highlight w:val="yellow"/>
          <w:lang w:val="es-ES_tradnl" w:eastAsia="es-ES"/>
        </w:rPr>
      </w:pPr>
    </w:p>
    <w:p w14:paraId="129A33EF" w14:textId="27188135" w:rsidR="00BC47CB" w:rsidRPr="008458FA" w:rsidRDefault="00501DD4" w:rsidP="0039645E">
      <w:pPr>
        <w:jc w:val="both"/>
        <w:rPr>
          <w:rFonts w:ascii="Times New Roman" w:eastAsia="Times New Roman" w:hAnsi="Times New Roman" w:cs="Times New Roman"/>
          <w:sz w:val="22"/>
          <w:szCs w:val="22"/>
          <w:lang w:val="es-ES_tradnl" w:eastAsia="es-ES"/>
        </w:rPr>
      </w:pPr>
      <w:r w:rsidRPr="008458FA">
        <w:rPr>
          <w:rFonts w:ascii="Times New Roman" w:eastAsia="Times New Roman" w:hAnsi="Times New Roman" w:cs="Times New Roman"/>
          <w:sz w:val="22"/>
          <w:szCs w:val="22"/>
          <w:lang w:val="es-ES_tradnl" w:eastAsia="es-ES"/>
        </w:rPr>
        <w:t xml:space="preserve">En 2023, contrario a lo observado en años anteriores como 2020 y 2022, no se dio una intervención tan fuerte por parte de la </w:t>
      </w:r>
      <w:r w:rsidR="0039645E" w:rsidRPr="008458FA">
        <w:rPr>
          <w:rFonts w:ascii="Times New Roman" w:eastAsia="Times New Roman" w:hAnsi="Times New Roman" w:cs="Times New Roman"/>
          <w:sz w:val="22"/>
          <w:szCs w:val="22"/>
          <w:lang w:val="es-ES_tradnl" w:eastAsia="es-ES"/>
        </w:rPr>
        <w:t>política fiscal</w:t>
      </w:r>
      <w:r w:rsidR="009C1DAD">
        <w:rPr>
          <w:rFonts w:ascii="Times New Roman" w:eastAsia="Times New Roman" w:hAnsi="Times New Roman" w:cs="Times New Roman"/>
          <w:sz w:val="22"/>
          <w:szCs w:val="22"/>
          <w:lang w:val="es-ES_tradnl" w:eastAsia="es-ES"/>
        </w:rPr>
        <w:t xml:space="preserve"> y</w:t>
      </w:r>
      <w:r w:rsidR="009C1DAD" w:rsidRPr="008458FA">
        <w:rPr>
          <w:rFonts w:ascii="Times New Roman" w:eastAsia="Times New Roman" w:hAnsi="Times New Roman" w:cs="Times New Roman"/>
          <w:sz w:val="22"/>
          <w:szCs w:val="22"/>
          <w:lang w:val="es-ES_tradnl" w:eastAsia="es-ES"/>
        </w:rPr>
        <w:t xml:space="preserve"> </w:t>
      </w:r>
      <w:r w:rsidR="00BC47CB" w:rsidRPr="008458FA">
        <w:rPr>
          <w:rFonts w:ascii="Times New Roman" w:eastAsia="Times New Roman" w:hAnsi="Times New Roman" w:cs="Times New Roman"/>
          <w:sz w:val="22"/>
          <w:szCs w:val="22"/>
          <w:lang w:val="es-ES_tradnl" w:eastAsia="es-ES"/>
        </w:rPr>
        <w:t>en lo que se refiere a</w:t>
      </w:r>
      <w:r w:rsidRPr="008458FA">
        <w:rPr>
          <w:rFonts w:ascii="Times New Roman" w:eastAsia="Times New Roman" w:hAnsi="Times New Roman" w:cs="Times New Roman"/>
          <w:sz w:val="22"/>
          <w:szCs w:val="22"/>
          <w:lang w:val="es-ES_tradnl" w:eastAsia="es-ES"/>
        </w:rPr>
        <w:t>l gasto publico mostró un comportamiento moderado.</w:t>
      </w:r>
      <w:r w:rsidR="00BC47CB" w:rsidRPr="008458FA">
        <w:rPr>
          <w:rFonts w:ascii="Times New Roman" w:eastAsia="Times New Roman" w:hAnsi="Times New Roman" w:cs="Times New Roman"/>
          <w:sz w:val="22"/>
          <w:szCs w:val="22"/>
          <w:lang w:val="es-ES_tradnl" w:eastAsia="es-ES"/>
        </w:rPr>
        <w:t xml:space="preserve"> En el primer cuatrimestre del</w:t>
      </w:r>
      <w:r w:rsidR="0039645E" w:rsidRPr="008458FA">
        <w:rPr>
          <w:rFonts w:ascii="Times New Roman" w:eastAsia="Times New Roman" w:hAnsi="Times New Roman" w:cs="Times New Roman"/>
          <w:sz w:val="22"/>
          <w:szCs w:val="22"/>
          <w:lang w:val="es-ES_tradnl" w:eastAsia="es-ES"/>
        </w:rPr>
        <w:t xml:space="preserve"> </w:t>
      </w:r>
      <w:r w:rsidR="00BC47CB" w:rsidRPr="008458FA">
        <w:rPr>
          <w:rFonts w:ascii="Times New Roman" w:eastAsia="Times New Roman" w:hAnsi="Times New Roman" w:cs="Times New Roman"/>
          <w:sz w:val="22"/>
          <w:szCs w:val="22"/>
          <w:lang w:val="es-ES_tradnl" w:eastAsia="es-ES"/>
        </w:rPr>
        <w:t xml:space="preserve">año se alcanzó un crecimiento interanual de 20.3%, no </w:t>
      </w:r>
      <w:r w:rsidR="008458FA" w:rsidRPr="008458FA">
        <w:rPr>
          <w:rFonts w:ascii="Times New Roman" w:eastAsia="Times New Roman" w:hAnsi="Times New Roman" w:cs="Times New Roman"/>
          <w:sz w:val="22"/>
          <w:szCs w:val="22"/>
          <w:lang w:val="es-ES_tradnl" w:eastAsia="es-ES"/>
        </w:rPr>
        <w:t>obstante,</w:t>
      </w:r>
      <w:r w:rsidR="00BC47CB" w:rsidRPr="008458FA">
        <w:rPr>
          <w:rFonts w:ascii="Times New Roman" w:eastAsia="Times New Roman" w:hAnsi="Times New Roman" w:cs="Times New Roman"/>
          <w:sz w:val="22"/>
          <w:szCs w:val="22"/>
          <w:lang w:val="es-ES_tradnl" w:eastAsia="es-ES"/>
        </w:rPr>
        <w:t xml:space="preserve"> este fue desacelerándose con el transcurso de los meses hasta cerrar en un crecimiento interanual de 6.2%</w:t>
      </w:r>
      <w:r w:rsidR="008B6FB2">
        <w:rPr>
          <w:rFonts w:ascii="Times New Roman" w:eastAsia="Times New Roman" w:hAnsi="Times New Roman" w:cs="Times New Roman"/>
          <w:sz w:val="22"/>
          <w:szCs w:val="22"/>
          <w:lang w:val="es-ES_tradnl" w:eastAsia="es-ES"/>
        </w:rPr>
        <w:t>,</w:t>
      </w:r>
      <w:r w:rsidR="008458FA" w:rsidRPr="008458FA">
        <w:rPr>
          <w:rFonts w:ascii="Times New Roman" w:eastAsia="Times New Roman" w:hAnsi="Times New Roman" w:cs="Times New Roman"/>
          <w:sz w:val="22"/>
          <w:szCs w:val="22"/>
          <w:lang w:val="es-ES_tradnl" w:eastAsia="es-ES"/>
        </w:rPr>
        <w:t xml:space="preserve"> s</w:t>
      </w:r>
      <w:r w:rsidR="00BC47CB" w:rsidRPr="008458FA">
        <w:rPr>
          <w:rFonts w:ascii="Times New Roman" w:eastAsia="Times New Roman" w:hAnsi="Times New Roman" w:cs="Times New Roman"/>
          <w:sz w:val="22"/>
          <w:szCs w:val="22"/>
          <w:lang w:val="es-ES_tradnl" w:eastAsia="es-ES"/>
        </w:rPr>
        <w:t xml:space="preserve">iendo bastante inferior al observado en 2020 y 2022, </w:t>
      </w:r>
      <w:r w:rsidR="008458FA" w:rsidRPr="008458FA">
        <w:rPr>
          <w:rFonts w:ascii="Times New Roman" w:eastAsia="Times New Roman" w:hAnsi="Times New Roman" w:cs="Times New Roman"/>
          <w:sz w:val="22"/>
          <w:szCs w:val="22"/>
          <w:lang w:val="es-ES_tradnl" w:eastAsia="es-ES"/>
        </w:rPr>
        <w:t>cuando</w:t>
      </w:r>
      <w:r w:rsidR="00BC47CB" w:rsidRPr="008458FA">
        <w:rPr>
          <w:rFonts w:ascii="Times New Roman" w:eastAsia="Times New Roman" w:hAnsi="Times New Roman" w:cs="Times New Roman"/>
          <w:sz w:val="22"/>
          <w:szCs w:val="22"/>
          <w:lang w:val="es-ES_tradnl" w:eastAsia="es-ES"/>
        </w:rPr>
        <w:t xml:space="preserve"> el gasto público </w:t>
      </w:r>
      <w:r w:rsidR="008458FA" w:rsidRPr="008458FA">
        <w:rPr>
          <w:rFonts w:ascii="Times New Roman" w:eastAsia="Times New Roman" w:hAnsi="Times New Roman" w:cs="Times New Roman"/>
          <w:sz w:val="22"/>
          <w:szCs w:val="22"/>
          <w:lang w:val="es-ES_tradnl" w:eastAsia="es-ES"/>
        </w:rPr>
        <w:t>mostró</w:t>
      </w:r>
      <w:r w:rsidR="00BC47CB" w:rsidRPr="008458FA">
        <w:rPr>
          <w:rFonts w:ascii="Times New Roman" w:eastAsia="Times New Roman" w:hAnsi="Times New Roman" w:cs="Times New Roman"/>
          <w:sz w:val="22"/>
          <w:szCs w:val="22"/>
          <w:lang w:val="es-ES_tradnl" w:eastAsia="es-ES"/>
        </w:rPr>
        <w:t xml:space="preserve"> una fuerte intervención por las necesidades presentadas en esos ejercicios, mientras que </w:t>
      </w:r>
      <w:r w:rsidR="008B6FB2">
        <w:rPr>
          <w:rFonts w:ascii="Times New Roman" w:eastAsia="Times New Roman" w:hAnsi="Times New Roman" w:cs="Times New Roman"/>
          <w:sz w:val="22"/>
          <w:szCs w:val="22"/>
          <w:lang w:val="es-ES_tradnl" w:eastAsia="es-ES"/>
        </w:rPr>
        <w:t xml:space="preserve">fue </w:t>
      </w:r>
      <w:r w:rsidR="00BC47CB" w:rsidRPr="008458FA">
        <w:rPr>
          <w:rFonts w:ascii="Times New Roman" w:eastAsia="Times New Roman" w:hAnsi="Times New Roman" w:cs="Times New Roman"/>
          <w:sz w:val="22"/>
          <w:szCs w:val="22"/>
          <w:lang w:val="es-ES_tradnl" w:eastAsia="es-ES"/>
        </w:rPr>
        <w:t>bastante superior al observado en 2021, cuando el gasto público se contrajo de forma importante por</w:t>
      </w:r>
      <w:r w:rsidR="008458FA" w:rsidRPr="008458FA">
        <w:rPr>
          <w:rFonts w:ascii="Times New Roman" w:eastAsia="Times New Roman" w:hAnsi="Times New Roman" w:cs="Times New Roman"/>
          <w:sz w:val="22"/>
          <w:szCs w:val="22"/>
          <w:lang w:val="es-ES_tradnl" w:eastAsia="es-ES"/>
        </w:rPr>
        <w:t xml:space="preserve">que no estuvieron vigentes los programas de apoyo sanitario y económico asociados a la Pandemia COVID-19. </w:t>
      </w:r>
    </w:p>
    <w:p w14:paraId="6E6915EE" w14:textId="77777777" w:rsidR="000656CC" w:rsidRDefault="000656CC" w:rsidP="0039645E">
      <w:pPr>
        <w:jc w:val="both"/>
        <w:rPr>
          <w:rFonts w:ascii="Times New Roman" w:eastAsia="Times New Roman" w:hAnsi="Times New Roman" w:cs="Times New Roman"/>
          <w:sz w:val="22"/>
          <w:szCs w:val="22"/>
          <w:highlight w:val="yellow"/>
          <w:lang w:val="es-ES_tradnl" w:eastAsia="es-ES"/>
        </w:rPr>
      </w:pPr>
    </w:p>
    <w:p w14:paraId="1B9D6785" w14:textId="5DCC86FB" w:rsidR="0039645E" w:rsidRPr="000656CC" w:rsidRDefault="000656CC" w:rsidP="000656CC">
      <w:pPr>
        <w:pStyle w:val="Descripcin"/>
        <w:keepNext/>
        <w:spacing w:after="0"/>
        <w:jc w:val="center"/>
        <w:rPr>
          <w:sz w:val="22"/>
          <w:szCs w:val="22"/>
        </w:rPr>
      </w:pPr>
      <w:bookmarkStart w:id="49" w:name="_Toc125539784"/>
      <w:bookmarkStart w:id="50" w:name="_Toc158103856"/>
      <w:r w:rsidRPr="000656CC">
        <w:rPr>
          <w:sz w:val="22"/>
          <w:szCs w:val="22"/>
        </w:rPr>
        <w:t xml:space="preserve">Gráfico </w:t>
      </w:r>
      <w:r w:rsidRPr="000656CC">
        <w:rPr>
          <w:sz w:val="22"/>
          <w:szCs w:val="22"/>
        </w:rPr>
        <w:fldChar w:fldCharType="begin"/>
      </w:r>
      <w:r w:rsidRPr="000656CC">
        <w:rPr>
          <w:sz w:val="22"/>
          <w:szCs w:val="22"/>
        </w:rPr>
        <w:instrText xml:space="preserve"> SEQ Gráfico \* ARABIC </w:instrText>
      </w:r>
      <w:r w:rsidRPr="000656CC">
        <w:rPr>
          <w:sz w:val="22"/>
          <w:szCs w:val="22"/>
        </w:rPr>
        <w:fldChar w:fldCharType="separate"/>
      </w:r>
      <w:r w:rsidR="00C015DC">
        <w:rPr>
          <w:noProof/>
          <w:sz w:val="22"/>
          <w:szCs w:val="22"/>
        </w:rPr>
        <w:t>11</w:t>
      </w:r>
      <w:r w:rsidRPr="000656CC">
        <w:rPr>
          <w:sz w:val="22"/>
          <w:szCs w:val="22"/>
        </w:rPr>
        <w:fldChar w:fldCharType="end"/>
      </w:r>
      <w:r>
        <w:rPr>
          <w:sz w:val="22"/>
          <w:szCs w:val="22"/>
        </w:rPr>
        <w:t xml:space="preserve">.  </w:t>
      </w:r>
      <w:r w:rsidR="0039645E" w:rsidRPr="004A66F0">
        <w:rPr>
          <w:rFonts w:eastAsia="Times New Roman" w:cs="Times New Roman"/>
          <w:sz w:val="22"/>
          <w:szCs w:val="22"/>
          <w:lang w:val="es-ES_tradnl" w:eastAsia="es-ES"/>
        </w:rPr>
        <w:t>Ritmo de ejecución del gasto público</w:t>
      </w:r>
      <w:bookmarkEnd w:id="49"/>
      <w:bookmarkEnd w:id="50"/>
    </w:p>
    <w:p w14:paraId="009908E6" w14:textId="0268AD71" w:rsidR="0039645E" w:rsidRPr="004A66F0" w:rsidRDefault="0039645E" w:rsidP="0039645E">
      <w:pPr>
        <w:jc w:val="center"/>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Mensual 20</w:t>
      </w:r>
      <w:r w:rsidR="005C6D5A">
        <w:rPr>
          <w:rFonts w:ascii="Times New Roman" w:eastAsia="Times New Roman" w:hAnsi="Times New Roman" w:cs="Times New Roman"/>
          <w:sz w:val="22"/>
          <w:szCs w:val="22"/>
          <w:lang w:val="es-ES_tradnl" w:eastAsia="es-ES"/>
        </w:rPr>
        <w:t>20-</w:t>
      </w:r>
      <w:r w:rsidRPr="004A66F0">
        <w:rPr>
          <w:rFonts w:ascii="Times New Roman" w:eastAsia="Times New Roman" w:hAnsi="Times New Roman" w:cs="Times New Roman"/>
          <w:sz w:val="22"/>
          <w:szCs w:val="22"/>
          <w:lang w:val="es-ES_tradnl" w:eastAsia="es-ES"/>
        </w:rPr>
        <w:t>202</w:t>
      </w:r>
      <w:r w:rsidR="005C6D5A">
        <w:rPr>
          <w:rFonts w:ascii="Times New Roman" w:eastAsia="Times New Roman" w:hAnsi="Times New Roman" w:cs="Times New Roman"/>
          <w:sz w:val="22"/>
          <w:szCs w:val="22"/>
          <w:lang w:val="es-ES_tradnl" w:eastAsia="es-ES"/>
        </w:rPr>
        <w:t>3</w:t>
      </w:r>
    </w:p>
    <w:p w14:paraId="09F72026" w14:textId="77777777" w:rsidR="0039645E" w:rsidRPr="004A66F0" w:rsidRDefault="0039645E" w:rsidP="0039645E">
      <w:pPr>
        <w:jc w:val="center"/>
        <w:rPr>
          <w:rFonts w:ascii="Calibri" w:eastAsia="Times New Roman" w:hAnsi="Calibri" w:cs="Times New Roman"/>
          <w:sz w:val="22"/>
          <w:szCs w:val="22"/>
          <w:lang w:val="es-ES_tradnl" w:eastAsia="es-ES"/>
        </w:rPr>
      </w:pPr>
      <w:r w:rsidRPr="0018742E">
        <w:rPr>
          <w:rFonts w:ascii="Calibri" w:eastAsia="Times New Roman" w:hAnsi="Calibri" w:cs="Calibri"/>
          <w:noProof/>
          <w:color w:val="006600"/>
          <w:sz w:val="22"/>
          <w:szCs w:val="22"/>
        </w:rPr>
        <w:drawing>
          <wp:anchor distT="0" distB="0" distL="114300" distR="115570" simplePos="0" relativeHeight="251659264" behindDoc="0" locked="0" layoutInCell="1" allowOverlap="1" wp14:anchorId="1F60D079" wp14:editId="566D7C19">
            <wp:simplePos x="0" y="0"/>
            <wp:positionH relativeFrom="margin">
              <wp:align>right</wp:align>
            </wp:positionH>
            <wp:positionV relativeFrom="paragraph">
              <wp:posOffset>167640</wp:posOffset>
            </wp:positionV>
            <wp:extent cx="5610225" cy="2160905"/>
            <wp:effectExtent l="0" t="0" r="0" b="0"/>
            <wp:wrapSquare wrapText="bothSides"/>
            <wp:docPr id="38" name="Gráfico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4A66F0">
        <w:rPr>
          <w:rFonts w:ascii="Times New Roman" w:eastAsia="Times New Roman" w:hAnsi="Times New Roman" w:cs="Times New Roman"/>
          <w:sz w:val="22"/>
          <w:szCs w:val="22"/>
          <w:lang w:val="es-ES_tradnl" w:eastAsia="es-ES"/>
        </w:rPr>
        <w:t>Porcentajes</w:t>
      </w:r>
    </w:p>
    <w:p w14:paraId="615AEA5A" w14:textId="77777777" w:rsidR="0039645E" w:rsidRPr="004A66F0" w:rsidRDefault="0039645E" w:rsidP="0039645E">
      <w:pPr>
        <w:rPr>
          <w:rFonts w:ascii="Times New Roman" w:eastAsia="Times New Roman" w:hAnsi="Times New Roman" w:cs="Times New Roman"/>
          <w:sz w:val="18"/>
          <w:szCs w:val="22"/>
          <w:lang w:val="es-ES_tradnl" w:eastAsia="es-ES"/>
        </w:rPr>
      </w:pPr>
      <w:r>
        <w:rPr>
          <w:rFonts w:ascii="Times New Roman" w:eastAsia="Times New Roman" w:hAnsi="Times New Roman" w:cs="Times New Roman"/>
          <w:sz w:val="18"/>
          <w:szCs w:val="22"/>
          <w:lang w:val="es-ES_tradnl" w:eastAsia="es-ES"/>
        </w:rPr>
        <w:t xml:space="preserve">Nota: </w:t>
      </w:r>
      <w:r w:rsidRPr="004A66F0">
        <w:rPr>
          <w:rFonts w:ascii="Times New Roman" w:eastAsia="Times New Roman" w:hAnsi="Times New Roman" w:cs="Times New Roman"/>
          <w:sz w:val="18"/>
          <w:szCs w:val="22"/>
          <w:lang w:val="es-ES_tradnl" w:eastAsia="es-ES"/>
        </w:rPr>
        <w:t>No incluye amortizaciones de la deuda pública</w:t>
      </w:r>
    </w:p>
    <w:p w14:paraId="77DD5815" w14:textId="77777777" w:rsidR="0039645E" w:rsidRPr="004A66F0" w:rsidRDefault="0039645E" w:rsidP="0039645E">
      <w:pPr>
        <w:rPr>
          <w:rFonts w:ascii="Times New Roman" w:eastAsia="Times New Roman" w:hAnsi="Times New Roman" w:cs="Times New Roman"/>
          <w:sz w:val="18"/>
          <w:szCs w:val="22"/>
          <w:lang w:val="es-ES_tradnl" w:eastAsia="es-ES"/>
        </w:rPr>
      </w:pPr>
      <w:r w:rsidRPr="004A66F0">
        <w:rPr>
          <w:rFonts w:ascii="Times New Roman" w:eastAsia="Times New Roman" w:hAnsi="Times New Roman" w:cs="Times New Roman"/>
          <w:sz w:val="18"/>
          <w:szCs w:val="22"/>
          <w:lang w:val="es-ES_tradnl" w:eastAsia="es-ES"/>
        </w:rPr>
        <w:t>Fuente: Dirección de Análisis y Política Fiscal</w:t>
      </w:r>
    </w:p>
    <w:p w14:paraId="01891239" w14:textId="77777777" w:rsidR="0039645E" w:rsidRPr="004A66F0" w:rsidRDefault="0039645E" w:rsidP="0039645E">
      <w:pPr>
        <w:jc w:val="both"/>
        <w:rPr>
          <w:rFonts w:ascii="Times New Roman" w:eastAsia="Times New Roman" w:hAnsi="Times New Roman" w:cs="Times New Roman"/>
          <w:sz w:val="22"/>
          <w:szCs w:val="22"/>
          <w:lang w:val="es-MX"/>
        </w:rPr>
      </w:pPr>
    </w:p>
    <w:p w14:paraId="0440C3A7" w14:textId="3ADF439A" w:rsidR="00701CCE" w:rsidRDefault="0039645E" w:rsidP="0039645E">
      <w:pPr>
        <w:jc w:val="both"/>
        <w:rPr>
          <w:rFonts w:ascii="Times New Roman" w:eastAsia="Times New Roman" w:hAnsi="Times New Roman" w:cs="Times New Roman"/>
          <w:sz w:val="22"/>
          <w:szCs w:val="22"/>
          <w:lang w:val="es-MX"/>
        </w:rPr>
      </w:pPr>
      <w:r w:rsidRPr="004A66F0">
        <w:rPr>
          <w:rFonts w:ascii="Times New Roman" w:eastAsia="Times New Roman" w:hAnsi="Times New Roman" w:cs="Times New Roman"/>
          <w:sz w:val="22"/>
          <w:szCs w:val="22"/>
          <w:lang w:val="es-MX"/>
        </w:rPr>
        <w:t>A nivel de los diferentes rubros</w:t>
      </w:r>
      <w:r w:rsidR="00E71470">
        <w:rPr>
          <w:rFonts w:ascii="Times New Roman" w:eastAsia="Times New Roman" w:hAnsi="Times New Roman" w:cs="Times New Roman"/>
          <w:sz w:val="22"/>
          <w:szCs w:val="22"/>
          <w:lang w:val="es-MX"/>
        </w:rPr>
        <w:t>,</w:t>
      </w:r>
      <w:r w:rsidRPr="004A66F0">
        <w:rPr>
          <w:rFonts w:ascii="Times New Roman" w:eastAsia="Times New Roman" w:hAnsi="Times New Roman" w:cs="Times New Roman"/>
          <w:sz w:val="22"/>
          <w:szCs w:val="22"/>
          <w:lang w:val="es-MX"/>
        </w:rPr>
        <w:t xml:space="preserve"> por cuenta económica del gasto, se puede observar que el rubro que reporta el mayor crecimiento interanual en términos absolutos</w:t>
      </w:r>
      <w:r w:rsidR="00AB0A3C">
        <w:rPr>
          <w:rFonts w:ascii="Times New Roman" w:eastAsia="Times New Roman" w:hAnsi="Times New Roman" w:cs="Times New Roman"/>
          <w:sz w:val="22"/>
          <w:szCs w:val="22"/>
          <w:lang w:val="es-MX"/>
        </w:rPr>
        <w:t xml:space="preserve"> son las remuneraciones con Q2,566.5 millones, al ver este rubro en detalle, son las remuneraciones </w:t>
      </w:r>
      <w:r w:rsidR="00BB5B21">
        <w:rPr>
          <w:rFonts w:ascii="Times New Roman" w:eastAsia="Times New Roman" w:hAnsi="Times New Roman" w:cs="Times New Roman"/>
          <w:sz w:val="22"/>
          <w:szCs w:val="22"/>
          <w:lang w:val="es-MX"/>
        </w:rPr>
        <w:t>en el Ministerio de Educación</w:t>
      </w:r>
      <w:r w:rsidR="00BE2DC7">
        <w:rPr>
          <w:rFonts w:ascii="Times New Roman" w:eastAsia="Times New Roman" w:hAnsi="Times New Roman" w:cs="Times New Roman"/>
          <w:sz w:val="22"/>
          <w:szCs w:val="22"/>
          <w:lang w:val="es-MX"/>
        </w:rPr>
        <w:t xml:space="preserve"> (MINEDUC)</w:t>
      </w:r>
      <w:r w:rsidR="00BB5B21">
        <w:rPr>
          <w:rFonts w:ascii="Times New Roman" w:eastAsia="Times New Roman" w:hAnsi="Times New Roman" w:cs="Times New Roman"/>
          <w:sz w:val="22"/>
          <w:szCs w:val="22"/>
          <w:lang w:val="es-MX"/>
        </w:rPr>
        <w:t xml:space="preserve"> y Ministerio de Salud Pública y Asistencia Social</w:t>
      </w:r>
      <w:r w:rsidR="00BE2DC7">
        <w:rPr>
          <w:rFonts w:ascii="Times New Roman" w:eastAsia="Times New Roman" w:hAnsi="Times New Roman" w:cs="Times New Roman"/>
          <w:sz w:val="22"/>
          <w:szCs w:val="22"/>
          <w:lang w:val="es-MX"/>
        </w:rPr>
        <w:t xml:space="preserve"> (MSPAS)</w:t>
      </w:r>
      <w:r w:rsidR="00BB5B21">
        <w:rPr>
          <w:rFonts w:ascii="Times New Roman" w:eastAsia="Times New Roman" w:hAnsi="Times New Roman" w:cs="Times New Roman"/>
          <w:sz w:val="22"/>
          <w:szCs w:val="22"/>
          <w:lang w:val="es-MX"/>
        </w:rPr>
        <w:t xml:space="preserve"> las que tienen un mayor crecimiento absoluto. En el caso de Educación, </w:t>
      </w:r>
      <w:r w:rsidR="00F969C2">
        <w:rPr>
          <w:rFonts w:ascii="Times New Roman" w:eastAsia="Times New Roman" w:hAnsi="Times New Roman" w:cs="Times New Roman"/>
          <w:sz w:val="22"/>
          <w:szCs w:val="22"/>
          <w:lang w:val="es-MX"/>
        </w:rPr>
        <w:t xml:space="preserve">cuentan con un aumento de Q818.7 millones, </w:t>
      </w:r>
      <w:r w:rsidR="00701CCE">
        <w:rPr>
          <w:rFonts w:ascii="Times New Roman" w:eastAsia="Times New Roman" w:hAnsi="Times New Roman" w:cs="Times New Roman"/>
          <w:sz w:val="22"/>
          <w:szCs w:val="22"/>
          <w:lang w:val="es-MX"/>
        </w:rPr>
        <w:t xml:space="preserve">esto </w:t>
      </w:r>
      <w:r w:rsidR="0064618E">
        <w:rPr>
          <w:rFonts w:ascii="Times New Roman" w:eastAsia="Times New Roman" w:hAnsi="Times New Roman" w:cs="Times New Roman"/>
          <w:sz w:val="22"/>
          <w:szCs w:val="22"/>
          <w:lang w:val="es-MX"/>
        </w:rPr>
        <w:t xml:space="preserve">se debe a </w:t>
      </w:r>
      <w:r w:rsidR="00BB5B21" w:rsidRPr="00BB5B21">
        <w:rPr>
          <w:rFonts w:ascii="Times New Roman" w:eastAsia="Times New Roman" w:hAnsi="Times New Roman" w:cs="Times New Roman"/>
          <w:sz w:val="22"/>
          <w:szCs w:val="22"/>
          <w:lang w:val="es-MX"/>
        </w:rPr>
        <w:t>que, según el pacto colectivo de condiciones de trabajo negociado y suscrito en 2022, a partir de 2023 se considera un reajuste del 3% sobre el salario base</w:t>
      </w:r>
      <w:r w:rsidR="00701CCE">
        <w:rPr>
          <w:rFonts w:ascii="Times New Roman" w:eastAsia="Times New Roman" w:hAnsi="Times New Roman" w:cs="Times New Roman"/>
          <w:sz w:val="22"/>
          <w:szCs w:val="22"/>
          <w:lang w:val="es-MX"/>
        </w:rPr>
        <w:t xml:space="preserve"> vigente a partir del 1 de enero de ese año, luego de que para 2021 y 2022 no se dieron reajustes salariales.</w:t>
      </w:r>
      <w:r w:rsidR="00BE2DC7">
        <w:rPr>
          <w:rFonts w:ascii="Times New Roman" w:eastAsia="Times New Roman" w:hAnsi="Times New Roman" w:cs="Times New Roman"/>
          <w:sz w:val="22"/>
          <w:szCs w:val="22"/>
          <w:lang w:val="es-MX"/>
        </w:rPr>
        <w:t xml:space="preserve"> </w:t>
      </w:r>
      <w:r w:rsidR="00701CCE">
        <w:rPr>
          <w:rFonts w:ascii="Times New Roman" w:eastAsia="Times New Roman" w:hAnsi="Times New Roman" w:cs="Times New Roman"/>
          <w:sz w:val="22"/>
          <w:szCs w:val="22"/>
          <w:lang w:val="es-MX"/>
        </w:rPr>
        <w:t>Para los efectos de calcular este aumento salarial, se debe tomar en cuenta el salario base más la</w:t>
      </w:r>
      <w:r w:rsidR="00BE2DC7">
        <w:rPr>
          <w:rFonts w:ascii="Times New Roman" w:eastAsia="Times New Roman" w:hAnsi="Times New Roman" w:cs="Times New Roman"/>
          <w:sz w:val="22"/>
          <w:szCs w:val="22"/>
          <w:lang w:val="es-MX"/>
        </w:rPr>
        <w:t xml:space="preserve"> totalidad de las</w:t>
      </w:r>
      <w:r w:rsidR="00701CCE">
        <w:rPr>
          <w:rFonts w:ascii="Times New Roman" w:eastAsia="Times New Roman" w:hAnsi="Times New Roman" w:cs="Times New Roman"/>
          <w:sz w:val="22"/>
          <w:szCs w:val="22"/>
          <w:lang w:val="es-MX"/>
        </w:rPr>
        <w:t xml:space="preserve"> bonificaciones,</w:t>
      </w:r>
      <w:r w:rsidR="00BE2DC7">
        <w:rPr>
          <w:rFonts w:ascii="Times New Roman" w:eastAsia="Times New Roman" w:hAnsi="Times New Roman" w:cs="Times New Roman"/>
          <w:sz w:val="22"/>
          <w:szCs w:val="22"/>
          <w:lang w:val="es-MX"/>
        </w:rPr>
        <w:t xml:space="preserve"> a excepción del complemento personal. </w:t>
      </w:r>
    </w:p>
    <w:p w14:paraId="02862715" w14:textId="0952937D" w:rsidR="00701CCE" w:rsidRDefault="00701CCE" w:rsidP="0039645E">
      <w:pPr>
        <w:jc w:val="both"/>
        <w:rPr>
          <w:rFonts w:ascii="Times New Roman" w:eastAsia="Times New Roman" w:hAnsi="Times New Roman" w:cs="Times New Roman"/>
          <w:sz w:val="22"/>
          <w:szCs w:val="22"/>
          <w:lang w:val="es-MX"/>
        </w:rPr>
      </w:pPr>
    </w:p>
    <w:p w14:paraId="1E4A9B9E" w14:textId="23A1AE5E" w:rsidR="00026EDE" w:rsidRDefault="00026EDE" w:rsidP="0039645E">
      <w:pPr>
        <w:jc w:val="both"/>
        <w:rPr>
          <w:rFonts w:ascii="Times New Roman" w:eastAsia="Times New Roman" w:hAnsi="Times New Roman" w:cs="Times New Roman"/>
          <w:sz w:val="22"/>
          <w:szCs w:val="22"/>
          <w:lang w:val="es-MX"/>
        </w:rPr>
      </w:pPr>
      <w:r>
        <w:rPr>
          <w:rFonts w:ascii="Times New Roman" w:eastAsia="Times New Roman" w:hAnsi="Times New Roman" w:cs="Times New Roman"/>
          <w:sz w:val="22"/>
          <w:szCs w:val="22"/>
          <w:lang w:val="es-MX"/>
        </w:rPr>
        <w:t>Mientras e</w:t>
      </w:r>
      <w:r w:rsidR="0064618E">
        <w:rPr>
          <w:rFonts w:ascii="Times New Roman" w:eastAsia="Times New Roman" w:hAnsi="Times New Roman" w:cs="Times New Roman"/>
          <w:sz w:val="22"/>
          <w:szCs w:val="22"/>
          <w:lang w:val="es-MX"/>
        </w:rPr>
        <w:t>n el caso de Salud Pública</w:t>
      </w:r>
      <w:r w:rsidR="00F969C2">
        <w:rPr>
          <w:rFonts w:ascii="Times New Roman" w:eastAsia="Times New Roman" w:hAnsi="Times New Roman" w:cs="Times New Roman"/>
          <w:sz w:val="22"/>
          <w:szCs w:val="22"/>
          <w:lang w:val="es-MX"/>
        </w:rPr>
        <w:t xml:space="preserve"> el aumento</w:t>
      </w:r>
      <w:r w:rsidR="00941EE0">
        <w:rPr>
          <w:rFonts w:ascii="Times New Roman" w:eastAsia="Times New Roman" w:hAnsi="Times New Roman" w:cs="Times New Roman"/>
          <w:sz w:val="22"/>
          <w:szCs w:val="22"/>
          <w:lang w:val="es-MX"/>
        </w:rPr>
        <w:t xml:space="preserve"> fue </w:t>
      </w:r>
      <w:r w:rsidR="00F969C2">
        <w:rPr>
          <w:rFonts w:ascii="Times New Roman" w:eastAsia="Times New Roman" w:hAnsi="Times New Roman" w:cs="Times New Roman"/>
          <w:sz w:val="22"/>
          <w:szCs w:val="22"/>
          <w:lang w:val="es-MX"/>
        </w:rPr>
        <w:t>de Q782.3 millones,</w:t>
      </w:r>
      <w:r w:rsidR="0064618E">
        <w:rPr>
          <w:rFonts w:ascii="Times New Roman" w:eastAsia="Times New Roman" w:hAnsi="Times New Roman" w:cs="Times New Roman"/>
          <w:sz w:val="22"/>
          <w:szCs w:val="22"/>
          <w:lang w:val="es-MX"/>
        </w:rPr>
        <w:t xml:space="preserve"> </w:t>
      </w:r>
      <w:r w:rsidR="0064618E" w:rsidRPr="0064618E">
        <w:rPr>
          <w:rFonts w:ascii="Times New Roman" w:eastAsia="Times New Roman" w:hAnsi="Times New Roman" w:cs="Times New Roman"/>
          <w:sz w:val="22"/>
          <w:szCs w:val="22"/>
          <w:lang w:val="es-MX"/>
        </w:rPr>
        <w:t xml:space="preserve">es importante </w:t>
      </w:r>
      <w:r>
        <w:rPr>
          <w:rFonts w:ascii="Times New Roman" w:eastAsia="Times New Roman" w:hAnsi="Times New Roman" w:cs="Times New Roman"/>
          <w:sz w:val="22"/>
          <w:szCs w:val="22"/>
          <w:lang w:val="es-MX"/>
        </w:rPr>
        <w:t xml:space="preserve">el proceso de mejora salarial y el proceso </w:t>
      </w:r>
      <w:r w:rsidR="002537F6">
        <w:rPr>
          <w:rFonts w:ascii="Times New Roman" w:eastAsia="Times New Roman" w:hAnsi="Times New Roman" w:cs="Times New Roman"/>
          <w:sz w:val="22"/>
          <w:szCs w:val="22"/>
          <w:lang w:val="es-MX"/>
        </w:rPr>
        <w:t xml:space="preserve">continuo </w:t>
      </w:r>
      <w:r>
        <w:rPr>
          <w:rFonts w:ascii="Times New Roman" w:eastAsia="Times New Roman" w:hAnsi="Times New Roman" w:cs="Times New Roman"/>
          <w:sz w:val="22"/>
          <w:szCs w:val="22"/>
          <w:lang w:val="es-MX"/>
        </w:rPr>
        <w:t>de incorporación de contratistas temporales al renglón 011 “personal permanente”</w:t>
      </w:r>
      <w:r w:rsidR="00876B1B">
        <w:rPr>
          <w:rFonts w:ascii="Times New Roman" w:eastAsia="Times New Roman" w:hAnsi="Times New Roman" w:cs="Times New Roman"/>
          <w:sz w:val="22"/>
          <w:szCs w:val="22"/>
          <w:lang w:val="es-MX"/>
        </w:rPr>
        <w:t xml:space="preserve"> según Acuerdo Ministerial 198-2023. </w:t>
      </w:r>
      <w:r w:rsidR="002537F6">
        <w:rPr>
          <w:rFonts w:ascii="Times New Roman" w:eastAsia="Times New Roman" w:hAnsi="Times New Roman" w:cs="Times New Roman"/>
          <w:sz w:val="22"/>
          <w:szCs w:val="22"/>
          <w:lang w:val="es-MX"/>
        </w:rPr>
        <w:t xml:space="preserve">Dentro de la Ley de Presupuesto 2023, Decreto </w:t>
      </w:r>
      <w:r w:rsidR="009A26C0">
        <w:rPr>
          <w:rFonts w:ascii="Times New Roman" w:eastAsia="Times New Roman" w:hAnsi="Times New Roman" w:cs="Times New Roman"/>
          <w:sz w:val="22"/>
          <w:szCs w:val="22"/>
          <w:lang w:val="es-MX"/>
        </w:rPr>
        <w:t>N</w:t>
      </w:r>
      <w:r w:rsidR="002537F6">
        <w:rPr>
          <w:rFonts w:ascii="Times New Roman" w:eastAsia="Times New Roman" w:hAnsi="Times New Roman" w:cs="Times New Roman"/>
          <w:sz w:val="22"/>
          <w:szCs w:val="22"/>
          <w:lang w:val="es-MX"/>
        </w:rPr>
        <w:t>úmero 54-2022</w:t>
      </w:r>
      <w:r w:rsidR="00E71470">
        <w:rPr>
          <w:rFonts w:ascii="Times New Roman" w:eastAsia="Times New Roman" w:hAnsi="Times New Roman" w:cs="Times New Roman"/>
          <w:sz w:val="22"/>
          <w:szCs w:val="22"/>
          <w:lang w:val="es-MX"/>
        </w:rPr>
        <w:t>,</w:t>
      </w:r>
      <w:r w:rsidR="002537F6">
        <w:rPr>
          <w:rFonts w:ascii="Times New Roman" w:eastAsia="Times New Roman" w:hAnsi="Times New Roman" w:cs="Times New Roman"/>
          <w:sz w:val="22"/>
          <w:szCs w:val="22"/>
          <w:lang w:val="es-MX"/>
        </w:rPr>
        <w:t xml:space="preserve"> se faculta al MSPAS a realizar readecuaciones presupuestarias a fin de </w:t>
      </w:r>
      <w:r w:rsidR="002537F6">
        <w:rPr>
          <w:rFonts w:ascii="Times New Roman" w:eastAsia="Times New Roman" w:hAnsi="Times New Roman" w:cs="Times New Roman"/>
          <w:sz w:val="22"/>
          <w:szCs w:val="22"/>
          <w:lang w:val="es-MX"/>
        </w:rPr>
        <w:lastRenderedPageBreak/>
        <w:t>otorgar mejoras salariales, siendo autorizado la asignación del beneficio económico denominado “Bono Mensual Decreto N</w:t>
      </w:r>
      <w:r w:rsidR="009A26C0">
        <w:rPr>
          <w:rFonts w:ascii="Times New Roman" w:eastAsia="Times New Roman" w:hAnsi="Times New Roman" w:cs="Times New Roman"/>
          <w:sz w:val="22"/>
          <w:szCs w:val="22"/>
          <w:lang w:val="es-MX"/>
        </w:rPr>
        <w:t>úmero</w:t>
      </w:r>
      <w:r w:rsidR="002537F6">
        <w:rPr>
          <w:rFonts w:ascii="Times New Roman" w:eastAsia="Times New Roman" w:hAnsi="Times New Roman" w:cs="Times New Roman"/>
          <w:sz w:val="22"/>
          <w:szCs w:val="22"/>
          <w:lang w:val="es-MX"/>
        </w:rPr>
        <w:t xml:space="preserve"> 54-2022” para los puestos y jornales con cargo a los renglones presupuestarios 011 “personal permanente”, 021 “personal supernumerario”, 022 “personal por contrato” y 031 “jornales”</w:t>
      </w:r>
      <w:r w:rsidR="002808D2">
        <w:rPr>
          <w:rFonts w:ascii="Times New Roman" w:eastAsia="Times New Roman" w:hAnsi="Times New Roman" w:cs="Times New Roman"/>
          <w:sz w:val="22"/>
          <w:szCs w:val="22"/>
          <w:lang w:val="es-MX"/>
        </w:rPr>
        <w:t>, siendo un beneficio pagado a partir de mayo del 2023.</w:t>
      </w:r>
    </w:p>
    <w:p w14:paraId="41089580" w14:textId="015C38C7" w:rsidR="00876B1B" w:rsidRDefault="00876B1B" w:rsidP="0039645E">
      <w:pPr>
        <w:jc w:val="both"/>
        <w:rPr>
          <w:rFonts w:ascii="Times New Roman" w:eastAsia="Times New Roman" w:hAnsi="Times New Roman" w:cs="Times New Roman"/>
          <w:sz w:val="22"/>
          <w:szCs w:val="22"/>
          <w:lang w:val="es-MX"/>
        </w:rPr>
      </w:pPr>
    </w:p>
    <w:p w14:paraId="3512395B" w14:textId="250A9533" w:rsidR="00F969C2" w:rsidRPr="00F969C2" w:rsidRDefault="00F969C2" w:rsidP="00F969C2">
      <w:pPr>
        <w:jc w:val="both"/>
        <w:rPr>
          <w:rFonts w:ascii="Times New Roman" w:eastAsia="Times New Roman" w:hAnsi="Times New Roman" w:cs="Times New Roman"/>
          <w:sz w:val="22"/>
          <w:szCs w:val="22"/>
          <w:lang w:val="es-MX"/>
        </w:rPr>
      </w:pPr>
      <w:r>
        <w:rPr>
          <w:rFonts w:ascii="Times New Roman" w:eastAsia="Times New Roman" w:hAnsi="Times New Roman" w:cs="Times New Roman"/>
          <w:sz w:val="22"/>
          <w:szCs w:val="22"/>
          <w:lang w:val="es-MX"/>
        </w:rPr>
        <w:t xml:space="preserve">Luego se encuentran </w:t>
      </w:r>
      <w:r w:rsidRPr="00F969C2">
        <w:rPr>
          <w:rFonts w:ascii="Times New Roman" w:eastAsia="Times New Roman" w:hAnsi="Times New Roman" w:cs="Times New Roman"/>
          <w:sz w:val="22"/>
          <w:szCs w:val="22"/>
          <w:lang w:val="es-MX"/>
        </w:rPr>
        <w:t>las Obligaciones del Estado</w:t>
      </w:r>
      <w:r w:rsidR="00C05CC5">
        <w:rPr>
          <w:rFonts w:ascii="Times New Roman" w:eastAsia="Times New Roman" w:hAnsi="Times New Roman" w:cs="Times New Roman"/>
          <w:sz w:val="22"/>
          <w:szCs w:val="22"/>
          <w:lang w:val="es-MX"/>
        </w:rPr>
        <w:t xml:space="preserve"> a cargo del Tesoro</w:t>
      </w:r>
      <w:r w:rsidRPr="00F969C2">
        <w:rPr>
          <w:rFonts w:ascii="Times New Roman" w:eastAsia="Times New Roman" w:hAnsi="Times New Roman" w:cs="Times New Roman"/>
          <w:sz w:val="22"/>
          <w:szCs w:val="22"/>
          <w:lang w:val="es-MX"/>
        </w:rPr>
        <w:t xml:space="preserve"> </w:t>
      </w:r>
      <w:r w:rsidR="00941EE0">
        <w:rPr>
          <w:rFonts w:ascii="Times New Roman" w:eastAsia="Times New Roman" w:hAnsi="Times New Roman" w:cs="Times New Roman"/>
          <w:sz w:val="22"/>
          <w:szCs w:val="22"/>
          <w:lang w:val="es-MX"/>
        </w:rPr>
        <w:t xml:space="preserve">que </w:t>
      </w:r>
      <w:r w:rsidRPr="00F969C2">
        <w:rPr>
          <w:rFonts w:ascii="Times New Roman" w:eastAsia="Times New Roman" w:hAnsi="Times New Roman" w:cs="Times New Roman"/>
          <w:sz w:val="22"/>
          <w:szCs w:val="22"/>
          <w:lang w:val="es-MX"/>
        </w:rPr>
        <w:t>reporta un aumento de Q4</w:t>
      </w:r>
      <w:r>
        <w:rPr>
          <w:rFonts w:ascii="Times New Roman" w:eastAsia="Times New Roman" w:hAnsi="Times New Roman" w:cs="Times New Roman"/>
          <w:sz w:val="22"/>
          <w:szCs w:val="22"/>
          <w:lang w:val="es-MX"/>
        </w:rPr>
        <w:t>41</w:t>
      </w:r>
      <w:r w:rsidRPr="00F969C2">
        <w:rPr>
          <w:rFonts w:ascii="Times New Roman" w:eastAsia="Times New Roman" w:hAnsi="Times New Roman" w:cs="Times New Roman"/>
          <w:sz w:val="22"/>
          <w:szCs w:val="22"/>
          <w:lang w:val="es-MX"/>
        </w:rPr>
        <w:t>.</w:t>
      </w:r>
      <w:r>
        <w:rPr>
          <w:rFonts w:ascii="Times New Roman" w:eastAsia="Times New Roman" w:hAnsi="Times New Roman" w:cs="Times New Roman"/>
          <w:sz w:val="22"/>
          <w:szCs w:val="22"/>
          <w:lang w:val="es-MX"/>
        </w:rPr>
        <w:t>3</w:t>
      </w:r>
      <w:r w:rsidRPr="00F969C2">
        <w:rPr>
          <w:rFonts w:ascii="Times New Roman" w:eastAsia="Times New Roman" w:hAnsi="Times New Roman" w:cs="Times New Roman"/>
          <w:sz w:val="22"/>
          <w:szCs w:val="22"/>
          <w:lang w:val="es-MX"/>
        </w:rPr>
        <w:t xml:space="preserve"> millones, explicado en buena medida por el aporte patronal al IGSS</w:t>
      </w:r>
      <w:r w:rsidR="00E71470">
        <w:rPr>
          <w:rFonts w:ascii="Times New Roman" w:eastAsia="Times New Roman" w:hAnsi="Times New Roman" w:cs="Times New Roman"/>
          <w:sz w:val="22"/>
          <w:szCs w:val="22"/>
          <w:lang w:val="es-MX"/>
        </w:rPr>
        <w:t>,</w:t>
      </w:r>
      <w:r w:rsidRPr="00F969C2">
        <w:rPr>
          <w:rFonts w:ascii="Times New Roman" w:eastAsia="Times New Roman" w:hAnsi="Times New Roman" w:cs="Times New Roman"/>
          <w:sz w:val="22"/>
          <w:szCs w:val="22"/>
          <w:lang w:val="es-MX"/>
        </w:rPr>
        <w:t xml:space="preserve"> el cual tiene un aumento de Q</w:t>
      </w:r>
      <w:r>
        <w:rPr>
          <w:rFonts w:ascii="Times New Roman" w:eastAsia="Times New Roman" w:hAnsi="Times New Roman" w:cs="Times New Roman"/>
          <w:sz w:val="22"/>
          <w:szCs w:val="22"/>
          <w:lang w:val="es-MX"/>
        </w:rPr>
        <w:t>426</w:t>
      </w:r>
      <w:r w:rsidRPr="00F969C2">
        <w:rPr>
          <w:rFonts w:ascii="Times New Roman" w:eastAsia="Times New Roman" w:hAnsi="Times New Roman" w:cs="Times New Roman"/>
          <w:sz w:val="22"/>
          <w:szCs w:val="22"/>
          <w:lang w:val="es-MX"/>
        </w:rPr>
        <w:t>.</w:t>
      </w:r>
      <w:r>
        <w:rPr>
          <w:rFonts w:ascii="Times New Roman" w:eastAsia="Times New Roman" w:hAnsi="Times New Roman" w:cs="Times New Roman"/>
          <w:sz w:val="22"/>
          <w:szCs w:val="22"/>
          <w:lang w:val="es-MX"/>
        </w:rPr>
        <w:t>0</w:t>
      </w:r>
      <w:r w:rsidRPr="00F969C2">
        <w:rPr>
          <w:rFonts w:ascii="Times New Roman" w:eastAsia="Times New Roman" w:hAnsi="Times New Roman" w:cs="Times New Roman"/>
          <w:sz w:val="22"/>
          <w:szCs w:val="22"/>
          <w:lang w:val="es-MX"/>
        </w:rPr>
        <w:t xml:space="preserve"> millones.</w:t>
      </w:r>
      <w:r w:rsidR="00E71470">
        <w:rPr>
          <w:rFonts w:ascii="Times New Roman" w:eastAsia="Times New Roman" w:hAnsi="Times New Roman" w:cs="Times New Roman"/>
          <w:sz w:val="22"/>
          <w:szCs w:val="22"/>
          <w:lang w:val="es-MX"/>
        </w:rPr>
        <w:t xml:space="preserve"> </w:t>
      </w:r>
    </w:p>
    <w:p w14:paraId="49FAE5A3" w14:textId="220A7BC7" w:rsidR="00876B1B" w:rsidRDefault="00876B1B" w:rsidP="0039645E">
      <w:pPr>
        <w:jc w:val="both"/>
        <w:rPr>
          <w:rFonts w:ascii="Times New Roman" w:eastAsia="Times New Roman" w:hAnsi="Times New Roman" w:cs="Times New Roman"/>
          <w:sz w:val="22"/>
          <w:szCs w:val="22"/>
          <w:lang w:val="es-MX"/>
        </w:rPr>
      </w:pPr>
    </w:p>
    <w:p w14:paraId="2B639789" w14:textId="073B4841" w:rsidR="00876B1B" w:rsidRDefault="00F969C2" w:rsidP="0039645E">
      <w:pPr>
        <w:jc w:val="both"/>
        <w:rPr>
          <w:rFonts w:ascii="Times New Roman" w:eastAsia="Times New Roman" w:hAnsi="Times New Roman" w:cs="Times New Roman"/>
          <w:sz w:val="22"/>
          <w:szCs w:val="22"/>
          <w:lang w:val="es-MX"/>
        </w:rPr>
      </w:pPr>
      <w:r>
        <w:rPr>
          <w:rFonts w:ascii="Times New Roman" w:eastAsia="Times New Roman" w:hAnsi="Times New Roman" w:cs="Times New Roman"/>
          <w:sz w:val="22"/>
          <w:szCs w:val="22"/>
          <w:lang w:val="es-MX"/>
        </w:rPr>
        <w:t xml:space="preserve">Seguidamente, las transferencias de capital aumentan en Q1,861.5 millones respecto a 2022 (crecimiento de 13.5%), </w:t>
      </w:r>
      <w:r w:rsidR="00251F9F">
        <w:rPr>
          <w:rFonts w:ascii="Times New Roman" w:eastAsia="Times New Roman" w:hAnsi="Times New Roman" w:cs="Times New Roman"/>
          <w:sz w:val="22"/>
          <w:szCs w:val="22"/>
          <w:lang w:val="es-MX"/>
        </w:rPr>
        <w:t>explicadas por el sector público</w:t>
      </w:r>
      <w:r w:rsidR="009C7B5E">
        <w:rPr>
          <w:rFonts w:ascii="Times New Roman" w:eastAsia="Times New Roman" w:hAnsi="Times New Roman" w:cs="Times New Roman"/>
          <w:sz w:val="22"/>
          <w:szCs w:val="22"/>
          <w:lang w:val="es-MX"/>
        </w:rPr>
        <w:t>, son las transferencias a las municipalidades y Consejos de Desarrollo Urbano y Rural</w:t>
      </w:r>
      <w:r w:rsidR="00E71470">
        <w:rPr>
          <w:rFonts w:ascii="Times New Roman" w:eastAsia="Times New Roman" w:hAnsi="Times New Roman" w:cs="Times New Roman"/>
          <w:sz w:val="22"/>
          <w:szCs w:val="22"/>
          <w:lang w:val="es-MX"/>
        </w:rPr>
        <w:t>,</w:t>
      </w:r>
      <w:r w:rsidR="009C7B5E">
        <w:rPr>
          <w:rFonts w:ascii="Times New Roman" w:eastAsia="Times New Roman" w:hAnsi="Times New Roman" w:cs="Times New Roman"/>
          <w:sz w:val="22"/>
          <w:szCs w:val="22"/>
          <w:lang w:val="es-MX"/>
        </w:rPr>
        <w:t xml:space="preserve"> las que tienen mayor aumento, siendo de Q1,283.0 y Q660.0</w:t>
      </w:r>
      <w:r w:rsidR="00EC426D">
        <w:rPr>
          <w:rFonts w:ascii="Times New Roman" w:eastAsia="Times New Roman" w:hAnsi="Times New Roman" w:cs="Times New Roman"/>
          <w:sz w:val="22"/>
          <w:szCs w:val="22"/>
          <w:lang w:val="es-MX"/>
        </w:rPr>
        <w:t xml:space="preserve"> millones</w:t>
      </w:r>
      <w:r w:rsidR="009C7B5E">
        <w:rPr>
          <w:rFonts w:ascii="Times New Roman" w:eastAsia="Times New Roman" w:hAnsi="Times New Roman" w:cs="Times New Roman"/>
          <w:sz w:val="22"/>
          <w:szCs w:val="22"/>
          <w:lang w:val="es-MX"/>
        </w:rPr>
        <w:t xml:space="preserve"> respectivamente</w:t>
      </w:r>
      <w:r w:rsidR="00284323">
        <w:rPr>
          <w:rFonts w:ascii="Times New Roman" w:eastAsia="Times New Roman" w:hAnsi="Times New Roman" w:cs="Times New Roman"/>
          <w:sz w:val="22"/>
          <w:szCs w:val="22"/>
          <w:lang w:val="es-MX"/>
        </w:rPr>
        <w:t xml:space="preserve">, </w:t>
      </w:r>
      <w:r w:rsidR="00284323" w:rsidRPr="004A66F0">
        <w:rPr>
          <w:rFonts w:ascii="Times New Roman" w:eastAsia="Times New Roman" w:hAnsi="Times New Roman" w:cs="Times New Roman"/>
          <w:sz w:val="22"/>
          <w:szCs w:val="22"/>
          <w:lang w:val="es-MX"/>
        </w:rPr>
        <w:t xml:space="preserve">lo cual se explica por el dinamismo de la recaudación tributaria que ha derivado en un aumento de los aportes institucionales provenientes de la recaudación tributaria. </w:t>
      </w:r>
      <w:r w:rsidR="009C7B5E">
        <w:rPr>
          <w:rFonts w:ascii="Times New Roman" w:eastAsia="Times New Roman" w:hAnsi="Times New Roman" w:cs="Times New Roman"/>
          <w:sz w:val="22"/>
          <w:szCs w:val="22"/>
          <w:lang w:val="es-MX"/>
        </w:rPr>
        <w:t xml:space="preserve"> Mientras las transferencias de capital del sector privado y externo caen en Q94.1 millones</w:t>
      </w:r>
      <w:r w:rsidR="00284323">
        <w:rPr>
          <w:rFonts w:ascii="Times New Roman" w:eastAsia="Times New Roman" w:hAnsi="Times New Roman" w:cs="Times New Roman"/>
          <w:sz w:val="22"/>
          <w:szCs w:val="22"/>
          <w:lang w:val="es-MX"/>
        </w:rPr>
        <w:t>.</w:t>
      </w:r>
    </w:p>
    <w:p w14:paraId="6B575B7D" w14:textId="115DC30C" w:rsidR="00284323" w:rsidRDefault="00284323" w:rsidP="0039645E">
      <w:pPr>
        <w:jc w:val="both"/>
        <w:rPr>
          <w:rFonts w:ascii="Times New Roman" w:eastAsia="Times New Roman" w:hAnsi="Times New Roman" w:cs="Times New Roman"/>
          <w:sz w:val="22"/>
          <w:szCs w:val="22"/>
          <w:lang w:val="es-MX"/>
        </w:rPr>
      </w:pPr>
    </w:p>
    <w:p w14:paraId="5EF49AD9" w14:textId="1B75DCC0" w:rsidR="00BB0B27" w:rsidRDefault="00284323" w:rsidP="0039645E">
      <w:pPr>
        <w:jc w:val="both"/>
        <w:rPr>
          <w:rFonts w:ascii="Times New Roman" w:eastAsia="Times New Roman" w:hAnsi="Times New Roman" w:cs="Times New Roman"/>
          <w:sz w:val="22"/>
          <w:szCs w:val="22"/>
          <w:lang w:val="es-MX"/>
        </w:rPr>
      </w:pPr>
      <w:r w:rsidRPr="00284323">
        <w:rPr>
          <w:rFonts w:ascii="Times New Roman" w:eastAsia="Times New Roman" w:hAnsi="Times New Roman" w:cs="Times New Roman"/>
          <w:sz w:val="22"/>
          <w:szCs w:val="22"/>
          <w:lang w:val="es-MX"/>
        </w:rPr>
        <w:t xml:space="preserve">Respecto a los intereses de la deuda pública, </w:t>
      </w:r>
      <w:r w:rsidR="006F0860">
        <w:rPr>
          <w:rFonts w:ascii="Times New Roman" w:eastAsia="Times New Roman" w:hAnsi="Times New Roman" w:cs="Times New Roman"/>
          <w:sz w:val="22"/>
          <w:szCs w:val="22"/>
          <w:lang w:val="es-MX"/>
        </w:rPr>
        <w:t xml:space="preserve">el </w:t>
      </w:r>
      <w:r w:rsidRPr="00284323">
        <w:rPr>
          <w:rFonts w:ascii="Times New Roman" w:eastAsia="Times New Roman" w:hAnsi="Times New Roman" w:cs="Times New Roman"/>
          <w:sz w:val="22"/>
          <w:szCs w:val="22"/>
          <w:lang w:val="es-MX"/>
        </w:rPr>
        <w:t>rubro aumentó en Q</w:t>
      </w:r>
      <w:r>
        <w:rPr>
          <w:rFonts w:ascii="Times New Roman" w:eastAsia="Times New Roman" w:hAnsi="Times New Roman" w:cs="Times New Roman"/>
          <w:sz w:val="22"/>
          <w:szCs w:val="22"/>
          <w:lang w:val="es-MX"/>
        </w:rPr>
        <w:t>1,07</w:t>
      </w:r>
      <w:r w:rsidRPr="00284323">
        <w:rPr>
          <w:rFonts w:ascii="Times New Roman" w:eastAsia="Times New Roman" w:hAnsi="Times New Roman" w:cs="Times New Roman"/>
          <w:sz w:val="22"/>
          <w:szCs w:val="22"/>
          <w:lang w:val="es-MX"/>
        </w:rPr>
        <w:t>4 millones</w:t>
      </w:r>
      <w:r>
        <w:rPr>
          <w:rFonts w:ascii="Times New Roman" w:eastAsia="Times New Roman" w:hAnsi="Times New Roman" w:cs="Times New Roman"/>
          <w:sz w:val="22"/>
          <w:szCs w:val="22"/>
          <w:lang w:val="es-MX"/>
        </w:rPr>
        <w:t xml:space="preserve"> (equivalente a 8.8% </w:t>
      </w:r>
      <w:r w:rsidRPr="00284323">
        <w:rPr>
          <w:rFonts w:ascii="Times New Roman" w:eastAsia="Times New Roman" w:hAnsi="Times New Roman" w:cs="Times New Roman"/>
          <w:sz w:val="22"/>
          <w:szCs w:val="22"/>
          <w:lang w:val="es-MX"/>
        </w:rPr>
        <w:t>a lo observado en 2021</w:t>
      </w:r>
      <w:r w:rsidR="006F0860">
        <w:rPr>
          <w:rFonts w:ascii="Times New Roman" w:eastAsia="Times New Roman" w:hAnsi="Times New Roman" w:cs="Times New Roman"/>
          <w:sz w:val="22"/>
          <w:szCs w:val="22"/>
          <w:lang w:val="es-MX"/>
        </w:rPr>
        <w:t>)</w:t>
      </w:r>
      <w:r w:rsidRPr="00284323">
        <w:rPr>
          <w:rFonts w:ascii="Times New Roman" w:eastAsia="Times New Roman" w:hAnsi="Times New Roman" w:cs="Times New Roman"/>
          <w:sz w:val="22"/>
          <w:szCs w:val="22"/>
          <w:lang w:val="es-MX"/>
        </w:rPr>
        <w:t>, de los cuales se dio un aumento en los intereses de la deuda interna por Q</w:t>
      </w:r>
      <w:r>
        <w:rPr>
          <w:rFonts w:ascii="Times New Roman" w:eastAsia="Times New Roman" w:hAnsi="Times New Roman" w:cs="Times New Roman"/>
          <w:sz w:val="22"/>
          <w:szCs w:val="22"/>
          <w:lang w:val="es-MX"/>
        </w:rPr>
        <w:t>1</w:t>
      </w:r>
      <w:r w:rsidRPr="00284323">
        <w:rPr>
          <w:rFonts w:ascii="Times New Roman" w:eastAsia="Times New Roman" w:hAnsi="Times New Roman" w:cs="Times New Roman"/>
          <w:sz w:val="22"/>
          <w:szCs w:val="22"/>
          <w:lang w:val="es-MX"/>
        </w:rPr>
        <w:t>6</w:t>
      </w:r>
      <w:r>
        <w:rPr>
          <w:rFonts w:ascii="Times New Roman" w:eastAsia="Times New Roman" w:hAnsi="Times New Roman" w:cs="Times New Roman"/>
          <w:sz w:val="22"/>
          <w:szCs w:val="22"/>
          <w:lang w:val="es-MX"/>
        </w:rPr>
        <w:t>0</w:t>
      </w:r>
      <w:r w:rsidRPr="00284323">
        <w:rPr>
          <w:rFonts w:ascii="Times New Roman" w:eastAsia="Times New Roman" w:hAnsi="Times New Roman" w:cs="Times New Roman"/>
          <w:sz w:val="22"/>
          <w:szCs w:val="22"/>
          <w:lang w:val="es-MX"/>
        </w:rPr>
        <w:t>.</w:t>
      </w:r>
      <w:r>
        <w:rPr>
          <w:rFonts w:ascii="Times New Roman" w:eastAsia="Times New Roman" w:hAnsi="Times New Roman" w:cs="Times New Roman"/>
          <w:sz w:val="22"/>
          <w:szCs w:val="22"/>
          <w:lang w:val="es-MX"/>
        </w:rPr>
        <w:t>4</w:t>
      </w:r>
      <w:r w:rsidRPr="00284323">
        <w:rPr>
          <w:rFonts w:ascii="Times New Roman" w:eastAsia="Times New Roman" w:hAnsi="Times New Roman" w:cs="Times New Roman"/>
          <w:sz w:val="22"/>
          <w:szCs w:val="22"/>
          <w:lang w:val="es-MX"/>
        </w:rPr>
        <w:t xml:space="preserve"> millones,</w:t>
      </w:r>
      <w:r w:rsidR="00831FCD">
        <w:rPr>
          <w:rFonts w:ascii="Times New Roman" w:eastAsia="Times New Roman" w:hAnsi="Times New Roman" w:cs="Times New Roman"/>
          <w:sz w:val="22"/>
          <w:szCs w:val="22"/>
          <w:lang w:val="es-MX"/>
        </w:rPr>
        <w:t xml:space="preserve"> e</w:t>
      </w:r>
      <w:r w:rsidR="003D6877">
        <w:rPr>
          <w:rFonts w:ascii="Times New Roman" w:eastAsia="Times New Roman" w:hAnsi="Times New Roman" w:cs="Times New Roman"/>
          <w:sz w:val="22"/>
          <w:szCs w:val="22"/>
          <w:lang w:val="es-MX"/>
        </w:rPr>
        <w:t>sto a pesar de una menor col</w:t>
      </w:r>
      <w:r w:rsidRPr="00284323">
        <w:rPr>
          <w:rFonts w:ascii="Times New Roman" w:eastAsia="Times New Roman" w:hAnsi="Times New Roman" w:cs="Times New Roman"/>
          <w:sz w:val="22"/>
          <w:szCs w:val="22"/>
          <w:lang w:val="es-MX"/>
        </w:rPr>
        <w:t>ocación de Bonos del Tesoro</w:t>
      </w:r>
      <w:r w:rsidR="003D6877">
        <w:rPr>
          <w:rFonts w:ascii="Times New Roman" w:eastAsia="Times New Roman" w:hAnsi="Times New Roman" w:cs="Times New Roman"/>
          <w:sz w:val="22"/>
          <w:szCs w:val="22"/>
          <w:lang w:val="es-MX"/>
        </w:rPr>
        <w:t>, como consecuencia de una mayor presión sobre las tasas de interés ante el aumento de la inflación.</w:t>
      </w:r>
      <w:r w:rsidRPr="00284323">
        <w:rPr>
          <w:rFonts w:ascii="Times New Roman" w:eastAsia="Times New Roman" w:hAnsi="Times New Roman" w:cs="Times New Roman"/>
          <w:sz w:val="22"/>
          <w:szCs w:val="22"/>
          <w:lang w:val="es-MX"/>
        </w:rPr>
        <w:t xml:space="preserve"> Por su parte, los intereses de la deuda externa aumentaron en Q9</w:t>
      </w:r>
      <w:r>
        <w:rPr>
          <w:rFonts w:ascii="Times New Roman" w:eastAsia="Times New Roman" w:hAnsi="Times New Roman" w:cs="Times New Roman"/>
          <w:sz w:val="22"/>
          <w:szCs w:val="22"/>
          <w:lang w:val="es-MX"/>
        </w:rPr>
        <w:t>14</w:t>
      </w:r>
      <w:r w:rsidRPr="00284323">
        <w:rPr>
          <w:rFonts w:ascii="Times New Roman" w:eastAsia="Times New Roman" w:hAnsi="Times New Roman" w:cs="Times New Roman"/>
          <w:sz w:val="22"/>
          <w:szCs w:val="22"/>
          <w:lang w:val="es-MX"/>
        </w:rPr>
        <w:t>.</w:t>
      </w:r>
      <w:r>
        <w:rPr>
          <w:rFonts w:ascii="Times New Roman" w:eastAsia="Times New Roman" w:hAnsi="Times New Roman" w:cs="Times New Roman"/>
          <w:sz w:val="22"/>
          <w:szCs w:val="22"/>
          <w:lang w:val="es-MX"/>
        </w:rPr>
        <w:t>0</w:t>
      </w:r>
      <w:r w:rsidRPr="00284323">
        <w:rPr>
          <w:rFonts w:ascii="Times New Roman" w:eastAsia="Times New Roman" w:hAnsi="Times New Roman" w:cs="Times New Roman"/>
          <w:sz w:val="22"/>
          <w:szCs w:val="22"/>
          <w:lang w:val="es-MX"/>
        </w:rPr>
        <w:t xml:space="preserve"> millones, principalmente </w:t>
      </w:r>
      <w:r>
        <w:rPr>
          <w:rFonts w:ascii="Times New Roman" w:eastAsia="Times New Roman" w:hAnsi="Times New Roman" w:cs="Times New Roman"/>
          <w:sz w:val="22"/>
          <w:szCs w:val="22"/>
          <w:lang w:val="es-MX"/>
        </w:rPr>
        <w:t xml:space="preserve">en los préstamos, </w:t>
      </w:r>
      <w:r w:rsidR="003D6877" w:rsidRPr="003D6877">
        <w:rPr>
          <w:rFonts w:ascii="Times New Roman" w:eastAsia="Times New Roman" w:hAnsi="Times New Roman" w:cs="Times New Roman"/>
          <w:sz w:val="22"/>
          <w:szCs w:val="22"/>
          <w:lang w:val="es-MX"/>
        </w:rPr>
        <w:t>con un crecimiento interanual de 4</w:t>
      </w:r>
      <w:r w:rsidR="003D6877">
        <w:rPr>
          <w:rFonts w:ascii="Times New Roman" w:eastAsia="Times New Roman" w:hAnsi="Times New Roman" w:cs="Times New Roman"/>
          <w:sz w:val="22"/>
          <w:szCs w:val="22"/>
          <w:lang w:val="es-MX"/>
        </w:rPr>
        <w:t>4</w:t>
      </w:r>
      <w:r w:rsidR="003D6877" w:rsidRPr="003D6877">
        <w:rPr>
          <w:rFonts w:ascii="Times New Roman" w:eastAsia="Times New Roman" w:hAnsi="Times New Roman" w:cs="Times New Roman"/>
          <w:sz w:val="22"/>
          <w:szCs w:val="22"/>
          <w:lang w:val="es-MX"/>
        </w:rPr>
        <w:t>.</w:t>
      </w:r>
      <w:r w:rsidR="003D6877">
        <w:rPr>
          <w:rFonts w:ascii="Times New Roman" w:eastAsia="Times New Roman" w:hAnsi="Times New Roman" w:cs="Times New Roman"/>
          <w:sz w:val="22"/>
          <w:szCs w:val="22"/>
          <w:lang w:val="es-MX"/>
        </w:rPr>
        <w:t>9</w:t>
      </w:r>
      <w:r w:rsidR="003D6877" w:rsidRPr="003D6877">
        <w:rPr>
          <w:rFonts w:ascii="Times New Roman" w:eastAsia="Times New Roman" w:hAnsi="Times New Roman" w:cs="Times New Roman"/>
          <w:sz w:val="22"/>
          <w:szCs w:val="22"/>
          <w:lang w:val="es-MX"/>
        </w:rPr>
        <w:t>% (equivalente a Q5</w:t>
      </w:r>
      <w:r w:rsidR="003D6877">
        <w:rPr>
          <w:rFonts w:ascii="Times New Roman" w:eastAsia="Times New Roman" w:hAnsi="Times New Roman" w:cs="Times New Roman"/>
          <w:sz w:val="22"/>
          <w:szCs w:val="22"/>
          <w:lang w:val="es-MX"/>
        </w:rPr>
        <w:t>82</w:t>
      </w:r>
      <w:r w:rsidR="003D6877" w:rsidRPr="003D6877">
        <w:rPr>
          <w:rFonts w:ascii="Times New Roman" w:eastAsia="Times New Roman" w:hAnsi="Times New Roman" w:cs="Times New Roman"/>
          <w:sz w:val="22"/>
          <w:szCs w:val="22"/>
          <w:lang w:val="es-MX"/>
        </w:rPr>
        <w:t>.</w:t>
      </w:r>
      <w:r w:rsidR="003D6877">
        <w:rPr>
          <w:rFonts w:ascii="Times New Roman" w:eastAsia="Times New Roman" w:hAnsi="Times New Roman" w:cs="Times New Roman"/>
          <w:sz w:val="22"/>
          <w:szCs w:val="22"/>
          <w:lang w:val="es-MX"/>
        </w:rPr>
        <w:t>2</w:t>
      </w:r>
      <w:r w:rsidR="003D6877" w:rsidRPr="003D6877">
        <w:rPr>
          <w:rFonts w:ascii="Times New Roman" w:eastAsia="Times New Roman" w:hAnsi="Times New Roman" w:cs="Times New Roman"/>
          <w:sz w:val="22"/>
          <w:szCs w:val="22"/>
          <w:lang w:val="es-MX"/>
        </w:rPr>
        <w:t xml:space="preserve"> millones), debido principalmente al alza en las tasas </w:t>
      </w:r>
      <w:r w:rsidR="00BB125C">
        <w:rPr>
          <w:rFonts w:ascii="Times New Roman" w:eastAsia="Times New Roman" w:hAnsi="Times New Roman" w:cs="Times New Roman"/>
          <w:sz w:val="22"/>
          <w:szCs w:val="22"/>
          <w:lang w:val="es-MX"/>
        </w:rPr>
        <w:t xml:space="preserve">de interés </w:t>
      </w:r>
      <w:r w:rsidR="003D6877" w:rsidRPr="003D6877">
        <w:rPr>
          <w:rFonts w:ascii="Times New Roman" w:eastAsia="Times New Roman" w:hAnsi="Times New Roman" w:cs="Times New Roman"/>
          <w:sz w:val="22"/>
          <w:szCs w:val="22"/>
          <w:lang w:val="es-MX"/>
        </w:rPr>
        <w:t>internacionales que afecta</w:t>
      </w:r>
      <w:r w:rsidR="003D6877">
        <w:rPr>
          <w:rFonts w:ascii="Times New Roman" w:eastAsia="Times New Roman" w:hAnsi="Times New Roman" w:cs="Times New Roman"/>
          <w:sz w:val="22"/>
          <w:szCs w:val="22"/>
          <w:lang w:val="es-MX"/>
        </w:rPr>
        <w:t xml:space="preserve">ron </w:t>
      </w:r>
      <w:r w:rsidR="003D6877" w:rsidRPr="003D6877">
        <w:rPr>
          <w:rFonts w:ascii="Times New Roman" w:eastAsia="Times New Roman" w:hAnsi="Times New Roman" w:cs="Times New Roman"/>
          <w:sz w:val="22"/>
          <w:szCs w:val="22"/>
          <w:lang w:val="es-MX"/>
        </w:rPr>
        <w:t>a los préstamos con</w:t>
      </w:r>
      <w:r w:rsidR="00831FCD">
        <w:rPr>
          <w:rFonts w:ascii="Times New Roman" w:eastAsia="Times New Roman" w:hAnsi="Times New Roman" w:cs="Times New Roman"/>
          <w:sz w:val="22"/>
          <w:szCs w:val="22"/>
          <w:lang w:val="es-MX"/>
        </w:rPr>
        <w:t xml:space="preserve"> organismos</w:t>
      </w:r>
      <w:r w:rsidR="003D6877" w:rsidRPr="003D6877">
        <w:rPr>
          <w:rFonts w:ascii="Times New Roman" w:eastAsia="Times New Roman" w:hAnsi="Times New Roman" w:cs="Times New Roman"/>
          <w:sz w:val="22"/>
          <w:szCs w:val="22"/>
          <w:lang w:val="es-MX"/>
        </w:rPr>
        <w:t xml:space="preserve"> multilaterales</w:t>
      </w:r>
      <w:r w:rsidR="003D6877">
        <w:rPr>
          <w:rFonts w:ascii="Times New Roman" w:eastAsia="Times New Roman" w:hAnsi="Times New Roman" w:cs="Times New Roman"/>
          <w:sz w:val="22"/>
          <w:szCs w:val="22"/>
          <w:lang w:val="es-MX"/>
        </w:rPr>
        <w:t xml:space="preserve">. Por su parte, </w:t>
      </w:r>
      <w:r w:rsidRPr="00284323">
        <w:rPr>
          <w:rFonts w:ascii="Times New Roman" w:eastAsia="Times New Roman" w:hAnsi="Times New Roman" w:cs="Times New Roman"/>
          <w:sz w:val="22"/>
          <w:szCs w:val="22"/>
          <w:lang w:val="es-MX"/>
        </w:rPr>
        <w:t>por la colocación de Eurobonos</w:t>
      </w:r>
      <w:r w:rsidR="00BB0B27">
        <w:rPr>
          <w:rFonts w:ascii="Times New Roman" w:eastAsia="Times New Roman" w:hAnsi="Times New Roman" w:cs="Times New Roman"/>
          <w:sz w:val="22"/>
          <w:szCs w:val="22"/>
          <w:lang w:val="es-MX"/>
        </w:rPr>
        <w:t xml:space="preserve"> en años anteriores se pagaron más intereses por Q331.8 millones.</w:t>
      </w:r>
    </w:p>
    <w:p w14:paraId="1F6A716C" w14:textId="716A2F55" w:rsidR="009C7B5E" w:rsidRDefault="009C7B5E" w:rsidP="0039645E">
      <w:pPr>
        <w:jc w:val="both"/>
        <w:rPr>
          <w:rFonts w:ascii="Times New Roman" w:eastAsia="Times New Roman" w:hAnsi="Times New Roman" w:cs="Times New Roman"/>
          <w:sz w:val="22"/>
          <w:szCs w:val="22"/>
          <w:lang w:val="es-MX"/>
        </w:rPr>
      </w:pPr>
    </w:p>
    <w:p w14:paraId="1AB93662" w14:textId="0DEDF421" w:rsidR="00BB0B27" w:rsidRDefault="001F2900" w:rsidP="0039645E">
      <w:pPr>
        <w:jc w:val="both"/>
        <w:rPr>
          <w:rFonts w:ascii="Times New Roman" w:eastAsia="Times New Roman" w:hAnsi="Times New Roman" w:cs="Times New Roman"/>
          <w:sz w:val="22"/>
          <w:szCs w:val="22"/>
          <w:lang w:val="es-MX"/>
        </w:rPr>
      </w:pPr>
      <w:r>
        <w:rPr>
          <w:rFonts w:ascii="Times New Roman" w:eastAsia="Times New Roman" w:hAnsi="Times New Roman" w:cs="Times New Roman"/>
          <w:sz w:val="22"/>
          <w:szCs w:val="22"/>
          <w:lang w:val="es-MX"/>
        </w:rPr>
        <w:t>Las</w:t>
      </w:r>
      <w:r w:rsidR="00BB0B27" w:rsidRPr="00BB0B27">
        <w:rPr>
          <w:rFonts w:ascii="Times New Roman" w:eastAsia="Times New Roman" w:hAnsi="Times New Roman" w:cs="Times New Roman"/>
          <w:sz w:val="22"/>
          <w:szCs w:val="22"/>
          <w:lang w:val="es-MX"/>
        </w:rPr>
        <w:t xml:space="preserve"> prestaciones a la seguridad social, que incluye el pago de pensiones y jubilaciones a los trabajadores del Estado, dan cuenta de un aumento </w:t>
      </w:r>
      <w:r w:rsidR="00BB0B27">
        <w:rPr>
          <w:rFonts w:ascii="Times New Roman" w:eastAsia="Times New Roman" w:hAnsi="Times New Roman" w:cs="Times New Roman"/>
          <w:sz w:val="22"/>
          <w:szCs w:val="22"/>
          <w:lang w:val="es-MX"/>
        </w:rPr>
        <w:t xml:space="preserve">significativo </w:t>
      </w:r>
      <w:r w:rsidR="00BB0B27" w:rsidRPr="00BB0B27">
        <w:rPr>
          <w:rFonts w:ascii="Times New Roman" w:eastAsia="Times New Roman" w:hAnsi="Times New Roman" w:cs="Times New Roman"/>
          <w:sz w:val="22"/>
          <w:szCs w:val="22"/>
          <w:lang w:val="es-MX"/>
        </w:rPr>
        <w:t>de Q</w:t>
      </w:r>
      <w:r w:rsidR="00BB0B27">
        <w:rPr>
          <w:rFonts w:ascii="Times New Roman" w:eastAsia="Times New Roman" w:hAnsi="Times New Roman" w:cs="Times New Roman"/>
          <w:sz w:val="22"/>
          <w:szCs w:val="22"/>
          <w:lang w:val="es-MX"/>
        </w:rPr>
        <w:t>1,042.1</w:t>
      </w:r>
      <w:r w:rsidR="00BB0B27" w:rsidRPr="00BB0B27">
        <w:rPr>
          <w:rFonts w:ascii="Times New Roman" w:eastAsia="Times New Roman" w:hAnsi="Times New Roman" w:cs="Times New Roman"/>
          <w:sz w:val="22"/>
          <w:szCs w:val="22"/>
          <w:lang w:val="es-MX"/>
        </w:rPr>
        <w:t xml:space="preserve"> millones</w:t>
      </w:r>
      <w:r w:rsidR="00665414">
        <w:rPr>
          <w:rFonts w:ascii="Times New Roman" w:eastAsia="Times New Roman" w:hAnsi="Times New Roman" w:cs="Times New Roman"/>
          <w:sz w:val="22"/>
          <w:szCs w:val="22"/>
          <w:lang w:val="es-MX"/>
        </w:rPr>
        <w:t xml:space="preserve"> </w:t>
      </w:r>
      <w:r w:rsidR="00BB0B27" w:rsidRPr="00BB0B27">
        <w:rPr>
          <w:rFonts w:ascii="Times New Roman" w:eastAsia="Times New Roman" w:hAnsi="Times New Roman" w:cs="Times New Roman"/>
          <w:sz w:val="22"/>
          <w:szCs w:val="22"/>
          <w:lang w:val="es-MX"/>
        </w:rPr>
        <w:t>respecto a lo observado en 202</w:t>
      </w:r>
      <w:r w:rsidR="00BB0B27">
        <w:rPr>
          <w:rFonts w:ascii="Times New Roman" w:eastAsia="Times New Roman" w:hAnsi="Times New Roman" w:cs="Times New Roman"/>
          <w:sz w:val="22"/>
          <w:szCs w:val="22"/>
          <w:lang w:val="es-MX"/>
        </w:rPr>
        <w:t>2</w:t>
      </w:r>
      <w:r w:rsidR="00665414">
        <w:rPr>
          <w:rFonts w:ascii="Times New Roman" w:eastAsia="Times New Roman" w:hAnsi="Times New Roman" w:cs="Times New Roman"/>
          <w:sz w:val="22"/>
          <w:szCs w:val="22"/>
          <w:lang w:val="es-MX"/>
        </w:rPr>
        <w:t xml:space="preserve"> (crecimiento interanual de 18.0%)</w:t>
      </w:r>
      <w:r w:rsidR="00BB0B27" w:rsidRPr="00BB0B27">
        <w:rPr>
          <w:rFonts w:ascii="Times New Roman" w:eastAsia="Times New Roman" w:hAnsi="Times New Roman" w:cs="Times New Roman"/>
          <w:sz w:val="22"/>
          <w:szCs w:val="22"/>
          <w:lang w:val="es-MX"/>
        </w:rPr>
        <w:t>. En octubre</w:t>
      </w:r>
      <w:r w:rsidR="00BB0B27">
        <w:rPr>
          <w:rFonts w:ascii="Times New Roman" w:eastAsia="Times New Roman" w:hAnsi="Times New Roman" w:cs="Times New Roman"/>
          <w:sz w:val="22"/>
          <w:szCs w:val="22"/>
          <w:lang w:val="es-MX"/>
        </w:rPr>
        <w:t xml:space="preserve"> de 2022</w:t>
      </w:r>
      <w:r w:rsidR="00BB0B27" w:rsidRPr="00BB0B27">
        <w:rPr>
          <w:rFonts w:ascii="Times New Roman" w:eastAsia="Times New Roman" w:hAnsi="Times New Roman" w:cs="Times New Roman"/>
          <w:sz w:val="22"/>
          <w:szCs w:val="22"/>
          <w:lang w:val="es-MX"/>
        </w:rPr>
        <w:t xml:space="preserve"> se firmó y aprobó en Consejo de </w:t>
      </w:r>
      <w:proofErr w:type="gramStart"/>
      <w:r w:rsidR="00BB0B27" w:rsidRPr="00BB0B27">
        <w:rPr>
          <w:rFonts w:ascii="Times New Roman" w:eastAsia="Times New Roman" w:hAnsi="Times New Roman" w:cs="Times New Roman"/>
          <w:sz w:val="22"/>
          <w:szCs w:val="22"/>
          <w:lang w:val="es-MX"/>
        </w:rPr>
        <w:t>Ministros</w:t>
      </w:r>
      <w:proofErr w:type="gramEnd"/>
      <w:r w:rsidR="00BB0B27" w:rsidRPr="00BB0B27">
        <w:rPr>
          <w:rFonts w:ascii="Times New Roman" w:eastAsia="Times New Roman" w:hAnsi="Times New Roman" w:cs="Times New Roman"/>
          <w:sz w:val="22"/>
          <w:szCs w:val="22"/>
          <w:lang w:val="es-MX"/>
        </w:rPr>
        <w:t xml:space="preserve"> </w:t>
      </w:r>
      <w:r w:rsidR="006F0860">
        <w:rPr>
          <w:rFonts w:ascii="Times New Roman" w:eastAsia="Times New Roman" w:hAnsi="Times New Roman" w:cs="Times New Roman"/>
          <w:sz w:val="22"/>
          <w:szCs w:val="22"/>
          <w:lang w:val="es-MX"/>
        </w:rPr>
        <w:t>el</w:t>
      </w:r>
      <w:r w:rsidR="00BB0B27" w:rsidRPr="00BB0B27">
        <w:rPr>
          <w:rFonts w:ascii="Times New Roman" w:eastAsia="Times New Roman" w:hAnsi="Times New Roman" w:cs="Times New Roman"/>
          <w:sz w:val="22"/>
          <w:szCs w:val="22"/>
          <w:lang w:val="es-MX"/>
        </w:rPr>
        <w:t xml:space="preserve"> aumento del 10%, para los beneficiarios del régimen de clases pasivas y civiles del Estado,</w:t>
      </w:r>
      <w:r w:rsidR="00665414" w:rsidRPr="00665414">
        <w:t xml:space="preserve"> </w:t>
      </w:r>
      <w:r w:rsidR="00665414" w:rsidRPr="00665414">
        <w:rPr>
          <w:rFonts w:ascii="Times New Roman" w:eastAsia="Times New Roman" w:hAnsi="Times New Roman" w:cs="Times New Roman"/>
          <w:sz w:val="22"/>
          <w:szCs w:val="22"/>
          <w:lang w:val="es-MX"/>
        </w:rPr>
        <w:t xml:space="preserve">dicho aumento en ningún caso </w:t>
      </w:r>
      <w:r w:rsidR="00831FCD">
        <w:rPr>
          <w:rFonts w:ascii="Times New Roman" w:eastAsia="Times New Roman" w:hAnsi="Times New Roman" w:cs="Times New Roman"/>
          <w:sz w:val="22"/>
          <w:szCs w:val="22"/>
          <w:lang w:val="es-MX"/>
        </w:rPr>
        <w:t xml:space="preserve">podía </w:t>
      </w:r>
      <w:r w:rsidR="00665414" w:rsidRPr="00665414">
        <w:rPr>
          <w:rFonts w:ascii="Times New Roman" w:eastAsia="Times New Roman" w:hAnsi="Times New Roman" w:cs="Times New Roman"/>
          <w:sz w:val="22"/>
          <w:szCs w:val="22"/>
          <w:lang w:val="es-MX"/>
        </w:rPr>
        <w:t>ser menor a Q300.0, esto con el propósito de dignificar a los servidores públicos</w:t>
      </w:r>
      <w:r w:rsidR="00665414">
        <w:rPr>
          <w:rFonts w:ascii="Times New Roman" w:eastAsia="Times New Roman" w:hAnsi="Times New Roman" w:cs="Times New Roman"/>
          <w:sz w:val="22"/>
          <w:szCs w:val="22"/>
          <w:lang w:val="es-MX"/>
        </w:rPr>
        <w:t xml:space="preserve">, </w:t>
      </w:r>
      <w:r w:rsidR="00831FCD">
        <w:rPr>
          <w:rFonts w:ascii="Times New Roman" w:eastAsia="Times New Roman" w:hAnsi="Times New Roman" w:cs="Times New Roman"/>
          <w:sz w:val="22"/>
          <w:szCs w:val="22"/>
          <w:lang w:val="es-MX"/>
        </w:rPr>
        <w:t xml:space="preserve">dándose </w:t>
      </w:r>
      <w:r w:rsidR="00BB0B27" w:rsidRPr="00BB0B27">
        <w:rPr>
          <w:rFonts w:ascii="Times New Roman" w:eastAsia="Times New Roman" w:hAnsi="Times New Roman" w:cs="Times New Roman"/>
          <w:sz w:val="22"/>
          <w:szCs w:val="22"/>
          <w:lang w:val="es-MX"/>
        </w:rPr>
        <w:t xml:space="preserve">por medio del Acuerdo Gubernativo Número 267-2022, </w:t>
      </w:r>
      <w:r w:rsidR="006F0860">
        <w:rPr>
          <w:rFonts w:ascii="Times New Roman" w:eastAsia="Times New Roman" w:hAnsi="Times New Roman" w:cs="Times New Roman"/>
          <w:sz w:val="22"/>
          <w:szCs w:val="22"/>
          <w:lang w:val="es-MX"/>
        </w:rPr>
        <w:t xml:space="preserve">que </w:t>
      </w:r>
      <w:r w:rsidR="00BB0B27">
        <w:rPr>
          <w:rFonts w:ascii="Times New Roman" w:eastAsia="Times New Roman" w:hAnsi="Times New Roman" w:cs="Times New Roman"/>
          <w:sz w:val="22"/>
          <w:szCs w:val="22"/>
          <w:lang w:val="es-MX"/>
        </w:rPr>
        <w:t>se empezó a otorgar desde noviembre del 2022,</w:t>
      </w:r>
      <w:r w:rsidR="006F0860">
        <w:rPr>
          <w:rFonts w:ascii="Times New Roman" w:eastAsia="Times New Roman" w:hAnsi="Times New Roman" w:cs="Times New Roman"/>
          <w:sz w:val="22"/>
          <w:szCs w:val="22"/>
          <w:lang w:val="es-MX"/>
        </w:rPr>
        <w:t xml:space="preserve"> aunque</w:t>
      </w:r>
      <w:r w:rsidR="00BB0B27">
        <w:rPr>
          <w:rFonts w:ascii="Times New Roman" w:eastAsia="Times New Roman" w:hAnsi="Times New Roman" w:cs="Times New Roman"/>
          <w:sz w:val="22"/>
          <w:szCs w:val="22"/>
          <w:lang w:val="es-MX"/>
        </w:rPr>
        <w:t xml:space="preserve"> </w:t>
      </w:r>
      <w:r w:rsidR="00665414">
        <w:rPr>
          <w:rFonts w:ascii="Times New Roman" w:eastAsia="Times New Roman" w:hAnsi="Times New Roman" w:cs="Times New Roman"/>
          <w:sz w:val="22"/>
          <w:szCs w:val="22"/>
          <w:lang w:val="es-MX"/>
        </w:rPr>
        <w:t xml:space="preserve">el </w:t>
      </w:r>
      <w:r w:rsidR="00831FCD">
        <w:rPr>
          <w:rFonts w:ascii="Times New Roman" w:eastAsia="Times New Roman" w:hAnsi="Times New Roman" w:cs="Times New Roman"/>
          <w:sz w:val="22"/>
          <w:szCs w:val="22"/>
          <w:lang w:val="es-MX"/>
        </w:rPr>
        <w:t xml:space="preserve">mayor </w:t>
      </w:r>
      <w:r w:rsidR="00665414">
        <w:rPr>
          <w:rFonts w:ascii="Times New Roman" w:eastAsia="Times New Roman" w:hAnsi="Times New Roman" w:cs="Times New Roman"/>
          <w:sz w:val="22"/>
          <w:szCs w:val="22"/>
          <w:lang w:val="es-MX"/>
        </w:rPr>
        <w:t xml:space="preserve">efecto del incremento fue durante 2023. </w:t>
      </w:r>
    </w:p>
    <w:p w14:paraId="0CFFFA6E" w14:textId="53370EA0" w:rsidR="00665414" w:rsidRDefault="00665414" w:rsidP="0039645E">
      <w:pPr>
        <w:jc w:val="both"/>
        <w:rPr>
          <w:rFonts w:ascii="Times New Roman" w:eastAsia="Times New Roman" w:hAnsi="Times New Roman" w:cs="Times New Roman"/>
          <w:sz w:val="22"/>
          <w:szCs w:val="22"/>
          <w:lang w:val="es-MX"/>
        </w:rPr>
      </w:pPr>
    </w:p>
    <w:p w14:paraId="5109DC6D" w14:textId="7FD10B4F" w:rsidR="005C4F5F" w:rsidRDefault="00665414" w:rsidP="0039645E">
      <w:pPr>
        <w:jc w:val="both"/>
        <w:rPr>
          <w:rFonts w:ascii="Times New Roman" w:eastAsia="Times New Roman" w:hAnsi="Times New Roman" w:cs="Times New Roman"/>
          <w:sz w:val="22"/>
          <w:szCs w:val="22"/>
          <w:lang w:val="es-MX"/>
        </w:rPr>
      </w:pPr>
      <w:r>
        <w:rPr>
          <w:rFonts w:ascii="Times New Roman" w:eastAsia="Times New Roman" w:hAnsi="Times New Roman" w:cs="Times New Roman"/>
          <w:sz w:val="22"/>
          <w:szCs w:val="22"/>
          <w:lang w:val="es-MX"/>
        </w:rPr>
        <w:t>Seguidamente se encuentran las transferencias corrientes, las cuales reportan un aumento interanual de Q524.8 millones,</w:t>
      </w:r>
      <w:r w:rsidR="005C4F5F" w:rsidRPr="005C4F5F">
        <w:t xml:space="preserve"> </w:t>
      </w:r>
      <w:r w:rsidR="005C4F5F">
        <w:rPr>
          <w:rFonts w:ascii="Times New Roman" w:eastAsia="Times New Roman" w:hAnsi="Times New Roman" w:cs="Times New Roman"/>
          <w:sz w:val="22"/>
          <w:szCs w:val="22"/>
          <w:lang w:val="es-MX"/>
        </w:rPr>
        <w:t>e</w:t>
      </w:r>
      <w:r w:rsidR="005C4F5F" w:rsidRPr="005C4F5F">
        <w:rPr>
          <w:rFonts w:ascii="Times New Roman" w:eastAsia="Times New Roman" w:hAnsi="Times New Roman" w:cs="Times New Roman"/>
          <w:sz w:val="22"/>
          <w:szCs w:val="22"/>
          <w:lang w:val="es-MX"/>
        </w:rPr>
        <w:t>n este apartado es importante separar las transferencias al sector privado y público, derivado que, en el caso del primero, las transferencias se contraen</w:t>
      </w:r>
      <w:r w:rsidR="005C4F5F">
        <w:rPr>
          <w:rFonts w:ascii="Times New Roman" w:eastAsia="Times New Roman" w:hAnsi="Times New Roman" w:cs="Times New Roman"/>
          <w:sz w:val="22"/>
          <w:szCs w:val="22"/>
          <w:lang w:val="es-MX"/>
        </w:rPr>
        <w:t xml:space="preserve"> </w:t>
      </w:r>
      <w:r w:rsidR="005C4F5F" w:rsidRPr="005C4F5F">
        <w:rPr>
          <w:rFonts w:ascii="Times New Roman" w:eastAsia="Times New Roman" w:hAnsi="Times New Roman" w:cs="Times New Roman"/>
          <w:sz w:val="22"/>
          <w:szCs w:val="22"/>
          <w:lang w:val="es-MX"/>
        </w:rPr>
        <w:t xml:space="preserve">de 20.8% (equivalente a Q1,762.5 millones), </w:t>
      </w:r>
      <w:r w:rsidR="005C4F5F">
        <w:rPr>
          <w:rFonts w:ascii="Times New Roman" w:eastAsia="Times New Roman" w:hAnsi="Times New Roman" w:cs="Times New Roman"/>
          <w:sz w:val="22"/>
          <w:szCs w:val="22"/>
          <w:lang w:val="es-MX"/>
        </w:rPr>
        <w:t>es importante recordar que en 2022 se mantuvieron apoyos temporales en gasolinas</w:t>
      </w:r>
      <w:r w:rsidR="00D1356D">
        <w:rPr>
          <w:rFonts w:ascii="Times New Roman" w:eastAsia="Times New Roman" w:hAnsi="Times New Roman" w:cs="Times New Roman"/>
          <w:sz w:val="22"/>
          <w:szCs w:val="22"/>
          <w:lang w:val="es-MX"/>
        </w:rPr>
        <w:t xml:space="preserve"> y</w:t>
      </w:r>
      <w:r w:rsidR="005C4F5F">
        <w:rPr>
          <w:rFonts w:ascii="Times New Roman" w:eastAsia="Times New Roman" w:hAnsi="Times New Roman" w:cs="Times New Roman"/>
          <w:sz w:val="22"/>
          <w:szCs w:val="22"/>
          <w:lang w:val="es-MX"/>
        </w:rPr>
        <w:t xml:space="preserve"> gas propano</w:t>
      </w:r>
      <w:r w:rsidR="00D1356D">
        <w:rPr>
          <w:rFonts w:ascii="Times New Roman" w:eastAsia="Times New Roman" w:hAnsi="Times New Roman" w:cs="Times New Roman"/>
          <w:sz w:val="22"/>
          <w:szCs w:val="22"/>
          <w:lang w:val="es-MX"/>
        </w:rPr>
        <w:t>, los cuales</w:t>
      </w:r>
      <w:r w:rsidR="00D1356D" w:rsidRPr="00D1356D">
        <w:t xml:space="preserve"> </w:t>
      </w:r>
      <w:r w:rsidR="00D1356D" w:rsidRPr="00D1356D">
        <w:rPr>
          <w:rFonts w:ascii="Times New Roman" w:eastAsia="Times New Roman" w:hAnsi="Times New Roman" w:cs="Times New Roman"/>
          <w:sz w:val="22"/>
          <w:szCs w:val="22"/>
          <w:lang w:val="es-MX"/>
        </w:rPr>
        <w:t>sufrieron diferentes pr</w:t>
      </w:r>
      <w:r w:rsidR="001E17B9">
        <w:rPr>
          <w:rFonts w:ascii="Times New Roman" w:eastAsia="Times New Roman" w:hAnsi="Times New Roman" w:cs="Times New Roman"/>
          <w:sz w:val="22"/>
          <w:szCs w:val="22"/>
          <w:lang w:val="es-MX"/>
        </w:rPr>
        <w:t>ó</w:t>
      </w:r>
      <w:r w:rsidR="00D1356D" w:rsidRPr="00D1356D">
        <w:rPr>
          <w:rFonts w:ascii="Times New Roman" w:eastAsia="Times New Roman" w:hAnsi="Times New Roman" w:cs="Times New Roman"/>
          <w:sz w:val="22"/>
          <w:szCs w:val="22"/>
          <w:lang w:val="es-MX"/>
        </w:rPr>
        <w:t>rrogas derivado del incremento de los precios internacionales con repercusiones en la economía nacional, por ello las transferencias corrientes al sector privado fue el rubro del gasto que tuvo el mayor dinamismo durante 2022</w:t>
      </w:r>
      <w:r w:rsidR="00D1356D">
        <w:rPr>
          <w:rFonts w:ascii="Times New Roman" w:eastAsia="Times New Roman" w:hAnsi="Times New Roman" w:cs="Times New Roman"/>
          <w:sz w:val="22"/>
          <w:szCs w:val="22"/>
          <w:lang w:val="es-MX"/>
        </w:rPr>
        <w:t xml:space="preserve">. </w:t>
      </w:r>
      <w:r w:rsidR="005C4F5F" w:rsidRPr="005C4F5F">
        <w:rPr>
          <w:rFonts w:ascii="Times New Roman" w:eastAsia="Times New Roman" w:hAnsi="Times New Roman" w:cs="Times New Roman"/>
          <w:sz w:val="22"/>
          <w:szCs w:val="22"/>
          <w:lang w:val="es-MX"/>
        </w:rPr>
        <w:t>Mientras que en 2023 el subsidio al gas propano</w:t>
      </w:r>
      <w:r w:rsidR="001E17B9">
        <w:rPr>
          <w:rFonts w:ascii="Times New Roman" w:eastAsia="Times New Roman" w:hAnsi="Times New Roman" w:cs="Times New Roman"/>
          <w:sz w:val="22"/>
          <w:szCs w:val="22"/>
          <w:lang w:val="es-MX"/>
        </w:rPr>
        <w:t xml:space="preserve"> </w:t>
      </w:r>
      <w:r w:rsidR="001E17B9" w:rsidRPr="005C4F5F">
        <w:rPr>
          <w:rFonts w:ascii="Times New Roman" w:eastAsia="Times New Roman" w:hAnsi="Times New Roman" w:cs="Times New Roman"/>
          <w:sz w:val="22"/>
          <w:szCs w:val="22"/>
          <w:lang w:val="es-MX"/>
        </w:rPr>
        <w:t>únicamente estuvo vigente</w:t>
      </w:r>
      <w:r w:rsidR="001E17B9">
        <w:rPr>
          <w:rFonts w:ascii="Times New Roman" w:eastAsia="Times New Roman" w:hAnsi="Times New Roman" w:cs="Times New Roman"/>
          <w:sz w:val="22"/>
          <w:szCs w:val="22"/>
          <w:lang w:val="es-MX"/>
        </w:rPr>
        <w:t xml:space="preserve"> en los primeros meses,</w:t>
      </w:r>
      <w:r w:rsidR="00D1356D">
        <w:rPr>
          <w:rFonts w:ascii="Times New Roman" w:eastAsia="Times New Roman" w:hAnsi="Times New Roman" w:cs="Times New Roman"/>
          <w:sz w:val="22"/>
          <w:szCs w:val="22"/>
          <w:lang w:val="es-MX"/>
        </w:rPr>
        <w:t xml:space="preserve"> por ello se contraen las transferencias al sector privado. </w:t>
      </w:r>
    </w:p>
    <w:p w14:paraId="4D53C5E7" w14:textId="21DBFECB" w:rsidR="0026716F" w:rsidRDefault="0026716F" w:rsidP="0039645E">
      <w:pPr>
        <w:jc w:val="both"/>
        <w:rPr>
          <w:rFonts w:ascii="Times New Roman" w:eastAsia="Times New Roman" w:hAnsi="Times New Roman" w:cs="Times New Roman"/>
          <w:sz w:val="22"/>
          <w:szCs w:val="22"/>
          <w:lang w:val="es-MX"/>
        </w:rPr>
      </w:pPr>
    </w:p>
    <w:p w14:paraId="0FCA7D5A" w14:textId="11ABCD96" w:rsidR="0026716F" w:rsidRDefault="0026716F" w:rsidP="0039645E">
      <w:pPr>
        <w:jc w:val="both"/>
        <w:rPr>
          <w:rFonts w:ascii="Times New Roman" w:eastAsia="Times New Roman" w:hAnsi="Times New Roman" w:cs="Times New Roman"/>
          <w:sz w:val="22"/>
          <w:szCs w:val="22"/>
          <w:lang w:val="es-MX"/>
        </w:rPr>
      </w:pPr>
      <w:r>
        <w:rPr>
          <w:rFonts w:ascii="Times New Roman" w:eastAsia="Times New Roman" w:hAnsi="Times New Roman" w:cs="Times New Roman"/>
          <w:sz w:val="22"/>
          <w:szCs w:val="22"/>
          <w:lang w:val="es-MX"/>
        </w:rPr>
        <w:t>Por su parte, el Ministerio de Educación y el Ministerio de Desarrollo Social aumentaron las transferencias al sector privado en Q568.9 millones y Q348.9 millones</w:t>
      </w:r>
      <w:r w:rsidR="001E17B9">
        <w:rPr>
          <w:rFonts w:ascii="Times New Roman" w:eastAsia="Times New Roman" w:hAnsi="Times New Roman" w:cs="Times New Roman"/>
          <w:sz w:val="22"/>
          <w:szCs w:val="22"/>
          <w:lang w:val="es-MX"/>
        </w:rPr>
        <w:t>,</w:t>
      </w:r>
      <w:r>
        <w:rPr>
          <w:rFonts w:ascii="Times New Roman" w:eastAsia="Times New Roman" w:hAnsi="Times New Roman" w:cs="Times New Roman"/>
          <w:sz w:val="22"/>
          <w:szCs w:val="22"/>
          <w:lang w:val="es-MX"/>
        </w:rPr>
        <w:t xml:space="preserve"> respectivamente. En el caso del Ministerio de Desarrollo Social se explica por la Ley Temporal de Desarrollo Integral, Decreto 51-2022.</w:t>
      </w:r>
    </w:p>
    <w:p w14:paraId="6DB4B8BE" w14:textId="2B749FD2" w:rsidR="0026716F" w:rsidRDefault="0026716F" w:rsidP="0039645E">
      <w:pPr>
        <w:jc w:val="both"/>
        <w:rPr>
          <w:rFonts w:ascii="Times New Roman" w:eastAsia="Times New Roman" w:hAnsi="Times New Roman" w:cs="Times New Roman"/>
          <w:sz w:val="22"/>
          <w:szCs w:val="22"/>
          <w:lang w:val="es-MX"/>
        </w:rPr>
      </w:pPr>
    </w:p>
    <w:p w14:paraId="3423F536" w14:textId="17DE0C57" w:rsidR="00B842A5" w:rsidRDefault="00B842A5" w:rsidP="0039645E">
      <w:pPr>
        <w:jc w:val="both"/>
        <w:rPr>
          <w:rFonts w:ascii="Times New Roman" w:eastAsia="Times New Roman" w:hAnsi="Times New Roman" w:cs="Times New Roman"/>
          <w:sz w:val="22"/>
          <w:szCs w:val="22"/>
          <w:lang w:val="es-MX"/>
        </w:rPr>
      </w:pPr>
      <w:r w:rsidRPr="00885B1F">
        <w:rPr>
          <w:rFonts w:ascii="Calibri" w:eastAsia="Times New Roman" w:hAnsi="Calibri" w:cs="Calibri"/>
          <w:noProof/>
          <w:color w:val="FF0000"/>
          <w:sz w:val="22"/>
          <w:szCs w:val="22"/>
        </w:rPr>
        <w:lastRenderedPageBreak/>
        <mc:AlternateContent>
          <mc:Choice Requires="wps">
            <w:drawing>
              <wp:inline distT="0" distB="0" distL="0" distR="0" wp14:anchorId="3C8C2153" wp14:editId="20AB4401">
                <wp:extent cx="5532617" cy="3633746"/>
                <wp:effectExtent l="0" t="0" r="11430" b="24130"/>
                <wp:docPr id="972" name="Rectángulo 9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2617" cy="3633746"/>
                        </a:xfrm>
                        <a:prstGeom prst="rect">
                          <a:avLst/>
                        </a:prstGeom>
                        <a:solidFill>
                          <a:srgbClr val="4472C4">
                            <a:lumMod val="20000"/>
                            <a:lumOff val="80000"/>
                          </a:srgbClr>
                        </a:solidFill>
                        <a:ln w="6350" cap="flat" cmpd="sng" algn="ctr">
                          <a:solidFill>
                            <a:sysClr val="windowText" lastClr="000000"/>
                          </a:solidFill>
                          <a:prstDash val="solid"/>
                          <a:miter lim="800000"/>
                        </a:ln>
                        <a:effectLst/>
                      </wps:spPr>
                      <wps:txbx>
                        <w:txbxContent>
                          <w:p w14:paraId="4DCDA329" w14:textId="77777777" w:rsidR="00B842A5" w:rsidRPr="00B842A5" w:rsidRDefault="00B842A5" w:rsidP="00B842A5">
                            <w:pPr>
                              <w:pStyle w:val="Prrafodelista"/>
                              <w:jc w:val="center"/>
                              <w:rPr>
                                <w:rFonts w:ascii="Times New Roman" w:eastAsia="Times New Roman" w:hAnsi="Times New Roman" w:cs="Times New Roman"/>
                                <w:b/>
                                <w:sz w:val="19"/>
                                <w:szCs w:val="19"/>
                                <w:lang w:val="es-MX"/>
                              </w:rPr>
                            </w:pPr>
                            <w:r w:rsidRPr="00B842A5">
                              <w:rPr>
                                <w:rFonts w:ascii="Times New Roman" w:eastAsia="Times New Roman" w:hAnsi="Times New Roman" w:cs="Times New Roman"/>
                                <w:b/>
                                <w:sz w:val="19"/>
                                <w:szCs w:val="19"/>
                                <w:lang w:val="es-MX"/>
                              </w:rPr>
                              <w:t>Pago a favor de la tropa que prestó servicio militar</w:t>
                            </w:r>
                          </w:p>
                          <w:p w14:paraId="64F93F66" w14:textId="77777777" w:rsidR="00B842A5" w:rsidRPr="00B842A5" w:rsidRDefault="00B842A5" w:rsidP="00B842A5">
                            <w:pPr>
                              <w:pStyle w:val="Prrafodelista"/>
                              <w:jc w:val="both"/>
                              <w:rPr>
                                <w:rFonts w:ascii="Times New Roman" w:eastAsia="Times New Roman" w:hAnsi="Times New Roman" w:cs="Times New Roman"/>
                                <w:b/>
                                <w:sz w:val="19"/>
                                <w:szCs w:val="19"/>
                                <w:lang w:val="es-MX"/>
                              </w:rPr>
                            </w:pPr>
                          </w:p>
                          <w:p w14:paraId="49020E49" w14:textId="77777777" w:rsidR="00B842A5" w:rsidRPr="00B842A5" w:rsidRDefault="00B842A5" w:rsidP="00B842A5">
                            <w:pPr>
                              <w:pStyle w:val="Prrafodelista"/>
                              <w:ind w:left="142" w:firstLine="11"/>
                              <w:jc w:val="both"/>
                              <w:rPr>
                                <w:rFonts w:ascii="Times New Roman" w:eastAsia="Times New Roman" w:hAnsi="Times New Roman" w:cs="Times New Roman"/>
                                <w:bCs/>
                                <w:sz w:val="19"/>
                                <w:szCs w:val="19"/>
                                <w:lang w:val="es-MX"/>
                              </w:rPr>
                            </w:pPr>
                            <w:r w:rsidRPr="00B842A5">
                              <w:rPr>
                                <w:rFonts w:ascii="Times New Roman" w:eastAsia="Times New Roman" w:hAnsi="Times New Roman" w:cs="Times New Roman"/>
                                <w:bCs/>
                                <w:sz w:val="19"/>
                                <w:szCs w:val="19"/>
                                <w:lang w:val="es-MX"/>
                              </w:rPr>
                              <w:t>En 2022 se aprobó la “Ley Temporal de Desarrollo Integral” por medio del Decreto 51-2022, la cual tiene como objeto la creación, implementación y ejecución de proyectos ambientales y de desarrollo integral en beneficio del Estado de Guatemala, con la participación de personal de tropa que prestó servicio militar durante el conflicto armado interno.</w:t>
                            </w:r>
                          </w:p>
                          <w:p w14:paraId="6EEAE560" w14:textId="77777777" w:rsidR="00B842A5" w:rsidRPr="00B842A5" w:rsidRDefault="00B842A5" w:rsidP="00B842A5">
                            <w:pPr>
                              <w:pStyle w:val="Prrafodelista"/>
                              <w:ind w:left="142"/>
                              <w:jc w:val="both"/>
                              <w:rPr>
                                <w:rFonts w:ascii="Times New Roman" w:eastAsia="Times New Roman" w:hAnsi="Times New Roman" w:cs="Times New Roman"/>
                                <w:bCs/>
                                <w:sz w:val="19"/>
                                <w:szCs w:val="19"/>
                                <w:lang w:val="es-MX"/>
                              </w:rPr>
                            </w:pPr>
                          </w:p>
                          <w:p w14:paraId="446E926E" w14:textId="77777777" w:rsidR="00B842A5" w:rsidRPr="00B842A5" w:rsidRDefault="00B842A5" w:rsidP="00B842A5">
                            <w:pPr>
                              <w:pStyle w:val="Prrafodelista"/>
                              <w:ind w:left="142"/>
                              <w:jc w:val="both"/>
                              <w:rPr>
                                <w:rFonts w:ascii="Times New Roman" w:eastAsia="Times New Roman" w:hAnsi="Times New Roman" w:cs="Times New Roman"/>
                                <w:bCs/>
                                <w:sz w:val="19"/>
                                <w:szCs w:val="19"/>
                                <w:lang w:val="es-MX"/>
                              </w:rPr>
                            </w:pPr>
                            <w:r w:rsidRPr="00B842A5">
                              <w:rPr>
                                <w:rFonts w:ascii="Times New Roman" w:eastAsia="Times New Roman" w:hAnsi="Times New Roman" w:cs="Times New Roman"/>
                                <w:bCs/>
                                <w:sz w:val="19"/>
                                <w:szCs w:val="19"/>
                                <w:lang w:val="es-MX"/>
                              </w:rPr>
                              <w:t xml:space="preserve">Los proyectos que debe incluir el programa están enfocados en la reforestación, protección y/o conservación del bosque para proteger fuentes de agua y zonas de recarga hídrica en tierras estatales, material educativo y ambiental para fomentar la protección del medio ambiente, cualquier proyecto de conservación, protección y mejoramiento del medio ambiente, entre otros. </w:t>
                            </w:r>
                          </w:p>
                          <w:p w14:paraId="60F457DB" w14:textId="77777777" w:rsidR="00B842A5" w:rsidRPr="00B842A5" w:rsidRDefault="00B842A5" w:rsidP="00B842A5">
                            <w:pPr>
                              <w:pStyle w:val="Prrafodelista"/>
                              <w:ind w:left="142"/>
                              <w:jc w:val="both"/>
                              <w:rPr>
                                <w:rFonts w:ascii="Times New Roman" w:eastAsia="Times New Roman" w:hAnsi="Times New Roman" w:cs="Times New Roman"/>
                                <w:bCs/>
                                <w:sz w:val="19"/>
                                <w:szCs w:val="19"/>
                                <w:lang w:val="es-MX"/>
                              </w:rPr>
                            </w:pPr>
                          </w:p>
                          <w:p w14:paraId="18DB5ADB" w14:textId="77777777" w:rsidR="00B842A5" w:rsidRPr="00B842A5" w:rsidRDefault="00B842A5" w:rsidP="00B842A5">
                            <w:pPr>
                              <w:pStyle w:val="Prrafodelista"/>
                              <w:ind w:left="142"/>
                              <w:jc w:val="both"/>
                              <w:rPr>
                                <w:rFonts w:ascii="Times New Roman" w:eastAsia="Times New Roman" w:hAnsi="Times New Roman" w:cs="Times New Roman"/>
                                <w:bCs/>
                                <w:sz w:val="19"/>
                                <w:szCs w:val="19"/>
                                <w:lang w:val="es-MX"/>
                              </w:rPr>
                            </w:pPr>
                            <w:r w:rsidRPr="00B842A5">
                              <w:rPr>
                                <w:rFonts w:ascii="Times New Roman" w:eastAsia="Times New Roman" w:hAnsi="Times New Roman" w:cs="Times New Roman"/>
                                <w:bCs/>
                                <w:sz w:val="19"/>
                                <w:szCs w:val="19"/>
                                <w:lang w:val="es-MX"/>
                              </w:rPr>
                              <w:t>Para el cumplimiento del programa participan:</w:t>
                            </w:r>
                          </w:p>
                          <w:p w14:paraId="3239456C" w14:textId="77777777" w:rsidR="00B842A5" w:rsidRPr="00B842A5" w:rsidRDefault="00B842A5" w:rsidP="00B842A5">
                            <w:pPr>
                              <w:pStyle w:val="Prrafodelista"/>
                              <w:ind w:left="142"/>
                              <w:jc w:val="both"/>
                              <w:rPr>
                                <w:rFonts w:ascii="Times New Roman" w:eastAsia="Times New Roman" w:hAnsi="Times New Roman" w:cs="Times New Roman"/>
                                <w:bCs/>
                                <w:sz w:val="19"/>
                                <w:szCs w:val="19"/>
                                <w:lang w:val="es-MX"/>
                              </w:rPr>
                            </w:pPr>
                            <w:r w:rsidRPr="00B842A5">
                              <w:rPr>
                                <w:rFonts w:ascii="Times New Roman" w:eastAsia="Times New Roman" w:hAnsi="Times New Roman" w:cs="Times New Roman"/>
                                <w:bCs/>
                                <w:sz w:val="19"/>
                                <w:szCs w:val="19"/>
                                <w:lang w:val="es-MX"/>
                              </w:rPr>
                              <w:t>-El Ministerio de la Defensa Nacional, el cual elabora los listados de los beneficiarios del programa</w:t>
                            </w:r>
                          </w:p>
                          <w:p w14:paraId="5A290D1C" w14:textId="77777777" w:rsidR="00B842A5" w:rsidRPr="00B842A5" w:rsidRDefault="00B842A5" w:rsidP="00B842A5">
                            <w:pPr>
                              <w:pStyle w:val="Prrafodelista"/>
                              <w:ind w:left="142"/>
                              <w:jc w:val="both"/>
                              <w:rPr>
                                <w:rFonts w:ascii="Times New Roman" w:eastAsia="Times New Roman" w:hAnsi="Times New Roman" w:cs="Times New Roman"/>
                                <w:bCs/>
                                <w:sz w:val="19"/>
                                <w:szCs w:val="19"/>
                                <w:lang w:val="es-MX"/>
                              </w:rPr>
                            </w:pPr>
                            <w:r w:rsidRPr="00B842A5">
                              <w:rPr>
                                <w:rFonts w:ascii="Times New Roman" w:eastAsia="Times New Roman" w:hAnsi="Times New Roman" w:cs="Times New Roman"/>
                                <w:bCs/>
                                <w:sz w:val="19"/>
                                <w:szCs w:val="19"/>
                                <w:lang w:val="es-MX"/>
                              </w:rPr>
                              <w:t>-El Ministerio de Ambiente y Recursos Naturales, el cual crea e implementa los programas ambientales, además de verificar el cumplimiento del servicio por parte de los beneficiarios</w:t>
                            </w:r>
                          </w:p>
                          <w:p w14:paraId="73E8D2F2" w14:textId="77777777" w:rsidR="00B842A5" w:rsidRPr="00B842A5" w:rsidRDefault="00B842A5" w:rsidP="00B842A5">
                            <w:pPr>
                              <w:pStyle w:val="Prrafodelista"/>
                              <w:ind w:left="142"/>
                              <w:jc w:val="both"/>
                              <w:rPr>
                                <w:rFonts w:ascii="Times New Roman" w:eastAsia="Times New Roman" w:hAnsi="Times New Roman" w:cs="Times New Roman"/>
                                <w:bCs/>
                                <w:sz w:val="19"/>
                                <w:szCs w:val="19"/>
                                <w:lang w:val="es-MX"/>
                              </w:rPr>
                            </w:pPr>
                            <w:r w:rsidRPr="00B842A5">
                              <w:rPr>
                                <w:rFonts w:ascii="Times New Roman" w:eastAsia="Times New Roman" w:hAnsi="Times New Roman" w:cs="Times New Roman"/>
                                <w:bCs/>
                                <w:sz w:val="19"/>
                                <w:szCs w:val="19"/>
                                <w:lang w:val="es-MX"/>
                              </w:rPr>
                              <w:t xml:space="preserve">-El Ministerio de Desarrollo Social, siendo el responsable de efectuar los pagos </w:t>
                            </w:r>
                          </w:p>
                          <w:p w14:paraId="45F17DB5" w14:textId="77777777" w:rsidR="00B842A5" w:rsidRPr="00B842A5" w:rsidRDefault="00B842A5" w:rsidP="00B842A5">
                            <w:pPr>
                              <w:pStyle w:val="Prrafodelista"/>
                              <w:ind w:left="142"/>
                              <w:jc w:val="both"/>
                              <w:rPr>
                                <w:rFonts w:ascii="Times New Roman" w:eastAsia="Times New Roman" w:hAnsi="Times New Roman" w:cs="Times New Roman"/>
                                <w:bCs/>
                                <w:sz w:val="19"/>
                                <w:szCs w:val="19"/>
                                <w:lang w:val="es-MX"/>
                              </w:rPr>
                            </w:pPr>
                          </w:p>
                          <w:p w14:paraId="5C7062E4" w14:textId="77777777" w:rsidR="00B842A5" w:rsidRPr="00B842A5" w:rsidRDefault="00B842A5" w:rsidP="00B842A5">
                            <w:pPr>
                              <w:pStyle w:val="Prrafodelista"/>
                              <w:ind w:left="142"/>
                              <w:jc w:val="both"/>
                              <w:rPr>
                                <w:rFonts w:ascii="Times New Roman" w:eastAsia="Times New Roman" w:hAnsi="Times New Roman" w:cs="Times New Roman"/>
                                <w:bCs/>
                                <w:sz w:val="19"/>
                                <w:szCs w:val="19"/>
                                <w:lang w:val="es-MX"/>
                              </w:rPr>
                            </w:pPr>
                            <w:r w:rsidRPr="00B842A5">
                              <w:rPr>
                                <w:rFonts w:ascii="Times New Roman" w:eastAsia="Times New Roman" w:hAnsi="Times New Roman" w:cs="Times New Roman"/>
                                <w:bCs/>
                                <w:sz w:val="19"/>
                                <w:szCs w:val="19"/>
                                <w:lang w:val="es-MX"/>
                              </w:rPr>
                              <w:t>El programa consiste en la erogación de treinta y seis mil quetzales (Q36,000) para cada beneficiario, el cual se ejecutará en un período de 3 años, siendo la asignación mensual de mil quetzales (Q1,000) por la participación activa en el “Programa de Desarrollo Integral”.</w:t>
                            </w:r>
                          </w:p>
                          <w:p w14:paraId="5E8EB25F" w14:textId="77777777" w:rsidR="00B842A5" w:rsidRPr="00B842A5" w:rsidRDefault="00B842A5" w:rsidP="00B842A5">
                            <w:pPr>
                              <w:pStyle w:val="Prrafodelista"/>
                              <w:ind w:left="142"/>
                              <w:jc w:val="both"/>
                              <w:rPr>
                                <w:rFonts w:ascii="Times New Roman" w:eastAsia="Times New Roman" w:hAnsi="Times New Roman" w:cs="Times New Roman"/>
                                <w:bCs/>
                                <w:sz w:val="19"/>
                                <w:szCs w:val="19"/>
                                <w:lang w:val="es-MX"/>
                              </w:rPr>
                            </w:pPr>
                          </w:p>
                          <w:p w14:paraId="7772804D" w14:textId="235DD5C8" w:rsidR="00B842A5" w:rsidRPr="00B842A5" w:rsidRDefault="00B842A5" w:rsidP="00B842A5">
                            <w:pPr>
                              <w:pStyle w:val="Prrafodelista"/>
                              <w:ind w:left="142"/>
                              <w:jc w:val="both"/>
                              <w:rPr>
                                <w:rFonts w:ascii="Times New Roman" w:hAnsi="Times New Roman" w:cs="Times New Roman"/>
                                <w:bCs/>
                                <w:noProof/>
                                <w:sz w:val="19"/>
                                <w:szCs w:val="19"/>
                                <w:lang w:val="es-MX" w:eastAsia="es-GT"/>
                              </w:rPr>
                            </w:pPr>
                            <w:r w:rsidRPr="00B842A5">
                              <w:rPr>
                                <w:rFonts w:ascii="Times New Roman" w:eastAsia="Times New Roman" w:hAnsi="Times New Roman" w:cs="Times New Roman"/>
                                <w:bCs/>
                                <w:sz w:val="19"/>
                                <w:szCs w:val="19"/>
                                <w:lang w:val="es-MX"/>
                              </w:rPr>
                              <w:t>Para el cumplimiento del programa se autorizó ampliar el presupuesto general por Q350 millones, siendo determinado el monto en función de los listados de beneficiarios realizados, para lo cual el Ministerio de Finanzas Públicas utilizó los saldos de caja o fuentes de financiamiento que se encontraban disponibles.</w:t>
                            </w:r>
                          </w:p>
                          <w:p w14:paraId="7EB0FB43" w14:textId="77777777" w:rsidR="00B842A5" w:rsidRPr="00070EF0" w:rsidRDefault="00B842A5" w:rsidP="00B842A5">
                            <w:pPr>
                              <w:pStyle w:val="Prrafodelista"/>
                              <w:jc w:val="center"/>
                              <w:rPr>
                                <w:rFonts w:ascii="Times New Roman" w:hAnsi="Times New Roman" w:cs="Times New Roman"/>
                                <w:noProof/>
                                <w:color w:val="FF0000"/>
                                <w:sz w:val="20"/>
                                <w:szCs w:val="20"/>
                                <w:lang w:eastAsia="es-GT"/>
                              </w:rPr>
                            </w:pPr>
                          </w:p>
                          <w:p w14:paraId="66A42BC1" w14:textId="77777777" w:rsidR="00B842A5" w:rsidRPr="000D150A" w:rsidRDefault="00B842A5" w:rsidP="00B842A5">
                            <w:pPr>
                              <w:pStyle w:val="Prrafodelista"/>
                              <w:rPr>
                                <w:rFonts w:ascii="Times New Roman" w:hAnsi="Times New Roman" w:cs="Times New Roman"/>
                                <w:noProof/>
                                <w:color w:val="000000" w:themeColor="text1"/>
                                <w:sz w:val="20"/>
                                <w:szCs w:val="20"/>
                                <w:lang w:eastAsia="es-GT"/>
                              </w:rPr>
                            </w:pPr>
                          </w:p>
                          <w:p w14:paraId="432F730A" w14:textId="77777777" w:rsidR="00B842A5" w:rsidRPr="000D150A" w:rsidRDefault="00B842A5" w:rsidP="00B842A5">
                            <w:pPr>
                              <w:jc w:val="both"/>
                              <w:rPr>
                                <w:rFonts w:ascii="Times New Roman" w:hAnsi="Times New Roman" w:cs="Times New Roman"/>
                                <w:noProof/>
                                <w:color w:val="000000" w:themeColor="text1"/>
                                <w:sz w:val="2"/>
                                <w:szCs w:val="2"/>
                                <w:lang w:eastAsia="es-GT"/>
                              </w:rPr>
                            </w:pPr>
                          </w:p>
                          <w:p w14:paraId="0E5D1E01" w14:textId="77777777" w:rsidR="00B842A5" w:rsidRDefault="00B842A5" w:rsidP="00B842A5">
                            <w:pPr>
                              <w:pStyle w:val="Prrafodelista"/>
                              <w:jc w:val="center"/>
                              <w:rPr>
                                <w:rFonts w:ascii="Times New Roman" w:hAnsi="Times New Roman" w:cs="Times New Roman"/>
                                <w:noProof/>
                                <w:color w:val="000000" w:themeColor="text1"/>
                                <w:sz w:val="20"/>
                                <w:szCs w:val="20"/>
                                <w:lang w:eastAsia="es-GT"/>
                              </w:rPr>
                            </w:pPr>
                          </w:p>
                          <w:p w14:paraId="2554B7E6" w14:textId="77777777" w:rsidR="00B842A5" w:rsidRPr="00066F88" w:rsidRDefault="00B842A5" w:rsidP="00B842A5">
                            <w:pPr>
                              <w:pStyle w:val="Prrafodelista"/>
                              <w:jc w:val="center"/>
                              <w:rPr>
                                <w:rFonts w:ascii="Times New Roman" w:hAnsi="Times New Roman" w:cs="Times New Roman"/>
                                <w:noProof/>
                                <w:color w:val="000000" w:themeColor="text1"/>
                                <w:sz w:val="20"/>
                                <w:szCs w:val="20"/>
                                <w:lang w:eastAsia="es-GT"/>
                              </w:rPr>
                            </w:pPr>
                          </w:p>
                          <w:p w14:paraId="3E1FBA7C" w14:textId="77777777" w:rsidR="00B842A5" w:rsidRPr="006F6A34" w:rsidRDefault="00B842A5" w:rsidP="00B842A5">
                            <w:pPr>
                              <w:pStyle w:val="Prrafodelista"/>
                              <w:jc w:val="both"/>
                              <w:rPr>
                                <w:rFonts w:ascii="Times New Roman" w:hAnsi="Times New Roman" w:cs="Times New Roman"/>
                                <w:noProof/>
                                <w:color w:val="000000" w:themeColor="text1"/>
                                <w:sz w:val="20"/>
                                <w:szCs w:val="20"/>
                                <w:lang w:eastAsia="es-GT"/>
                              </w:rPr>
                            </w:pPr>
                          </w:p>
                          <w:p w14:paraId="62420F45" w14:textId="77777777" w:rsidR="00B842A5" w:rsidRPr="006F6A34" w:rsidRDefault="00B842A5" w:rsidP="00B842A5">
                            <w:pPr>
                              <w:jc w:val="center"/>
                              <w:rPr>
                                <w:rFonts w:ascii="Times New Roman" w:hAnsi="Times New Roman" w:cs="Times New Roman"/>
                                <w:b/>
                                <w:bCs/>
                                <w:sz w:val="20"/>
                                <w:szCs w:val="20"/>
                              </w:rPr>
                            </w:pPr>
                          </w:p>
                          <w:p w14:paraId="1B50BD4F" w14:textId="77777777" w:rsidR="00B842A5" w:rsidRPr="006F6A34" w:rsidRDefault="00B842A5" w:rsidP="00B842A5">
                            <w:pPr>
                              <w:jc w:val="center"/>
                              <w:rPr>
                                <w:rFonts w:ascii="Times New Roman" w:hAnsi="Times New Roman" w:cs="Times New Roman"/>
                                <w:b/>
                                <w:bCs/>
                                <w:sz w:val="20"/>
                                <w:szCs w:val="20"/>
                              </w:rPr>
                            </w:pPr>
                          </w:p>
                          <w:p w14:paraId="037B411E" w14:textId="77777777" w:rsidR="00B842A5" w:rsidRDefault="00B842A5" w:rsidP="00B842A5">
                            <w:pPr>
                              <w:jc w:val="center"/>
                              <w:rPr>
                                <w:rFonts w:ascii="Times New Roman" w:hAnsi="Times New Roman" w:cs="Times New Roman"/>
                                <w:b/>
                                <w:bCs/>
                              </w:rPr>
                            </w:pPr>
                          </w:p>
                          <w:p w14:paraId="2A7DBEF7" w14:textId="77777777" w:rsidR="00B842A5" w:rsidRDefault="00B842A5" w:rsidP="00B842A5">
                            <w:pPr>
                              <w:jc w:val="center"/>
                              <w:rPr>
                                <w:rFonts w:ascii="Times New Roman" w:hAnsi="Times New Roman" w:cs="Times New Roman"/>
                                <w:b/>
                                <w:bCs/>
                              </w:rPr>
                            </w:pPr>
                          </w:p>
                          <w:p w14:paraId="3513E3DF" w14:textId="77777777" w:rsidR="00B842A5" w:rsidRDefault="00B842A5" w:rsidP="00B842A5">
                            <w:pPr>
                              <w:jc w:val="center"/>
                              <w:rPr>
                                <w:rFonts w:ascii="Times New Roman" w:hAnsi="Times New Roman" w:cs="Times New Roman"/>
                                <w:b/>
                                <w:bCs/>
                              </w:rPr>
                            </w:pPr>
                          </w:p>
                          <w:p w14:paraId="5719A931" w14:textId="77777777" w:rsidR="00B842A5" w:rsidRDefault="00B842A5" w:rsidP="00B842A5">
                            <w:pPr>
                              <w:jc w:val="center"/>
                              <w:rPr>
                                <w:rFonts w:ascii="Times New Roman" w:hAnsi="Times New Roman" w:cs="Times New Roman"/>
                                <w:b/>
                                <w:bCs/>
                              </w:rPr>
                            </w:pPr>
                          </w:p>
                          <w:p w14:paraId="0E7CAC13" w14:textId="77777777" w:rsidR="00B842A5" w:rsidRDefault="00B842A5" w:rsidP="00B842A5">
                            <w:pPr>
                              <w:jc w:val="center"/>
                              <w:rPr>
                                <w:rFonts w:ascii="Times New Roman" w:hAnsi="Times New Roman" w:cs="Times New Roman"/>
                                <w:b/>
                                <w:bCs/>
                              </w:rPr>
                            </w:pPr>
                          </w:p>
                          <w:p w14:paraId="5FE1FE43" w14:textId="77777777" w:rsidR="00B842A5" w:rsidRDefault="00B842A5" w:rsidP="00B842A5">
                            <w:pPr>
                              <w:jc w:val="center"/>
                              <w:rPr>
                                <w:rFonts w:ascii="Times New Roman" w:hAnsi="Times New Roman" w:cs="Times New Roman"/>
                                <w:b/>
                                <w:bCs/>
                              </w:rPr>
                            </w:pPr>
                          </w:p>
                          <w:p w14:paraId="7BE4345E" w14:textId="77777777" w:rsidR="00B842A5" w:rsidRDefault="00B842A5" w:rsidP="00B842A5">
                            <w:pPr>
                              <w:jc w:val="center"/>
                              <w:rPr>
                                <w:rFonts w:ascii="Times New Roman" w:hAnsi="Times New Roman" w:cs="Times New Roman"/>
                                <w:b/>
                                <w:bCs/>
                              </w:rPr>
                            </w:pPr>
                          </w:p>
                          <w:p w14:paraId="7CB9E6CB" w14:textId="77777777" w:rsidR="00B842A5" w:rsidRDefault="00B842A5" w:rsidP="00B842A5">
                            <w:pPr>
                              <w:jc w:val="center"/>
                              <w:rPr>
                                <w:rFonts w:ascii="Times New Roman" w:hAnsi="Times New Roman" w:cs="Times New Roman"/>
                                <w:b/>
                                <w:bCs/>
                              </w:rPr>
                            </w:pPr>
                          </w:p>
                          <w:p w14:paraId="02D7E246" w14:textId="77777777" w:rsidR="00B842A5" w:rsidRDefault="00B842A5" w:rsidP="00B842A5">
                            <w:pPr>
                              <w:jc w:val="center"/>
                              <w:rPr>
                                <w:rFonts w:ascii="Times New Roman" w:hAnsi="Times New Roman" w:cs="Times New Roman"/>
                                <w:b/>
                                <w:bCs/>
                              </w:rPr>
                            </w:pPr>
                          </w:p>
                          <w:p w14:paraId="2F1059E4" w14:textId="77777777" w:rsidR="00B842A5" w:rsidRDefault="00B842A5" w:rsidP="00B842A5">
                            <w:pPr>
                              <w:jc w:val="center"/>
                              <w:rPr>
                                <w:rFonts w:ascii="Times New Roman" w:hAnsi="Times New Roman" w:cs="Times New Roman"/>
                                <w:b/>
                                <w:bCs/>
                              </w:rPr>
                            </w:pPr>
                          </w:p>
                          <w:p w14:paraId="21555E18" w14:textId="77777777" w:rsidR="00B842A5" w:rsidRDefault="00B842A5" w:rsidP="00B842A5">
                            <w:pPr>
                              <w:jc w:val="center"/>
                              <w:rPr>
                                <w:rFonts w:ascii="Times New Roman" w:hAnsi="Times New Roman" w:cs="Times New Roman"/>
                                <w:b/>
                                <w:bCs/>
                              </w:rPr>
                            </w:pPr>
                          </w:p>
                          <w:p w14:paraId="6307762A" w14:textId="77777777" w:rsidR="00B842A5" w:rsidRPr="008902B7" w:rsidRDefault="00B842A5" w:rsidP="00B842A5">
                            <w:pPr>
                              <w:jc w:val="center"/>
                              <w:rPr>
                                <w:rFonts w:ascii="Times New Roman" w:hAnsi="Times New Roman" w:cs="Times New Roman"/>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C8C2153" id="Rectángulo 972" o:spid="_x0000_s1028" style="width:435.65pt;height:28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" fillcolor="#dae3f3" strokecolor="windowText" strokeweight=".5pt">
                <v:path arrowok="t"/>
                <v:textbox>
                  <w:txbxContent>
                    <w:p w14:paraId="4DCDA329" w14:textId="77777777" w:rsidR="00B842A5" w:rsidRPr="00B842A5" w:rsidRDefault="00B842A5" w:rsidP="00B842A5">
                      <w:pPr>
                        <w:pStyle w:val="Prrafodelista"/>
                        <w:jc w:val="center"/>
                        <w:rPr>
                          <w:rFonts w:ascii="Times New Roman" w:eastAsia="Times New Roman" w:hAnsi="Times New Roman" w:cs="Times New Roman"/>
                          <w:b/>
                          <w:sz w:val="19"/>
                          <w:szCs w:val="19"/>
                          <w:lang w:val="es-MX"/>
                        </w:rPr>
                      </w:pPr>
                      <w:r w:rsidRPr="00B842A5">
                        <w:rPr>
                          <w:rFonts w:ascii="Times New Roman" w:eastAsia="Times New Roman" w:hAnsi="Times New Roman" w:cs="Times New Roman"/>
                          <w:b/>
                          <w:sz w:val="19"/>
                          <w:szCs w:val="19"/>
                          <w:lang w:val="es-MX"/>
                        </w:rPr>
                        <w:t>Pago a favor de la tropa que prestó servicio militar</w:t>
                      </w:r>
                    </w:p>
                    <w:p w14:paraId="64F93F66" w14:textId="77777777" w:rsidR="00B842A5" w:rsidRPr="00B842A5" w:rsidRDefault="00B842A5" w:rsidP="00B842A5">
                      <w:pPr>
                        <w:pStyle w:val="Prrafodelista"/>
                        <w:jc w:val="both"/>
                        <w:rPr>
                          <w:rFonts w:ascii="Times New Roman" w:eastAsia="Times New Roman" w:hAnsi="Times New Roman" w:cs="Times New Roman"/>
                          <w:b/>
                          <w:sz w:val="19"/>
                          <w:szCs w:val="19"/>
                          <w:lang w:val="es-MX"/>
                        </w:rPr>
                      </w:pPr>
                    </w:p>
                    <w:p w14:paraId="49020E49" w14:textId="77777777" w:rsidR="00B842A5" w:rsidRPr="00B842A5" w:rsidRDefault="00B842A5" w:rsidP="00B842A5">
                      <w:pPr>
                        <w:pStyle w:val="Prrafodelista"/>
                        <w:ind w:left="142" w:firstLine="11"/>
                        <w:jc w:val="both"/>
                        <w:rPr>
                          <w:rFonts w:ascii="Times New Roman" w:eastAsia="Times New Roman" w:hAnsi="Times New Roman" w:cs="Times New Roman"/>
                          <w:bCs/>
                          <w:sz w:val="19"/>
                          <w:szCs w:val="19"/>
                          <w:lang w:val="es-MX"/>
                        </w:rPr>
                      </w:pPr>
                      <w:r w:rsidRPr="00B842A5">
                        <w:rPr>
                          <w:rFonts w:ascii="Times New Roman" w:eastAsia="Times New Roman" w:hAnsi="Times New Roman" w:cs="Times New Roman"/>
                          <w:bCs/>
                          <w:sz w:val="19"/>
                          <w:szCs w:val="19"/>
                          <w:lang w:val="es-MX"/>
                        </w:rPr>
                        <w:t>En 2022 se aprobó la “Ley Temporal de Desarrollo Integral” por medio del Decreto 51-2022, la cual tiene como objeto la creación, implementación y ejecución de proyectos ambientales y de desarrollo integral en beneficio del Estado de Guatemala, con la participación de personal de tropa que prestó servicio militar durante el conflicto armado interno.</w:t>
                      </w:r>
                    </w:p>
                    <w:p w14:paraId="6EEAE560" w14:textId="77777777" w:rsidR="00B842A5" w:rsidRPr="00B842A5" w:rsidRDefault="00B842A5" w:rsidP="00B842A5">
                      <w:pPr>
                        <w:pStyle w:val="Prrafodelista"/>
                        <w:ind w:left="142"/>
                        <w:jc w:val="both"/>
                        <w:rPr>
                          <w:rFonts w:ascii="Times New Roman" w:eastAsia="Times New Roman" w:hAnsi="Times New Roman" w:cs="Times New Roman"/>
                          <w:bCs/>
                          <w:sz w:val="19"/>
                          <w:szCs w:val="19"/>
                          <w:lang w:val="es-MX"/>
                        </w:rPr>
                      </w:pPr>
                    </w:p>
                    <w:p w14:paraId="446E926E" w14:textId="77777777" w:rsidR="00B842A5" w:rsidRPr="00B842A5" w:rsidRDefault="00B842A5" w:rsidP="00B842A5">
                      <w:pPr>
                        <w:pStyle w:val="Prrafodelista"/>
                        <w:ind w:left="142"/>
                        <w:jc w:val="both"/>
                        <w:rPr>
                          <w:rFonts w:ascii="Times New Roman" w:eastAsia="Times New Roman" w:hAnsi="Times New Roman" w:cs="Times New Roman"/>
                          <w:bCs/>
                          <w:sz w:val="19"/>
                          <w:szCs w:val="19"/>
                          <w:lang w:val="es-MX"/>
                        </w:rPr>
                      </w:pPr>
                      <w:r w:rsidRPr="00B842A5">
                        <w:rPr>
                          <w:rFonts w:ascii="Times New Roman" w:eastAsia="Times New Roman" w:hAnsi="Times New Roman" w:cs="Times New Roman"/>
                          <w:bCs/>
                          <w:sz w:val="19"/>
                          <w:szCs w:val="19"/>
                          <w:lang w:val="es-MX"/>
                        </w:rPr>
                        <w:t xml:space="preserve">Los proyectos que debe incluir el programa están enfocados en la reforestación, protección y/o conservación del bosque para proteger fuentes de agua y zonas de recarga hídrica en tierras estatales, material educativo y ambiental para fomentar la protección del medio ambiente, cualquier proyecto de conservación, protección y mejoramiento del medio ambiente, entre otros. </w:t>
                      </w:r>
                    </w:p>
                    <w:p w14:paraId="60F457DB" w14:textId="77777777" w:rsidR="00B842A5" w:rsidRPr="00B842A5" w:rsidRDefault="00B842A5" w:rsidP="00B842A5">
                      <w:pPr>
                        <w:pStyle w:val="Prrafodelista"/>
                        <w:ind w:left="142"/>
                        <w:jc w:val="both"/>
                        <w:rPr>
                          <w:rFonts w:ascii="Times New Roman" w:eastAsia="Times New Roman" w:hAnsi="Times New Roman" w:cs="Times New Roman"/>
                          <w:bCs/>
                          <w:sz w:val="19"/>
                          <w:szCs w:val="19"/>
                          <w:lang w:val="es-MX"/>
                        </w:rPr>
                      </w:pPr>
                    </w:p>
                    <w:p w14:paraId="18DB5ADB" w14:textId="77777777" w:rsidR="00B842A5" w:rsidRPr="00B842A5" w:rsidRDefault="00B842A5" w:rsidP="00B842A5">
                      <w:pPr>
                        <w:pStyle w:val="Prrafodelista"/>
                        <w:ind w:left="142"/>
                        <w:jc w:val="both"/>
                        <w:rPr>
                          <w:rFonts w:ascii="Times New Roman" w:eastAsia="Times New Roman" w:hAnsi="Times New Roman" w:cs="Times New Roman"/>
                          <w:bCs/>
                          <w:sz w:val="19"/>
                          <w:szCs w:val="19"/>
                          <w:lang w:val="es-MX"/>
                        </w:rPr>
                      </w:pPr>
                      <w:r w:rsidRPr="00B842A5">
                        <w:rPr>
                          <w:rFonts w:ascii="Times New Roman" w:eastAsia="Times New Roman" w:hAnsi="Times New Roman" w:cs="Times New Roman"/>
                          <w:bCs/>
                          <w:sz w:val="19"/>
                          <w:szCs w:val="19"/>
                          <w:lang w:val="es-MX"/>
                        </w:rPr>
                        <w:t>Para el cumplimiento del programa participan:</w:t>
                      </w:r>
                    </w:p>
                    <w:p w14:paraId="3239456C" w14:textId="77777777" w:rsidR="00B842A5" w:rsidRPr="00B842A5" w:rsidRDefault="00B842A5" w:rsidP="00B842A5">
                      <w:pPr>
                        <w:pStyle w:val="Prrafodelista"/>
                        <w:ind w:left="142"/>
                        <w:jc w:val="both"/>
                        <w:rPr>
                          <w:rFonts w:ascii="Times New Roman" w:eastAsia="Times New Roman" w:hAnsi="Times New Roman" w:cs="Times New Roman"/>
                          <w:bCs/>
                          <w:sz w:val="19"/>
                          <w:szCs w:val="19"/>
                          <w:lang w:val="es-MX"/>
                        </w:rPr>
                      </w:pPr>
                      <w:r w:rsidRPr="00B842A5">
                        <w:rPr>
                          <w:rFonts w:ascii="Times New Roman" w:eastAsia="Times New Roman" w:hAnsi="Times New Roman" w:cs="Times New Roman"/>
                          <w:bCs/>
                          <w:sz w:val="19"/>
                          <w:szCs w:val="19"/>
                          <w:lang w:val="es-MX"/>
                        </w:rPr>
                        <w:t>-El Ministerio de la Defensa Nacional, el cual elabora los listados de los beneficiarios del programa</w:t>
                      </w:r>
                    </w:p>
                    <w:p w14:paraId="5A290D1C" w14:textId="77777777" w:rsidR="00B842A5" w:rsidRPr="00B842A5" w:rsidRDefault="00B842A5" w:rsidP="00B842A5">
                      <w:pPr>
                        <w:pStyle w:val="Prrafodelista"/>
                        <w:ind w:left="142"/>
                        <w:jc w:val="both"/>
                        <w:rPr>
                          <w:rFonts w:ascii="Times New Roman" w:eastAsia="Times New Roman" w:hAnsi="Times New Roman" w:cs="Times New Roman"/>
                          <w:bCs/>
                          <w:sz w:val="19"/>
                          <w:szCs w:val="19"/>
                          <w:lang w:val="es-MX"/>
                        </w:rPr>
                      </w:pPr>
                      <w:r w:rsidRPr="00B842A5">
                        <w:rPr>
                          <w:rFonts w:ascii="Times New Roman" w:eastAsia="Times New Roman" w:hAnsi="Times New Roman" w:cs="Times New Roman"/>
                          <w:bCs/>
                          <w:sz w:val="19"/>
                          <w:szCs w:val="19"/>
                          <w:lang w:val="es-MX"/>
                        </w:rPr>
                        <w:t>-El Ministerio de Ambiente y Recursos Naturales, el cual crea e implementa los programas ambientales, además de verificar el cumplimiento del servicio por parte de los beneficiarios</w:t>
                      </w:r>
                    </w:p>
                    <w:p w14:paraId="73E8D2F2" w14:textId="77777777" w:rsidR="00B842A5" w:rsidRPr="00B842A5" w:rsidRDefault="00B842A5" w:rsidP="00B842A5">
                      <w:pPr>
                        <w:pStyle w:val="Prrafodelista"/>
                        <w:ind w:left="142"/>
                        <w:jc w:val="both"/>
                        <w:rPr>
                          <w:rFonts w:ascii="Times New Roman" w:eastAsia="Times New Roman" w:hAnsi="Times New Roman" w:cs="Times New Roman"/>
                          <w:bCs/>
                          <w:sz w:val="19"/>
                          <w:szCs w:val="19"/>
                          <w:lang w:val="es-MX"/>
                        </w:rPr>
                      </w:pPr>
                      <w:r w:rsidRPr="00B842A5">
                        <w:rPr>
                          <w:rFonts w:ascii="Times New Roman" w:eastAsia="Times New Roman" w:hAnsi="Times New Roman" w:cs="Times New Roman"/>
                          <w:bCs/>
                          <w:sz w:val="19"/>
                          <w:szCs w:val="19"/>
                          <w:lang w:val="es-MX"/>
                        </w:rPr>
                        <w:t xml:space="preserve">-El Ministerio de Desarrollo Social, siendo el responsable de efectuar los pagos </w:t>
                      </w:r>
                    </w:p>
                    <w:p w14:paraId="45F17DB5" w14:textId="77777777" w:rsidR="00B842A5" w:rsidRPr="00B842A5" w:rsidRDefault="00B842A5" w:rsidP="00B842A5">
                      <w:pPr>
                        <w:pStyle w:val="Prrafodelista"/>
                        <w:ind w:left="142"/>
                        <w:jc w:val="both"/>
                        <w:rPr>
                          <w:rFonts w:ascii="Times New Roman" w:eastAsia="Times New Roman" w:hAnsi="Times New Roman" w:cs="Times New Roman"/>
                          <w:bCs/>
                          <w:sz w:val="19"/>
                          <w:szCs w:val="19"/>
                          <w:lang w:val="es-MX"/>
                        </w:rPr>
                      </w:pPr>
                    </w:p>
                    <w:p w14:paraId="5C7062E4" w14:textId="77777777" w:rsidR="00B842A5" w:rsidRPr="00B842A5" w:rsidRDefault="00B842A5" w:rsidP="00B842A5">
                      <w:pPr>
                        <w:pStyle w:val="Prrafodelista"/>
                        <w:ind w:left="142"/>
                        <w:jc w:val="both"/>
                        <w:rPr>
                          <w:rFonts w:ascii="Times New Roman" w:eastAsia="Times New Roman" w:hAnsi="Times New Roman" w:cs="Times New Roman"/>
                          <w:bCs/>
                          <w:sz w:val="19"/>
                          <w:szCs w:val="19"/>
                          <w:lang w:val="es-MX"/>
                        </w:rPr>
                      </w:pPr>
                      <w:r w:rsidRPr="00B842A5">
                        <w:rPr>
                          <w:rFonts w:ascii="Times New Roman" w:eastAsia="Times New Roman" w:hAnsi="Times New Roman" w:cs="Times New Roman"/>
                          <w:bCs/>
                          <w:sz w:val="19"/>
                          <w:szCs w:val="19"/>
                          <w:lang w:val="es-MX"/>
                        </w:rPr>
                        <w:t>El programa consiste en la erogación de treinta y seis mil quetzales (Q36,000) para cada beneficiario, el cual se ejecutará en un período de 3 años, siendo la asignación mensual de mil quetzales (Q1,000) por la participación activa en el “Programa de Desarrollo Integral”.</w:t>
                      </w:r>
                    </w:p>
                    <w:p w14:paraId="5E8EB25F" w14:textId="77777777" w:rsidR="00B842A5" w:rsidRPr="00B842A5" w:rsidRDefault="00B842A5" w:rsidP="00B842A5">
                      <w:pPr>
                        <w:pStyle w:val="Prrafodelista"/>
                        <w:ind w:left="142"/>
                        <w:jc w:val="both"/>
                        <w:rPr>
                          <w:rFonts w:ascii="Times New Roman" w:eastAsia="Times New Roman" w:hAnsi="Times New Roman" w:cs="Times New Roman"/>
                          <w:bCs/>
                          <w:sz w:val="19"/>
                          <w:szCs w:val="19"/>
                          <w:lang w:val="es-MX"/>
                        </w:rPr>
                      </w:pPr>
                    </w:p>
                    <w:p w14:paraId="7772804D" w14:textId="235DD5C8" w:rsidR="00B842A5" w:rsidRPr="00B842A5" w:rsidRDefault="00B842A5" w:rsidP="00B842A5">
                      <w:pPr>
                        <w:pStyle w:val="Prrafodelista"/>
                        <w:ind w:left="142"/>
                        <w:jc w:val="both"/>
                        <w:rPr>
                          <w:rFonts w:ascii="Times New Roman" w:hAnsi="Times New Roman" w:cs="Times New Roman"/>
                          <w:bCs/>
                          <w:noProof/>
                          <w:sz w:val="19"/>
                          <w:szCs w:val="19"/>
                          <w:lang w:val="es-MX" w:eastAsia="es-GT"/>
                        </w:rPr>
                      </w:pPr>
                      <w:r w:rsidRPr="00B842A5">
                        <w:rPr>
                          <w:rFonts w:ascii="Times New Roman" w:eastAsia="Times New Roman" w:hAnsi="Times New Roman" w:cs="Times New Roman"/>
                          <w:bCs/>
                          <w:sz w:val="19"/>
                          <w:szCs w:val="19"/>
                          <w:lang w:val="es-MX"/>
                        </w:rPr>
                        <w:t>Para el cumplimiento del programa se autorizó ampliar el presupuesto general por Q350 millones, siendo determinado el monto en función de los listados de beneficiarios realizados, para lo cual el Ministerio de Finanzas Públicas utilizó los saldos de caja o fuentes de financiamiento que se encontraban disponibles.</w:t>
                      </w:r>
                    </w:p>
                    <w:p w14:paraId="7EB0FB43" w14:textId="77777777" w:rsidR="00B842A5" w:rsidRPr="00070EF0" w:rsidRDefault="00B842A5" w:rsidP="00B842A5">
                      <w:pPr>
                        <w:pStyle w:val="Prrafodelista"/>
                        <w:jc w:val="center"/>
                        <w:rPr>
                          <w:rFonts w:ascii="Times New Roman" w:hAnsi="Times New Roman" w:cs="Times New Roman"/>
                          <w:noProof/>
                          <w:color w:val="FF0000"/>
                          <w:sz w:val="20"/>
                          <w:szCs w:val="20"/>
                          <w:lang w:eastAsia="es-GT"/>
                        </w:rPr>
                      </w:pPr>
                    </w:p>
                    <w:p w14:paraId="66A42BC1" w14:textId="77777777" w:rsidR="00B842A5" w:rsidRPr="000D150A" w:rsidRDefault="00B842A5" w:rsidP="00B842A5">
                      <w:pPr>
                        <w:pStyle w:val="Prrafodelista"/>
                        <w:rPr>
                          <w:rFonts w:ascii="Times New Roman" w:hAnsi="Times New Roman" w:cs="Times New Roman"/>
                          <w:noProof/>
                          <w:color w:val="000000" w:themeColor="text1"/>
                          <w:sz w:val="20"/>
                          <w:szCs w:val="20"/>
                          <w:lang w:eastAsia="es-GT"/>
                        </w:rPr>
                      </w:pPr>
                    </w:p>
                    <w:p w14:paraId="432F730A" w14:textId="77777777" w:rsidR="00B842A5" w:rsidRPr="000D150A" w:rsidRDefault="00B842A5" w:rsidP="00B842A5">
                      <w:pPr>
                        <w:jc w:val="both"/>
                        <w:rPr>
                          <w:rFonts w:ascii="Times New Roman" w:hAnsi="Times New Roman" w:cs="Times New Roman"/>
                          <w:noProof/>
                          <w:color w:val="000000" w:themeColor="text1"/>
                          <w:sz w:val="2"/>
                          <w:szCs w:val="2"/>
                          <w:lang w:eastAsia="es-GT"/>
                        </w:rPr>
                      </w:pPr>
                    </w:p>
                    <w:p w14:paraId="0E5D1E01" w14:textId="77777777" w:rsidR="00B842A5" w:rsidRDefault="00B842A5" w:rsidP="00B842A5">
                      <w:pPr>
                        <w:pStyle w:val="Prrafodelista"/>
                        <w:jc w:val="center"/>
                        <w:rPr>
                          <w:rFonts w:ascii="Times New Roman" w:hAnsi="Times New Roman" w:cs="Times New Roman"/>
                          <w:noProof/>
                          <w:color w:val="000000" w:themeColor="text1"/>
                          <w:sz w:val="20"/>
                          <w:szCs w:val="20"/>
                          <w:lang w:eastAsia="es-GT"/>
                        </w:rPr>
                      </w:pPr>
                    </w:p>
                    <w:p w14:paraId="2554B7E6" w14:textId="77777777" w:rsidR="00B842A5" w:rsidRPr="00066F88" w:rsidRDefault="00B842A5" w:rsidP="00B842A5">
                      <w:pPr>
                        <w:pStyle w:val="Prrafodelista"/>
                        <w:jc w:val="center"/>
                        <w:rPr>
                          <w:rFonts w:ascii="Times New Roman" w:hAnsi="Times New Roman" w:cs="Times New Roman"/>
                          <w:noProof/>
                          <w:color w:val="000000" w:themeColor="text1"/>
                          <w:sz w:val="20"/>
                          <w:szCs w:val="20"/>
                          <w:lang w:eastAsia="es-GT"/>
                        </w:rPr>
                      </w:pPr>
                    </w:p>
                    <w:p w14:paraId="3E1FBA7C" w14:textId="77777777" w:rsidR="00B842A5" w:rsidRPr="006F6A34" w:rsidRDefault="00B842A5" w:rsidP="00B842A5">
                      <w:pPr>
                        <w:pStyle w:val="Prrafodelista"/>
                        <w:jc w:val="both"/>
                        <w:rPr>
                          <w:rFonts w:ascii="Times New Roman" w:hAnsi="Times New Roman" w:cs="Times New Roman"/>
                          <w:noProof/>
                          <w:color w:val="000000" w:themeColor="text1"/>
                          <w:sz w:val="20"/>
                          <w:szCs w:val="20"/>
                          <w:lang w:eastAsia="es-GT"/>
                        </w:rPr>
                      </w:pPr>
                    </w:p>
                    <w:p w14:paraId="62420F45" w14:textId="77777777" w:rsidR="00B842A5" w:rsidRPr="006F6A34" w:rsidRDefault="00B842A5" w:rsidP="00B842A5">
                      <w:pPr>
                        <w:jc w:val="center"/>
                        <w:rPr>
                          <w:rFonts w:ascii="Times New Roman" w:hAnsi="Times New Roman" w:cs="Times New Roman"/>
                          <w:b/>
                          <w:bCs/>
                          <w:sz w:val="20"/>
                          <w:szCs w:val="20"/>
                        </w:rPr>
                      </w:pPr>
                    </w:p>
                    <w:p w14:paraId="1B50BD4F" w14:textId="77777777" w:rsidR="00B842A5" w:rsidRPr="006F6A34" w:rsidRDefault="00B842A5" w:rsidP="00B842A5">
                      <w:pPr>
                        <w:jc w:val="center"/>
                        <w:rPr>
                          <w:rFonts w:ascii="Times New Roman" w:hAnsi="Times New Roman" w:cs="Times New Roman"/>
                          <w:b/>
                          <w:bCs/>
                          <w:sz w:val="20"/>
                          <w:szCs w:val="20"/>
                        </w:rPr>
                      </w:pPr>
                    </w:p>
                    <w:p w14:paraId="037B411E" w14:textId="77777777" w:rsidR="00B842A5" w:rsidRDefault="00B842A5" w:rsidP="00B842A5">
                      <w:pPr>
                        <w:jc w:val="center"/>
                        <w:rPr>
                          <w:rFonts w:ascii="Times New Roman" w:hAnsi="Times New Roman" w:cs="Times New Roman"/>
                          <w:b/>
                          <w:bCs/>
                        </w:rPr>
                      </w:pPr>
                    </w:p>
                    <w:p w14:paraId="2A7DBEF7" w14:textId="77777777" w:rsidR="00B842A5" w:rsidRDefault="00B842A5" w:rsidP="00B842A5">
                      <w:pPr>
                        <w:jc w:val="center"/>
                        <w:rPr>
                          <w:rFonts w:ascii="Times New Roman" w:hAnsi="Times New Roman" w:cs="Times New Roman"/>
                          <w:b/>
                          <w:bCs/>
                        </w:rPr>
                      </w:pPr>
                    </w:p>
                    <w:p w14:paraId="3513E3DF" w14:textId="77777777" w:rsidR="00B842A5" w:rsidRDefault="00B842A5" w:rsidP="00B842A5">
                      <w:pPr>
                        <w:jc w:val="center"/>
                        <w:rPr>
                          <w:rFonts w:ascii="Times New Roman" w:hAnsi="Times New Roman" w:cs="Times New Roman"/>
                          <w:b/>
                          <w:bCs/>
                        </w:rPr>
                      </w:pPr>
                    </w:p>
                    <w:p w14:paraId="5719A931" w14:textId="77777777" w:rsidR="00B842A5" w:rsidRDefault="00B842A5" w:rsidP="00B842A5">
                      <w:pPr>
                        <w:jc w:val="center"/>
                        <w:rPr>
                          <w:rFonts w:ascii="Times New Roman" w:hAnsi="Times New Roman" w:cs="Times New Roman"/>
                          <w:b/>
                          <w:bCs/>
                        </w:rPr>
                      </w:pPr>
                    </w:p>
                    <w:p w14:paraId="0E7CAC13" w14:textId="77777777" w:rsidR="00B842A5" w:rsidRDefault="00B842A5" w:rsidP="00B842A5">
                      <w:pPr>
                        <w:jc w:val="center"/>
                        <w:rPr>
                          <w:rFonts w:ascii="Times New Roman" w:hAnsi="Times New Roman" w:cs="Times New Roman"/>
                          <w:b/>
                          <w:bCs/>
                        </w:rPr>
                      </w:pPr>
                    </w:p>
                    <w:p w14:paraId="5FE1FE43" w14:textId="77777777" w:rsidR="00B842A5" w:rsidRDefault="00B842A5" w:rsidP="00B842A5">
                      <w:pPr>
                        <w:jc w:val="center"/>
                        <w:rPr>
                          <w:rFonts w:ascii="Times New Roman" w:hAnsi="Times New Roman" w:cs="Times New Roman"/>
                          <w:b/>
                          <w:bCs/>
                        </w:rPr>
                      </w:pPr>
                    </w:p>
                    <w:p w14:paraId="7BE4345E" w14:textId="77777777" w:rsidR="00B842A5" w:rsidRDefault="00B842A5" w:rsidP="00B842A5">
                      <w:pPr>
                        <w:jc w:val="center"/>
                        <w:rPr>
                          <w:rFonts w:ascii="Times New Roman" w:hAnsi="Times New Roman" w:cs="Times New Roman"/>
                          <w:b/>
                          <w:bCs/>
                        </w:rPr>
                      </w:pPr>
                    </w:p>
                    <w:p w14:paraId="7CB9E6CB" w14:textId="77777777" w:rsidR="00B842A5" w:rsidRDefault="00B842A5" w:rsidP="00B842A5">
                      <w:pPr>
                        <w:jc w:val="center"/>
                        <w:rPr>
                          <w:rFonts w:ascii="Times New Roman" w:hAnsi="Times New Roman" w:cs="Times New Roman"/>
                          <w:b/>
                          <w:bCs/>
                        </w:rPr>
                      </w:pPr>
                    </w:p>
                    <w:p w14:paraId="02D7E246" w14:textId="77777777" w:rsidR="00B842A5" w:rsidRDefault="00B842A5" w:rsidP="00B842A5">
                      <w:pPr>
                        <w:jc w:val="center"/>
                        <w:rPr>
                          <w:rFonts w:ascii="Times New Roman" w:hAnsi="Times New Roman" w:cs="Times New Roman"/>
                          <w:b/>
                          <w:bCs/>
                        </w:rPr>
                      </w:pPr>
                    </w:p>
                    <w:p w14:paraId="2F1059E4" w14:textId="77777777" w:rsidR="00B842A5" w:rsidRDefault="00B842A5" w:rsidP="00B842A5">
                      <w:pPr>
                        <w:jc w:val="center"/>
                        <w:rPr>
                          <w:rFonts w:ascii="Times New Roman" w:hAnsi="Times New Roman" w:cs="Times New Roman"/>
                          <w:b/>
                          <w:bCs/>
                        </w:rPr>
                      </w:pPr>
                    </w:p>
                    <w:p w14:paraId="21555E18" w14:textId="77777777" w:rsidR="00B842A5" w:rsidRDefault="00B842A5" w:rsidP="00B842A5">
                      <w:pPr>
                        <w:jc w:val="center"/>
                        <w:rPr>
                          <w:rFonts w:ascii="Times New Roman" w:hAnsi="Times New Roman" w:cs="Times New Roman"/>
                          <w:b/>
                          <w:bCs/>
                        </w:rPr>
                      </w:pPr>
                    </w:p>
                    <w:p w14:paraId="6307762A" w14:textId="77777777" w:rsidR="00B842A5" w:rsidRPr="008902B7" w:rsidRDefault="00B842A5" w:rsidP="00B842A5">
                      <w:pPr>
                        <w:jc w:val="center"/>
                        <w:rPr>
                          <w:rFonts w:ascii="Times New Roman" w:hAnsi="Times New Roman" w:cs="Times New Roman"/>
                          <w:b/>
                          <w:bCs/>
                        </w:rPr>
                      </w:pPr>
                    </w:p>
                  </w:txbxContent>
                </v:textbox>
                <w10:anchorlock/>
              </v:rect>
            </w:pict>
          </mc:Fallback>
        </mc:AlternateContent>
      </w:r>
    </w:p>
    <w:p w14:paraId="7C151787" w14:textId="77777777" w:rsidR="0026716F" w:rsidRDefault="0026716F" w:rsidP="0026716F">
      <w:pPr>
        <w:jc w:val="both"/>
        <w:rPr>
          <w:rFonts w:ascii="Times New Roman" w:eastAsia="Times New Roman" w:hAnsi="Times New Roman" w:cs="Times New Roman"/>
          <w:sz w:val="22"/>
          <w:szCs w:val="22"/>
          <w:lang w:val="es-MX"/>
        </w:rPr>
      </w:pPr>
    </w:p>
    <w:p w14:paraId="0238E09A" w14:textId="1D6334C7" w:rsidR="00665414" w:rsidRDefault="00DF3F9E" w:rsidP="0039645E">
      <w:pPr>
        <w:jc w:val="both"/>
        <w:rPr>
          <w:rFonts w:ascii="Times New Roman" w:eastAsia="Times New Roman" w:hAnsi="Times New Roman" w:cs="Times New Roman"/>
          <w:sz w:val="22"/>
          <w:szCs w:val="22"/>
          <w:lang w:val="es-MX"/>
        </w:rPr>
      </w:pPr>
      <w:r>
        <w:rPr>
          <w:rFonts w:ascii="Times New Roman" w:eastAsia="Times New Roman" w:hAnsi="Times New Roman" w:cs="Times New Roman"/>
          <w:sz w:val="22"/>
          <w:szCs w:val="22"/>
          <w:lang w:val="es-MX"/>
        </w:rPr>
        <w:t>Respecto a</w:t>
      </w:r>
      <w:r w:rsidR="00740E72">
        <w:rPr>
          <w:rFonts w:ascii="Times New Roman" w:eastAsia="Times New Roman" w:hAnsi="Times New Roman" w:cs="Times New Roman"/>
          <w:sz w:val="22"/>
          <w:szCs w:val="22"/>
          <w:lang w:val="es-MX"/>
        </w:rPr>
        <w:t>l crecimiento de las transferencias corrientes</w:t>
      </w:r>
      <w:r w:rsidR="00DA375B">
        <w:rPr>
          <w:rFonts w:ascii="Times New Roman" w:eastAsia="Times New Roman" w:hAnsi="Times New Roman" w:cs="Times New Roman"/>
          <w:sz w:val="22"/>
          <w:szCs w:val="22"/>
          <w:lang w:val="es-MX"/>
        </w:rPr>
        <w:t>,</w:t>
      </w:r>
      <w:r w:rsidR="001F2900">
        <w:rPr>
          <w:rFonts w:ascii="Times New Roman" w:eastAsia="Times New Roman" w:hAnsi="Times New Roman" w:cs="Times New Roman"/>
          <w:sz w:val="22"/>
          <w:szCs w:val="22"/>
          <w:lang w:val="es-MX"/>
        </w:rPr>
        <w:t xml:space="preserve"> este se explica</w:t>
      </w:r>
      <w:r w:rsidR="00665414">
        <w:rPr>
          <w:rFonts w:ascii="Times New Roman" w:eastAsia="Times New Roman" w:hAnsi="Times New Roman" w:cs="Times New Roman"/>
          <w:sz w:val="22"/>
          <w:szCs w:val="22"/>
          <w:lang w:val="es-MX"/>
        </w:rPr>
        <w:t xml:space="preserve"> por las transferencias al sector público que reportan un aumento de </w:t>
      </w:r>
      <w:r w:rsidR="0083635A">
        <w:rPr>
          <w:rFonts w:ascii="Times New Roman" w:eastAsia="Times New Roman" w:hAnsi="Times New Roman" w:cs="Times New Roman"/>
          <w:sz w:val="22"/>
          <w:szCs w:val="22"/>
          <w:lang w:val="es-MX"/>
        </w:rPr>
        <w:t>Q2,288.6 millones, al desglosar este rubro, las transferencias</w:t>
      </w:r>
      <w:r w:rsidR="007E47C9">
        <w:rPr>
          <w:rFonts w:ascii="Times New Roman" w:eastAsia="Times New Roman" w:hAnsi="Times New Roman" w:cs="Times New Roman"/>
          <w:sz w:val="22"/>
          <w:szCs w:val="22"/>
          <w:lang w:val="es-MX"/>
        </w:rPr>
        <w:t xml:space="preserve"> a la Universidad de San Carlos (USAC) aumentan en Q611.2 millones, al Tribunal Supremo Electoral aumentan en Q402.2 millones, al Ministerio Público aumentan en </w:t>
      </w:r>
      <w:r w:rsidR="005C4F5F">
        <w:rPr>
          <w:rFonts w:ascii="Times New Roman" w:eastAsia="Times New Roman" w:hAnsi="Times New Roman" w:cs="Times New Roman"/>
          <w:sz w:val="22"/>
          <w:szCs w:val="22"/>
          <w:lang w:val="es-MX"/>
        </w:rPr>
        <w:t xml:space="preserve">Q360.9 millones y al Organismo Judicial aumentan en Q359.1 millones. Es principalmente </w:t>
      </w:r>
      <w:r w:rsidR="005C4F5F" w:rsidRPr="005C4F5F">
        <w:rPr>
          <w:rFonts w:ascii="Times New Roman" w:eastAsia="Times New Roman" w:hAnsi="Times New Roman" w:cs="Times New Roman"/>
          <w:sz w:val="22"/>
          <w:szCs w:val="22"/>
          <w:lang w:val="es-MX"/>
        </w:rPr>
        <w:t>relevante</w:t>
      </w:r>
      <w:r w:rsidR="005C4F5F">
        <w:rPr>
          <w:rFonts w:ascii="Times New Roman" w:eastAsia="Times New Roman" w:hAnsi="Times New Roman" w:cs="Times New Roman"/>
          <w:sz w:val="22"/>
          <w:szCs w:val="22"/>
          <w:lang w:val="es-MX"/>
        </w:rPr>
        <w:t xml:space="preserve"> las transferencias que recibió el </w:t>
      </w:r>
      <w:r w:rsidR="005C4F5F" w:rsidRPr="005C4F5F">
        <w:rPr>
          <w:rFonts w:ascii="Times New Roman" w:eastAsia="Times New Roman" w:hAnsi="Times New Roman" w:cs="Times New Roman"/>
          <w:sz w:val="22"/>
          <w:szCs w:val="22"/>
          <w:lang w:val="es-MX"/>
        </w:rPr>
        <w:t>Tribunal Supremo Electoral</w:t>
      </w:r>
      <w:r w:rsidR="00DA375B">
        <w:rPr>
          <w:rFonts w:ascii="Times New Roman" w:eastAsia="Times New Roman" w:hAnsi="Times New Roman" w:cs="Times New Roman"/>
          <w:sz w:val="22"/>
          <w:szCs w:val="22"/>
          <w:lang w:val="es-MX"/>
        </w:rPr>
        <w:t xml:space="preserve"> (TSE)</w:t>
      </w:r>
      <w:r w:rsidR="005C4F5F">
        <w:rPr>
          <w:rFonts w:ascii="Times New Roman" w:eastAsia="Times New Roman" w:hAnsi="Times New Roman" w:cs="Times New Roman"/>
          <w:sz w:val="22"/>
          <w:szCs w:val="22"/>
          <w:lang w:val="es-MX"/>
        </w:rPr>
        <w:t>, ya que se cumplió con la programación establecida</w:t>
      </w:r>
      <w:r w:rsidR="00DA375B">
        <w:rPr>
          <w:rFonts w:ascii="Times New Roman" w:eastAsia="Times New Roman" w:hAnsi="Times New Roman" w:cs="Times New Roman"/>
          <w:sz w:val="22"/>
          <w:szCs w:val="22"/>
          <w:lang w:val="es-MX"/>
        </w:rPr>
        <w:t xml:space="preserve"> </w:t>
      </w:r>
      <w:r w:rsidR="005C4F5F">
        <w:rPr>
          <w:rFonts w:ascii="Times New Roman" w:eastAsia="Times New Roman" w:hAnsi="Times New Roman" w:cs="Times New Roman"/>
          <w:sz w:val="22"/>
          <w:szCs w:val="22"/>
          <w:lang w:val="es-MX"/>
        </w:rPr>
        <w:t xml:space="preserve">para el proceso de </w:t>
      </w:r>
      <w:r w:rsidR="005C4F5F" w:rsidRPr="005C4F5F">
        <w:rPr>
          <w:rFonts w:ascii="Times New Roman" w:eastAsia="Times New Roman" w:hAnsi="Times New Roman" w:cs="Times New Roman"/>
          <w:sz w:val="22"/>
          <w:szCs w:val="22"/>
          <w:lang w:val="es-MX"/>
        </w:rPr>
        <w:t xml:space="preserve">elecciones generales </w:t>
      </w:r>
      <w:r w:rsidR="005C4F5F">
        <w:rPr>
          <w:rFonts w:ascii="Times New Roman" w:eastAsia="Times New Roman" w:hAnsi="Times New Roman" w:cs="Times New Roman"/>
          <w:sz w:val="22"/>
          <w:szCs w:val="22"/>
          <w:lang w:val="es-MX"/>
        </w:rPr>
        <w:t>que</w:t>
      </w:r>
      <w:r w:rsidR="005C4F5F" w:rsidRPr="005C4F5F">
        <w:rPr>
          <w:rFonts w:ascii="Times New Roman" w:eastAsia="Times New Roman" w:hAnsi="Times New Roman" w:cs="Times New Roman"/>
          <w:sz w:val="22"/>
          <w:szCs w:val="22"/>
          <w:lang w:val="es-MX"/>
        </w:rPr>
        <w:t xml:space="preserve"> se llevaron a cabo el </w:t>
      </w:r>
      <w:r w:rsidR="005C4F5F">
        <w:rPr>
          <w:rFonts w:ascii="Times New Roman" w:eastAsia="Times New Roman" w:hAnsi="Times New Roman" w:cs="Times New Roman"/>
          <w:sz w:val="22"/>
          <w:szCs w:val="22"/>
          <w:lang w:val="es-MX"/>
        </w:rPr>
        <w:t>25</w:t>
      </w:r>
      <w:r w:rsidR="005C4F5F" w:rsidRPr="005C4F5F">
        <w:rPr>
          <w:rFonts w:ascii="Times New Roman" w:eastAsia="Times New Roman" w:hAnsi="Times New Roman" w:cs="Times New Roman"/>
          <w:sz w:val="22"/>
          <w:szCs w:val="22"/>
          <w:lang w:val="es-MX"/>
        </w:rPr>
        <w:t xml:space="preserve"> de junio</w:t>
      </w:r>
      <w:r w:rsidR="005C4F5F">
        <w:rPr>
          <w:rFonts w:ascii="Times New Roman" w:eastAsia="Times New Roman" w:hAnsi="Times New Roman" w:cs="Times New Roman"/>
          <w:sz w:val="22"/>
          <w:szCs w:val="22"/>
          <w:lang w:val="es-MX"/>
        </w:rPr>
        <w:t xml:space="preserve"> del 2023</w:t>
      </w:r>
      <w:r w:rsidR="005C4F5F" w:rsidRPr="005C4F5F">
        <w:rPr>
          <w:rFonts w:ascii="Times New Roman" w:eastAsia="Times New Roman" w:hAnsi="Times New Roman" w:cs="Times New Roman"/>
          <w:sz w:val="22"/>
          <w:szCs w:val="22"/>
          <w:lang w:val="es-MX"/>
        </w:rPr>
        <w:t xml:space="preserve"> y la segunda vuelta</w:t>
      </w:r>
      <w:r w:rsidR="005C4F5F">
        <w:rPr>
          <w:rFonts w:ascii="Times New Roman" w:eastAsia="Times New Roman" w:hAnsi="Times New Roman" w:cs="Times New Roman"/>
          <w:sz w:val="22"/>
          <w:szCs w:val="22"/>
          <w:lang w:val="es-MX"/>
        </w:rPr>
        <w:t xml:space="preserve"> realizada el </w:t>
      </w:r>
      <w:r w:rsidR="005C4F5F" w:rsidRPr="005C4F5F">
        <w:rPr>
          <w:rFonts w:ascii="Times New Roman" w:eastAsia="Times New Roman" w:hAnsi="Times New Roman" w:cs="Times New Roman"/>
          <w:sz w:val="22"/>
          <w:szCs w:val="22"/>
          <w:lang w:val="es-MX"/>
        </w:rPr>
        <w:t>20 de agosto</w:t>
      </w:r>
      <w:r w:rsidR="005C4F5F">
        <w:rPr>
          <w:rFonts w:ascii="Times New Roman" w:eastAsia="Times New Roman" w:hAnsi="Times New Roman" w:cs="Times New Roman"/>
          <w:sz w:val="22"/>
          <w:szCs w:val="22"/>
          <w:lang w:val="es-MX"/>
        </w:rPr>
        <w:t xml:space="preserve"> del 2023</w:t>
      </w:r>
      <w:r w:rsidR="005C4F5F" w:rsidRPr="005C4F5F">
        <w:rPr>
          <w:rFonts w:ascii="Times New Roman" w:eastAsia="Times New Roman" w:hAnsi="Times New Roman" w:cs="Times New Roman"/>
          <w:sz w:val="22"/>
          <w:szCs w:val="22"/>
          <w:lang w:val="es-MX"/>
        </w:rPr>
        <w:t xml:space="preserve">, </w:t>
      </w:r>
      <w:r w:rsidR="00740E72">
        <w:rPr>
          <w:rFonts w:ascii="Times New Roman" w:eastAsia="Times New Roman" w:hAnsi="Times New Roman" w:cs="Times New Roman"/>
          <w:sz w:val="22"/>
          <w:szCs w:val="22"/>
          <w:lang w:val="es-MX"/>
        </w:rPr>
        <w:t>esto</w:t>
      </w:r>
      <w:r w:rsidR="005C4F5F" w:rsidRPr="005C4F5F">
        <w:rPr>
          <w:rFonts w:ascii="Times New Roman" w:eastAsia="Times New Roman" w:hAnsi="Times New Roman" w:cs="Times New Roman"/>
          <w:sz w:val="22"/>
          <w:szCs w:val="22"/>
          <w:lang w:val="es-MX"/>
        </w:rPr>
        <w:t xml:space="preserve"> contribuy</w:t>
      </w:r>
      <w:r w:rsidR="005C4F5F">
        <w:rPr>
          <w:rFonts w:ascii="Times New Roman" w:eastAsia="Times New Roman" w:hAnsi="Times New Roman" w:cs="Times New Roman"/>
          <w:sz w:val="22"/>
          <w:szCs w:val="22"/>
          <w:lang w:val="es-MX"/>
        </w:rPr>
        <w:t>ó</w:t>
      </w:r>
      <w:r w:rsidR="005C4F5F" w:rsidRPr="005C4F5F">
        <w:rPr>
          <w:rFonts w:ascii="Times New Roman" w:eastAsia="Times New Roman" w:hAnsi="Times New Roman" w:cs="Times New Roman"/>
          <w:sz w:val="22"/>
          <w:szCs w:val="22"/>
          <w:lang w:val="es-MX"/>
        </w:rPr>
        <w:t xml:space="preserve"> a consolidar el proceso democrático</w:t>
      </w:r>
      <w:r w:rsidR="005C4F5F">
        <w:rPr>
          <w:rFonts w:ascii="Times New Roman" w:eastAsia="Times New Roman" w:hAnsi="Times New Roman" w:cs="Times New Roman"/>
          <w:sz w:val="22"/>
          <w:szCs w:val="22"/>
          <w:lang w:val="es-MX"/>
        </w:rPr>
        <w:t xml:space="preserve"> en Guatemala. </w:t>
      </w:r>
    </w:p>
    <w:p w14:paraId="329CA923" w14:textId="3F117430" w:rsidR="0079241B" w:rsidRDefault="0079241B" w:rsidP="0039645E">
      <w:pPr>
        <w:jc w:val="both"/>
        <w:rPr>
          <w:rFonts w:ascii="Times New Roman" w:eastAsia="Times New Roman" w:hAnsi="Times New Roman" w:cs="Times New Roman"/>
          <w:sz w:val="22"/>
          <w:szCs w:val="22"/>
          <w:lang w:val="es-MX"/>
        </w:rPr>
      </w:pPr>
    </w:p>
    <w:p w14:paraId="74927A0A" w14:textId="7726946D" w:rsidR="00815113" w:rsidRDefault="00D563BD" w:rsidP="0039645E">
      <w:pPr>
        <w:jc w:val="both"/>
        <w:rPr>
          <w:rFonts w:ascii="Times New Roman" w:eastAsia="Times New Roman" w:hAnsi="Times New Roman" w:cs="Times New Roman"/>
          <w:sz w:val="22"/>
          <w:szCs w:val="22"/>
          <w:lang w:val="es-MX"/>
        </w:rPr>
      </w:pPr>
      <w:r>
        <w:rPr>
          <w:rFonts w:ascii="Times New Roman" w:eastAsia="Times New Roman" w:hAnsi="Times New Roman" w:cs="Times New Roman"/>
          <w:sz w:val="22"/>
          <w:szCs w:val="22"/>
          <w:lang w:val="es-MX"/>
        </w:rPr>
        <w:t>D</w:t>
      </w:r>
      <w:r w:rsidR="00815113">
        <w:rPr>
          <w:rFonts w:ascii="Times New Roman" w:eastAsia="Times New Roman" w:hAnsi="Times New Roman" w:cs="Times New Roman"/>
          <w:sz w:val="22"/>
          <w:szCs w:val="22"/>
          <w:lang w:val="es-MX"/>
        </w:rPr>
        <w:t>e acuerdo a la Ley de Presupuesto para el ejercicio fiscal 2023</w:t>
      </w:r>
      <w:r>
        <w:rPr>
          <w:rFonts w:ascii="Times New Roman" w:eastAsia="Times New Roman" w:hAnsi="Times New Roman" w:cs="Times New Roman"/>
          <w:sz w:val="22"/>
          <w:szCs w:val="22"/>
          <w:lang w:val="es-MX"/>
        </w:rPr>
        <w:t xml:space="preserve">, en el artículo 114 “Saldo de asignación al Tribunal Supremo Electoral” establece que los saldos de caja que provienen de la asignación adicional realizada durante el ejercicio fiscal 2022 al TSE, destinada al evento de Elecciones Generales 2023, no ejecutadas completamente en 2022, deben ser incorporados y utilizados en el presupuesto de dicho Tribunal para el mismo fin. </w:t>
      </w:r>
    </w:p>
    <w:p w14:paraId="475630CD" w14:textId="77777777" w:rsidR="00815113" w:rsidRDefault="00815113" w:rsidP="0039645E">
      <w:pPr>
        <w:jc w:val="both"/>
        <w:rPr>
          <w:rFonts w:ascii="Times New Roman" w:eastAsia="Times New Roman" w:hAnsi="Times New Roman" w:cs="Times New Roman"/>
          <w:sz w:val="22"/>
          <w:szCs w:val="22"/>
          <w:lang w:val="es-MX"/>
        </w:rPr>
      </w:pPr>
    </w:p>
    <w:p w14:paraId="1BA3326D" w14:textId="5C7C2061" w:rsidR="0079241B" w:rsidRDefault="00D563BD" w:rsidP="0039645E">
      <w:pPr>
        <w:jc w:val="both"/>
        <w:rPr>
          <w:rFonts w:ascii="Times New Roman" w:eastAsia="Times New Roman" w:hAnsi="Times New Roman" w:cs="Times New Roman"/>
          <w:sz w:val="22"/>
          <w:szCs w:val="22"/>
          <w:lang w:val="es-MX"/>
        </w:rPr>
      </w:pPr>
      <w:r>
        <w:rPr>
          <w:rFonts w:ascii="Times New Roman" w:eastAsia="Times New Roman" w:hAnsi="Times New Roman" w:cs="Times New Roman"/>
          <w:sz w:val="22"/>
          <w:szCs w:val="22"/>
          <w:lang w:val="es-MX"/>
        </w:rPr>
        <w:t>En 2023</w:t>
      </w:r>
      <w:r w:rsidR="0008689C">
        <w:rPr>
          <w:rFonts w:ascii="Times New Roman" w:eastAsia="Times New Roman" w:hAnsi="Times New Roman" w:cs="Times New Roman"/>
          <w:sz w:val="22"/>
          <w:szCs w:val="22"/>
          <w:lang w:val="es-MX"/>
        </w:rPr>
        <w:t xml:space="preserve"> </w:t>
      </w:r>
      <w:r w:rsidR="0079241B">
        <w:rPr>
          <w:rFonts w:ascii="Times New Roman" w:eastAsia="Times New Roman" w:hAnsi="Times New Roman" w:cs="Times New Roman"/>
          <w:sz w:val="22"/>
          <w:szCs w:val="22"/>
          <w:lang w:val="es-MX"/>
        </w:rPr>
        <w:t xml:space="preserve">el TSE recibió transferencias por Q1,099.0 millones desde la Administración Central, de las cuales Q800 millones correspondieron al aporte extraordinario para cubrir el tema de las elecciones generales, </w:t>
      </w:r>
      <w:r w:rsidR="00641504">
        <w:rPr>
          <w:rFonts w:ascii="Times New Roman" w:eastAsia="Times New Roman" w:hAnsi="Times New Roman" w:cs="Times New Roman"/>
          <w:sz w:val="22"/>
          <w:szCs w:val="22"/>
          <w:lang w:val="es-MX"/>
        </w:rPr>
        <w:t>Q10.7 millones para cubrir el voto en el extranjero</w:t>
      </w:r>
      <w:r>
        <w:rPr>
          <w:rFonts w:ascii="Times New Roman" w:eastAsia="Times New Roman" w:hAnsi="Times New Roman" w:cs="Times New Roman"/>
          <w:sz w:val="22"/>
          <w:szCs w:val="22"/>
          <w:lang w:val="es-MX"/>
        </w:rPr>
        <w:t xml:space="preserve"> y</w:t>
      </w:r>
      <w:r w:rsidR="00641504">
        <w:rPr>
          <w:rFonts w:ascii="Times New Roman" w:eastAsia="Times New Roman" w:hAnsi="Times New Roman" w:cs="Times New Roman"/>
          <w:sz w:val="22"/>
          <w:szCs w:val="22"/>
          <w:lang w:val="es-MX"/>
        </w:rPr>
        <w:t xml:space="preserve"> Q25.2 millones para cubrir la deuda política a favor de los partidos políticos que participaron en el evento de elecciones generales.</w:t>
      </w:r>
    </w:p>
    <w:p w14:paraId="43627607" w14:textId="7F417F5C" w:rsidR="0079241B" w:rsidRDefault="0079241B" w:rsidP="0039645E">
      <w:pPr>
        <w:jc w:val="both"/>
        <w:rPr>
          <w:rFonts w:ascii="Times New Roman" w:eastAsia="Times New Roman" w:hAnsi="Times New Roman" w:cs="Times New Roman"/>
          <w:sz w:val="22"/>
          <w:szCs w:val="22"/>
          <w:lang w:val="es-MX"/>
        </w:rPr>
      </w:pPr>
    </w:p>
    <w:p w14:paraId="0EBFF565" w14:textId="29507F55" w:rsidR="00815113" w:rsidRDefault="00815113" w:rsidP="0039645E">
      <w:pPr>
        <w:jc w:val="both"/>
        <w:rPr>
          <w:rFonts w:ascii="Times New Roman" w:eastAsia="Times New Roman" w:hAnsi="Times New Roman" w:cs="Times New Roman"/>
          <w:sz w:val="22"/>
          <w:szCs w:val="22"/>
          <w:lang w:val="es-MX"/>
        </w:rPr>
      </w:pPr>
      <w:r>
        <w:rPr>
          <w:rFonts w:ascii="Times New Roman" w:eastAsia="Times New Roman" w:hAnsi="Times New Roman" w:cs="Times New Roman"/>
          <w:sz w:val="22"/>
          <w:szCs w:val="22"/>
          <w:lang w:val="es-MX"/>
        </w:rPr>
        <w:t xml:space="preserve">Respecto a los Q47.5 millones para el desarrollo de capacidades institucionales, en la Ley de Presupuesto para el ejercicio fiscal 2023 en el artículo 120 “Ampliación de la meta de recaudación tributaria 2023” </w:t>
      </w:r>
      <w:r w:rsidR="0008689C">
        <w:rPr>
          <w:rFonts w:ascii="Times New Roman" w:eastAsia="Times New Roman" w:hAnsi="Times New Roman" w:cs="Times New Roman"/>
          <w:sz w:val="22"/>
          <w:szCs w:val="22"/>
          <w:lang w:val="es-MX"/>
        </w:rPr>
        <w:t xml:space="preserve">se </w:t>
      </w:r>
      <w:r>
        <w:rPr>
          <w:rFonts w:ascii="Times New Roman" w:eastAsia="Times New Roman" w:hAnsi="Times New Roman" w:cs="Times New Roman"/>
          <w:sz w:val="22"/>
          <w:szCs w:val="22"/>
          <w:lang w:val="es-MX"/>
        </w:rPr>
        <w:t>establec</w:t>
      </w:r>
      <w:r w:rsidR="00B36B9D">
        <w:rPr>
          <w:rFonts w:ascii="Times New Roman" w:eastAsia="Times New Roman" w:hAnsi="Times New Roman" w:cs="Times New Roman"/>
          <w:sz w:val="22"/>
          <w:szCs w:val="22"/>
          <w:lang w:val="es-MX"/>
        </w:rPr>
        <w:t>ió</w:t>
      </w:r>
      <w:r>
        <w:rPr>
          <w:rFonts w:ascii="Times New Roman" w:eastAsia="Times New Roman" w:hAnsi="Times New Roman" w:cs="Times New Roman"/>
          <w:sz w:val="22"/>
          <w:szCs w:val="22"/>
          <w:lang w:val="es-MX"/>
        </w:rPr>
        <w:t xml:space="preserve"> que </w:t>
      </w:r>
      <w:r w:rsidR="00D563BD">
        <w:rPr>
          <w:rFonts w:ascii="Times New Roman" w:eastAsia="Times New Roman" w:hAnsi="Times New Roman" w:cs="Times New Roman"/>
          <w:sz w:val="22"/>
          <w:szCs w:val="22"/>
          <w:lang w:val="es-MX"/>
        </w:rPr>
        <w:t>el</w:t>
      </w:r>
      <w:r>
        <w:rPr>
          <w:rFonts w:ascii="Times New Roman" w:eastAsia="Times New Roman" w:hAnsi="Times New Roman" w:cs="Times New Roman"/>
          <w:sz w:val="22"/>
          <w:szCs w:val="22"/>
          <w:lang w:val="es-MX"/>
        </w:rPr>
        <w:t xml:space="preserve"> monto adicional de recaudación </w:t>
      </w:r>
      <w:r w:rsidR="00D563BD">
        <w:rPr>
          <w:rFonts w:ascii="Times New Roman" w:eastAsia="Times New Roman" w:hAnsi="Times New Roman" w:cs="Times New Roman"/>
          <w:sz w:val="22"/>
          <w:szCs w:val="22"/>
          <w:lang w:val="es-MX"/>
        </w:rPr>
        <w:t>s</w:t>
      </w:r>
      <w:r>
        <w:rPr>
          <w:rFonts w:ascii="Times New Roman" w:eastAsia="Times New Roman" w:hAnsi="Times New Roman" w:cs="Times New Roman"/>
          <w:sz w:val="22"/>
          <w:szCs w:val="22"/>
          <w:lang w:val="es-MX"/>
        </w:rPr>
        <w:t>e destinar</w:t>
      </w:r>
      <w:r w:rsidR="00B36B9D">
        <w:rPr>
          <w:rFonts w:ascii="Times New Roman" w:eastAsia="Times New Roman" w:hAnsi="Times New Roman" w:cs="Times New Roman"/>
          <w:sz w:val="22"/>
          <w:szCs w:val="22"/>
          <w:lang w:val="es-MX"/>
        </w:rPr>
        <w:t>í</w:t>
      </w:r>
      <w:r>
        <w:rPr>
          <w:rFonts w:ascii="Times New Roman" w:eastAsia="Times New Roman" w:hAnsi="Times New Roman" w:cs="Times New Roman"/>
          <w:sz w:val="22"/>
          <w:szCs w:val="22"/>
          <w:lang w:val="es-MX"/>
        </w:rPr>
        <w:t xml:space="preserve">a al desarrollo de capacidades institucionales de varias instituciones públicas, siendo una de las beneficiadas el TSE con un presupuesto de Q50 millones asociado al desarrollo de nuevas </w:t>
      </w:r>
      <w:r w:rsidR="00D563BD">
        <w:rPr>
          <w:rFonts w:ascii="Times New Roman" w:eastAsia="Times New Roman" w:hAnsi="Times New Roman" w:cs="Times New Roman"/>
          <w:sz w:val="22"/>
          <w:szCs w:val="22"/>
          <w:lang w:val="es-MX"/>
        </w:rPr>
        <w:t>capacidades</w:t>
      </w:r>
      <w:r>
        <w:rPr>
          <w:rFonts w:ascii="Times New Roman" w:eastAsia="Times New Roman" w:hAnsi="Times New Roman" w:cs="Times New Roman"/>
          <w:sz w:val="22"/>
          <w:szCs w:val="22"/>
          <w:lang w:val="es-MX"/>
        </w:rPr>
        <w:t xml:space="preserve"> en virtud del proceso de elecciones generales 2023.</w:t>
      </w:r>
    </w:p>
    <w:p w14:paraId="2356CE2A" w14:textId="59B361AF" w:rsidR="0079241B" w:rsidRDefault="0079241B" w:rsidP="0039645E">
      <w:pPr>
        <w:jc w:val="both"/>
        <w:rPr>
          <w:rFonts w:ascii="Times New Roman" w:eastAsia="Times New Roman" w:hAnsi="Times New Roman" w:cs="Times New Roman"/>
          <w:sz w:val="22"/>
          <w:szCs w:val="22"/>
          <w:lang w:val="es-MX"/>
        </w:rPr>
      </w:pPr>
    </w:p>
    <w:p w14:paraId="51B76C96" w14:textId="0FC1BD65" w:rsidR="00815113" w:rsidRDefault="00815113" w:rsidP="0039645E">
      <w:pPr>
        <w:jc w:val="both"/>
        <w:rPr>
          <w:rFonts w:ascii="Times New Roman" w:eastAsia="Times New Roman" w:hAnsi="Times New Roman" w:cs="Times New Roman"/>
          <w:sz w:val="22"/>
          <w:szCs w:val="22"/>
          <w:lang w:val="es-MX"/>
        </w:rPr>
      </w:pPr>
      <w:r>
        <w:rPr>
          <w:rFonts w:ascii="Times New Roman" w:eastAsia="Times New Roman" w:hAnsi="Times New Roman" w:cs="Times New Roman"/>
          <w:sz w:val="22"/>
          <w:szCs w:val="22"/>
          <w:lang w:val="es-MX"/>
        </w:rPr>
        <w:lastRenderedPageBreak/>
        <w:t>Por último,</w:t>
      </w:r>
      <w:r w:rsidR="00D563BD">
        <w:rPr>
          <w:rFonts w:ascii="Times New Roman" w:eastAsia="Times New Roman" w:hAnsi="Times New Roman" w:cs="Times New Roman"/>
          <w:sz w:val="22"/>
          <w:szCs w:val="22"/>
          <w:lang w:val="es-MX"/>
        </w:rPr>
        <w:t xml:space="preserve"> el TSE</w:t>
      </w:r>
      <w:r>
        <w:rPr>
          <w:rFonts w:ascii="Times New Roman" w:eastAsia="Times New Roman" w:hAnsi="Times New Roman" w:cs="Times New Roman"/>
          <w:sz w:val="22"/>
          <w:szCs w:val="22"/>
          <w:lang w:val="es-MX"/>
        </w:rPr>
        <w:t xml:space="preserve"> recibió Q215.6 millones correspondientes al aporte de funcionamiento que es recurrente</w:t>
      </w:r>
      <w:r w:rsidR="00B102FA">
        <w:rPr>
          <w:rFonts w:ascii="Times New Roman" w:eastAsia="Times New Roman" w:hAnsi="Times New Roman" w:cs="Times New Roman"/>
          <w:sz w:val="22"/>
          <w:szCs w:val="22"/>
          <w:lang w:val="es-MX"/>
        </w:rPr>
        <w:t xml:space="preserve"> para todos los ejercicios.</w:t>
      </w:r>
    </w:p>
    <w:p w14:paraId="79B8CA97" w14:textId="07A1C96B" w:rsidR="00815113" w:rsidRDefault="00815113" w:rsidP="0039645E">
      <w:pPr>
        <w:jc w:val="both"/>
        <w:rPr>
          <w:rFonts w:ascii="Times New Roman" w:eastAsia="Times New Roman" w:hAnsi="Times New Roman" w:cs="Times New Roman"/>
          <w:sz w:val="22"/>
          <w:szCs w:val="22"/>
          <w:lang w:val="es-MX"/>
        </w:rPr>
      </w:pPr>
    </w:p>
    <w:p w14:paraId="75642108" w14:textId="77777777" w:rsidR="00111633" w:rsidRDefault="00111633" w:rsidP="0039645E">
      <w:pPr>
        <w:jc w:val="both"/>
        <w:rPr>
          <w:rFonts w:ascii="Times New Roman" w:eastAsia="Times New Roman" w:hAnsi="Times New Roman" w:cs="Times New Roman"/>
          <w:sz w:val="22"/>
          <w:szCs w:val="22"/>
          <w:lang w:val="es-MX"/>
        </w:rPr>
      </w:pPr>
    </w:p>
    <w:p w14:paraId="040556AE" w14:textId="3687079C" w:rsidR="0079241B" w:rsidRPr="00DA2AB6" w:rsidRDefault="00DA2AB6" w:rsidP="00DA2AB6">
      <w:pPr>
        <w:pStyle w:val="Descripcin"/>
        <w:keepNext/>
        <w:spacing w:after="0"/>
        <w:jc w:val="center"/>
        <w:rPr>
          <w:sz w:val="22"/>
          <w:szCs w:val="22"/>
        </w:rPr>
      </w:pPr>
      <w:bookmarkStart w:id="51" w:name="_Toc160196916"/>
      <w:r w:rsidRPr="00DA2AB6">
        <w:rPr>
          <w:sz w:val="22"/>
          <w:szCs w:val="22"/>
        </w:rPr>
        <w:t xml:space="preserve">Tabla </w:t>
      </w:r>
      <w:r w:rsidRPr="00DA2AB6">
        <w:rPr>
          <w:sz w:val="22"/>
          <w:szCs w:val="22"/>
        </w:rPr>
        <w:fldChar w:fldCharType="begin"/>
      </w:r>
      <w:r w:rsidRPr="00DA2AB6">
        <w:rPr>
          <w:sz w:val="22"/>
          <w:szCs w:val="22"/>
        </w:rPr>
        <w:instrText xml:space="preserve"> SEQ Tabla \* ARABIC </w:instrText>
      </w:r>
      <w:r w:rsidRPr="00DA2AB6">
        <w:rPr>
          <w:sz w:val="22"/>
          <w:szCs w:val="22"/>
        </w:rPr>
        <w:fldChar w:fldCharType="separate"/>
      </w:r>
      <w:r w:rsidR="00C015DC">
        <w:rPr>
          <w:noProof/>
          <w:sz w:val="22"/>
          <w:szCs w:val="22"/>
        </w:rPr>
        <w:t>1</w:t>
      </w:r>
      <w:r w:rsidRPr="00DA2AB6">
        <w:rPr>
          <w:sz w:val="22"/>
          <w:szCs w:val="22"/>
        </w:rPr>
        <w:fldChar w:fldCharType="end"/>
      </w:r>
      <w:r>
        <w:rPr>
          <w:sz w:val="22"/>
          <w:szCs w:val="22"/>
        </w:rPr>
        <w:t xml:space="preserve">.  </w:t>
      </w:r>
      <w:r w:rsidR="0079241B">
        <w:rPr>
          <w:rFonts w:eastAsia="Times New Roman" w:cs="Times New Roman"/>
          <w:sz w:val="22"/>
          <w:szCs w:val="22"/>
        </w:rPr>
        <w:t>Transferencias al Tribunal Supremo Electoral</w:t>
      </w:r>
      <w:bookmarkEnd w:id="51"/>
    </w:p>
    <w:p w14:paraId="5BDAFC5E" w14:textId="35F6C1B5" w:rsidR="0079241B" w:rsidRPr="0079241B" w:rsidRDefault="0079241B" w:rsidP="0079241B">
      <w:pPr>
        <w:jc w:val="center"/>
        <w:rPr>
          <w:rFonts w:ascii="Times New Roman" w:eastAsia="Times New Roman" w:hAnsi="Times New Roman" w:cs="Times New Roman"/>
          <w:bCs/>
          <w:sz w:val="20"/>
          <w:szCs w:val="20"/>
        </w:rPr>
      </w:pPr>
      <w:r w:rsidRPr="0079241B">
        <w:rPr>
          <w:rFonts w:ascii="Times New Roman" w:eastAsia="Times New Roman" w:hAnsi="Times New Roman" w:cs="Times New Roman"/>
          <w:bCs/>
          <w:sz w:val="20"/>
          <w:szCs w:val="20"/>
        </w:rPr>
        <w:t>Ejercicio 2023</w:t>
      </w:r>
    </w:p>
    <w:p w14:paraId="5671FF5D" w14:textId="0DD832D7" w:rsidR="0079241B" w:rsidRPr="0079241B" w:rsidRDefault="0079241B" w:rsidP="0079241B">
      <w:pPr>
        <w:jc w:val="center"/>
        <w:rPr>
          <w:rFonts w:ascii="Times New Roman" w:eastAsia="Times New Roman" w:hAnsi="Times New Roman" w:cs="Times New Roman"/>
          <w:bCs/>
          <w:sz w:val="20"/>
          <w:szCs w:val="20"/>
        </w:rPr>
      </w:pPr>
      <w:r w:rsidRPr="0079241B">
        <w:rPr>
          <w:rFonts w:ascii="Times New Roman" w:eastAsia="Times New Roman" w:hAnsi="Times New Roman" w:cs="Times New Roman"/>
          <w:bCs/>
          <w:sz w:val="20"/>
          <w:szCs w:val="20"/>
        </w:rPr>
        <w:t>Cifras en millones de quetzales</w:t>
      </w:r>
    </w:p>
    <w:tbl>
      <w:tblPr>
        <w:tblW w:w="6900" w:type="dxa"/>
        <w:jc w:val="center"/>
        <w:tblCellMar>
          <w:left w:w="70" w:type="dxa"/>
          <w:right w:w="70" w:type="dxa"/>
        </w:tblCellMar>
        <w:tblLook w:val="04A0" w:firstRow="1" w:lastRow="0" w:firstColumn="1" w:lastColumn="0" w:noHBand="0" w:noVBand="1"/>
      </w:tblPr>
      <w:tblGrid>
        <w:gridCol w:w="5700"/>
        <w:gridCol w:w="1200"/>
      </w:tblGrid>
      <w:tr w:rsidR="0079241B" w:rsidRPr="0079241B" w14:paraId="462DED89" w14:textId="77777777" w:rsidTr="0079241B">
        <w:trPr>
          <w:trHeight w:val="330"/>
          <w:jc w:val="center"/>
        </w:trPr>
        <w:tc>
          <w:tcPr>
            <w:tcW w:w="5700" w:type="dxa"/>
            <w:tcBorders>
              <w:top w:val="single" w:sz="8" w:space="0" w:color="auto"/>
              <w:left w:val="single" w:sz="8" w:space="0" w:color="auto"/>
              <w:bottom w:val="single" w:sz="8" w:space="0" w:color="auto"/>
              <w:right w:val="single" w:sz="4" w:space="0" w:color="auto"/>
            </w:tcBorders>
            <w:shd w:val="clear" w:color="000000" w:fill="1F4E78"/>
            <w:noWrap/>
            <w:vAlign w:val="bottom"/>
            <w:hideMark/>
          </w:tcPr>
          <w:p w14:paraId="243D07FE" w14:textId="77777777" w:rsidR="0079241B" w:rsidRPr="0079241B" w:rsidRDefault="0079241B" w:rsidP="0079241B">
            <w:pPr>
              <w:jc w:val="center"/>
              <w:rPr>
                <w:rFonts w:ascii="Times New Roman" w:eastAsia="Times New Roman" w:hAnsi="Times New Roman" w:cs="Times New Roman"/>
                <w:b/>
                <w:bCs/>
                <w:color w:val="FFFFFF"/>
                <w:sz w:val="22"/>
                <w:szCs w:val="22"/>
                <w:lang w:eastAsia="es-GT"/>
              </w:rPr>
            </w:pPr>
            <w:r w:rsidRPr="0079241B">
              <w:rPr>
                <w:rFonts w:ascii="Times New Roman" w:eastAsia="Times New Roman" w:hAnsi="Times New Roman" w:cs="Times New Roman"/>
                <w:b/>
                <w:bCs/>
                <w:color w:val="FFFFFF"/>
                <w:sz w:val="22"/>
                <w:szCs w:val="22"/>
                <w:lang w:eastAsia="es-GT"/>
              </w:rPr>
              <w:t>Concepto</w:t>
            </w:r>
          </w:p>
        </w:tc>
        <w:tc>
          <w:tcPr>
            <w:tcW w:w="1200" w:type="dxa"/>
            <w:tcBorders>
              <w:top w:val="single" w:sz="8" w:space="0" w:color="auto"/>
              <w:left w:val="nil"/>
              <w:bottom w:val="single" w:sz="8" w:space="0" w:color="auto"/>
              <w:right w:val="single" w:sz="8" w:space="0" w:color="auto"/>
            </w:tcBorders>
            <w:shd w:val="clear" w:color="000000" w:fill="1F4E78"/>
            <w:noWrap/>
            <w:vAlign w:val="bottom"/>
            <w:hideMark/>
          </w:tcPr>
          <w:p w14:paraId="546873C3" w14:textId="77777777" w:rsidR="0079241B" w:rsidRPr="0079241B" w:rsidRDefault="0079241B" w:rsidP="0079241B">
            <w:pPr>
              <w:jc w:val="center"/>
              <w:rPr>
                <w:rFonts w:ascii="Times New Roman" w:eastAsia="Times New Roman" w:hAnsi="Times New Roman" w:cs="Times New Roman"/>
                <w:b/>
                <w:bCs/>
                <w:color w:val="FFFFFF"/>
                <w:sz w:val="22"/>
                <w:szCs w:val="22"/>
                <w:lang w:eastAsia="es-GT"/>
              </w:rPr>
            </w:pPr>
            <w:r w:rsidRPr="0079241B">
              <w:rPr>
                <w:rFonts w:ascii="Times New Roman" w:eastAsia="Times New Roman" w:hAnsi="Times New Roman" w:cs="Times New Roman"/>
                <w:b/>
                <w:bCs/>
                <w:color w:val="FFFFFF"/>
                <w:sz w:val="22"/>
                <w:szCs w:val="22"/>
                <w:lang w:eastAsia="es-GT"/>
              </w:rPr>
              <w:t>Monto</w:t>
            </w:r>
          </w:p>
        </w:tc>
      </w:tr>
      <w:tr w:rsidR="0079241B" w:rsidRPr="0079241B" w14:paraId="038B71E3" w14:textId="77777777" w:rsidTr="0079241B">
        <w:trPr>
          <w:trHeight w:val="315"/>
          <w:jc w:val="center"/>
        </w:trPr>
        <w:tc>
          <w:tcPr>
            <w:tcW w:w="5700" w:type="dxa"/>
            <w:tcBorders>
              <w:top w:val="nil"/>
              <w:left w:val="single" w:sz="8" w:space="0" w:color="auto"/>
              <w:bottom w:val="single" w:sz="4" w:space="0" w:color="auto"/>
              <w:right w:val="single" w:sz="4" w:space="0" w:color="auto"/>
            </w:tcBorders>
            <w:shd w:val="clear" w:color="auto" w:fill="auto"/>
            <w:noWrap/>
            <w:vAlign w:val="bottom"/>
            <w:hideMark/>
          </w:tcPr>
          <w:p w14:paraId="6AFE779C" w14:textId="77777777" w:rsidR="0079241B" w:rsidRPr="0079241B" w:rsidRDefault="0079241B" w:rsidP="0079241B">
            <w:pPr>
              <w:rPr>
                <w:rFonts w:ascii="Times New Roman" w:eastAsia="Times New Roman" w:hAnsi="Times New Roman" w:cs="Times New Roman"/>
                <w:color w:val="000000"/>
                <w:sz w:val="22"/>
                <w:szCs w:val="22"/>
                <w:lang w:eastAsia="es-GT"/>
              </w:rPr>
            </w:pPr>
            <w:r w:rsidRPr="0079241B">
              <w:rPr>
                <w:rFonts w:ascii="Times New Roman" w:eastAsia="Times New Roman" w:hAnsi="Times New Roman" w:cs="Times New Roman"/>
                <w:color w:val="000000"/>
                <w:sz w:val="22"/>
                <w:szCs w:val="22"/>
                <w:lang w:eastAsia="es-GT"/>
              </w:rPr>
              <w:t>Deuda Política</w:t>
            </w:r>
          </w:p>
        </w:tc>
        <w:tc>
          <w:tcPr>
            <w:tcW w:w="1200" w:type="dxa"/>
            <w:tcBorders>
              <w:top w:val="nil"/>
              <w:left w:val="nil"/>
              <w:bottom w:val="single" w:sz="4" w:space="0" w:color="auto"/>
              <w:right w:val="single" w:sz="8" w:space="0" w:color="auto"/>
            </w:tcBorders>
            <w:shd w:val="clear" w:color="auto" w:fill="auto"/>
            <w:noWrap/>
            <w:vAlign w:val="center"/>
            <w:hideMark/>
          </w:tcPr>
          <w:p w14:paraId="3F3F8984" w14:textId="77777777" w:rsidR="0079241B" w:rsidRPr="0079241B" w:rsidRDefault="0079241B" w:rsidP="0079241B">
            <w:pPr>
              <w:jc w:val="center"/>
              <w:rPr>
                <w:rFonts w:ascii="Times New Roman" w:eastAsia="Times New Roman" w:hAnsi="Times New Roman" w:cs="Times New Roman"/>
                <w:color w:val="000000"/>
                <w:sz w:val="22"/>
                <w:szCs w:val="22"/>
                <w:lang w:eastAsia="es-GT"/>
              </w:rPr>
            </w:pPr>
            <w:r w:rsidRPr="0079241B">
              <w:rPr>
                <w:rFonts w:ascii="Times New Roman" w:eastAsia="Times New Roman" w:hAnsi="Times New Roman" w:cs="Times New Roman"/>
                <w:color w:val="000000"/>
                <w:sz w:val="22"/>
                <w:szCs w:val="22"/>
                <w:lang w:eastAsia="es-GT"/>
              </w:rPr>
              <w:t>25.2</w:t>
            </w:r>
          </w:p>
        </w:tc>
      </w:tr>
      <w:tr w:rsidR="0079241B" w:rsidRPr="0079241B" w14:paraId="75A43392" w14:textId="77777777" w:rsidTr="0079241B">
        <w:trPr>
          <w:trHeight w:val="315"/>
          <w:jc w:val="center"/>
        </w:trPr>
        <w:tc>
          <w:tcPr>
            <w:tcW w:w="5700" w:type="dxa"/>
            <w:tcBorders>
              <w:top w:val="nil"/>
              <w:left w:val="single" w:sz="8" w:space="0" w:color="auto"/>
              <w:bottom w:val="single" w:sz="4" w:space="0" w:color="auto"/>
              <w:right w:val="single" w:sz="4" w:space="0" w:color="auto"/>
            </w:tcBorders>
            <w:shd w:val="clear" w:color="auto" w:fill="auto"/>
            <w:noWrap/>
            <w:vAlign w:val="bottom"/>
            <w:hideMark/>
          </w:tcPr>
          <w:p w14:paraId="179CB848" w14:textId="77777777" w:rsidR="0079241B" w:rsidRPr="0079241B" w:rsidRDefault="0079241B" w:rsidP="0079241B">
            <w:pPr>
              <w:rPr>
                <w:rFonts w:ascii="Times New Roman" w:eastAsia="Times New Roman" w:hAnsi="Times New Roman" w:cs="Times New Roman"/>
                <w:color w:val="000000"/>
                <w:sz w:val="22"/>
                <w:szCs w:val="22"/>
                <w:lang w:eastAsia="es-GT"/>
              </w:rPr>
            </w:pPr>
            <w:r w:rsidRPr="0079241B">
              <w:rPr>
                <w:rFonts w:ascii="Times New Roman" w:eastAsia="Times New Roman" w:hAnsi="Times New Roman" w:cs="Times New Roman"/>
                <w:color w:val="000000"/>
                <w:sz w:val="22"/>
                <w:szCs w:val="22"/>
                <w:lang w:eastAsia="es-GT"/>
              </w:rPr>
              <w:t>Aporte extraordinario TSE</w:t>
            </w:r>
          </w:p>
        </w:tc>
        <w:tc>
          <w:tcPr>
            <w:tcW w:w="1200" w:type="dxa"/>
            <w:tcBorders>
              <w:top w:val="nil"/>
              <w:left w:val="nil"/>
              <w:bottom w:val="single" w:sz="4" w:space="0" w:color="auto"/>
              <w:right w:val="single" w:sz="8" w:space="0" w:color="auto"/>
            </w:tcBorders>
            <w:shd w:val="clear" w:color="auto" w:fill="auto"/>
            <w:noWrap/>
            <w:vAlign w:val="center"/>
            <w:hideMark/>
          </w:tcPr>
          <w:p w14:paraId="72565913" w14:textId="77777777" w:rsidR="0079241B" w:rsidRPr="0079241B" w:rsidRDefault="0079241B" w:rsidP="0079241B">
            <w:pPr>
              <w:jc w:val="center"/>
              <w:rPr>
                <w:rFonts w:ascii="Times New Roman" w:eastAsia="Times New Roman" w:hAnsi="Times New Roman" w:cs="Times New Roman"/>
                <w:color w:val="000000"/>
                <w:sz w:val="22"/>
                <w:szCs w:val="22"/>
                <w:lang w:eastAsia="es-GT"/>
              </w:rPr>
            </w:pPr>
            <w:r w:rsidRPr="0079241B">
              <w:rPr>
                <w:rFonts w:ascii="Times New Roman" w:eastAsia="Times New Roman" w:hAnsi="Times New Roman" w:cs="Times New Roman"/>
                <w:color w:val="000000"/>
                <w:sz w:val="22"/>
                <w:szCs w:val="22"/>
                <w:lang w:eastAsia="es-GT"/>
              </w:rPr>
              <w:t>800.0</w:t>
            </w:r>
          </w:p>
        </w:tc>
      </w:tr>
      <w:tr w:rsidR="0079241B" w:rsidRPr="0079241B" w14:paraId="1B6DF8CD" w14:textId="77777777" w:rsidTr="0079241B">
        <w:trPr>
          <w:trHeight w:val="315"/>
          <w:jc w:val="center"/>
        </w:trPr>
        <w:tc>
          <w:tcPr>
            <w:tcW w:w="5700" w:type="dxa"/>
            <w:tcBorders>
              <w:top w:val="nil"/>
              <w:left w:val="single" w:sz="8" w:space="0" w:color="auto"/>
              <w:bottom w:val="single" w:sz="4" w:space="0" w:color="auto"/>
              <w:right w:val="single" w:sz="4" w:space="0" w:color="auto"/>
            </w:tcBorders>
            <w:shd w:val="clear" w:color="auto" w:fill="auto"/>
            <w:noWrap/>
            <w:vAlign w:val="bottom"/>
            <w:hideMark/>
          </w:tcPr>
          <w:p w14:paraId="375B6A0A" w14:textId="77777777" w:rsidR="0079241B" w:rsidRPr="0079241B" w:rsidRDefault="0079241B" w:rsidP="0079241B">
            <w:pPr>
              <w:rPr>
                <w:rFonts w:ascii="Times New Roman" w:eastAsia="Times New Roman" w:hAnsi="Times New Roman" w:cs="Times New Roman"/>
                <w:color w:val="000000"/>
                <w:sz w:val="22"/>
                <w:szCs w:val="22"/>
                <w:lang w:eastAsia="es-GT"/>
              </w:rPr>
            </w:pPr>
            <w:r w:rsidRPr="0079241B">
              <w:rPr>
                <w:rFonts w:ascii="Times New Roman" w:eastAsia="Times New Roman" w:hAnsi="Times New Roman" w:cs="Times New Roman"/>
                <w:color w:val="000000"/>
                <w:sz w:val="22"/>
                <w:szCs w:val="22"/>
                <w:lang w:eastAsia="es-GT"/>
              </w:rPr>
              <w:t>Aporte del voto en el extranjero</w:t>
            </w:r>
          </w:p>
        </w:tc>
        <w:tc>
          <w:tcPr>
            <w:tcW w:w="1200" w:type="dxa"/>
            <w:tcBorders>
              <w:top w:val="nil"/>
              <w:left w:val="nil"/>
              <w:bottom w:val="single" w:sz="4" w:space="0" w:color="auto"/>
              <w:right w:val="single" w:sz="8" w:space="0" w:color="auto"/>
            </w:tcBorders>
            <w:shd w:val="clear" w:color="auto" w:fill="auto"/>
            <w:noWrap/>
            <w:vAlign w:val="center"/>
            <w:hideMark/>
          </w:tcPr>
          <w:p w14:paraId="48FFE12B" w14:textId="77777777" w:rsidR="0079241B" w:rsidRPr="0079241B" w:rsidRDefault="0079241B" w:rsidP="0079241B">
            <w:pPr>
              <w:jc w:val="center"/>
              <w:rPr>
                <w:rFonts w:ascii="Times New Roman" w:eastAsia="Times New Roman" w:hAnsi="Times New Roman" w:cs="Times New Roman"/>
                <w:color w:val="000000"/>
                <w:sz w:val="22"/>
                <w:szCs w:val="22"/>
                <w:lang w:eastAsia="es-GT"/>
              </w:rPr>
            </w:pPr>
            <w:r w:rsidRPr="0079241B">
              <w:rPr>
                <w:rFonts w:ascii="Times New Roman" w:eastAsia="Times New Roman" w:hAnsi="Times New Roman" w:cs="Times New Roman"/>
                <w:color w:val="000000"/>
                <w:sz w:val="22"/>
                <w:szCs w:val="22"/>
                <w:lang w:eastAsia="es-GT"/>
              </w:rPr>
              <w:t>10.7</w:t>
            </w:r>
          </w:p>
        </w:tc>
      </w:tr>
      <w:tr w:rsidR="0079241B" w:rsidRPr="0079241B" w14:paraId="25E41B87" w14:textId="77777777" w:rsidTr="0079241B">
        <w:trPr>
          <w:trHeight w:val="630"/>
          <w:jc w:val="center"/>
        </w:trPr>
        <w:tc>
          <w:tcPr>
            <w:tcW w:w="5700" w:type="dxa"/>
            <w:tcBorders>
              <w:top w:val="nil"/>
              <w:left w:val="single" w:sz="8" w:space="0" w:color="auto"/>
              <w:bottom w:val="single" w:sz="4" w:space="0" w:color="auto"/>
              <w:right w:val="single" w:sz="4" w:space="0" w:color="auto"/>
            </w:tcBorders>
            <w:shd w:val="clear" w:color="auto" w:fill="auto"/>
            <w:vAlign w:val="bottom"/>
            <w:hideMark/>
          </w:tcPr>
          <w:p w14:paraId="64EEA391" w14:textId="77777777" w:rsidR="0079241B" w:rsidRPr="0079241B" w:rsidRDefault="0079241B" w:rsidP="0079241B">
            <w:pPr>
              <w:rPr>
                <w:rFonts w:ascii="Times New Roman" w:eastAsia="Times New Roman" w:hAnsi="Times New Roman" w:cs="Times New Roman"/>
                <w:color w:val="000000"/>
                <w:sz w:val="22"/>
                <w:szCs w:val="22"/>
                <w:lang w:eastAsia="es-GT"/>
              </w:rPr>
            </w:pPr>
            <w:r w:rsidRPr="0079241B">
              <w:rPr>
                <w:rFonts w:ascii="Times New Roman" w:eastAsia="Times New Roman" w:hAnsi="Times New Roman" w:cs="Times New Roman"/>
                <w:color w:val="000000"/>
                <w:sz w:val="22"/>
                <w:szCs w:val="22"/>
                <w:lang w:eastAsia="es-GT"/>
              </w:rPr>
              <w:t>Aporte de funcionamiento para el desarrollo de capacidades institucionales</w:t>
            </w:r>
          </w:p>
        </w:tc>
        <w:tc>
          <w:tcPr>
            <w:tcW w:w="1200" w:type="dxa"/>
            <w:tcBorders>
              <w:top w:val="nil"/>
              <w:left w:val="nil"/>
              <w:bottom w:val="single" w:sz="4" w:space="0" w:color="auto"/>
              <w:right w:val="single" w:sz="8" w:space="0" w:color="auto"/>
            </w:tcBorders>
            <w:shd w:val="clear" w:color="auto" w:fill="auto"/>
            <w:noWrap/>
            <w:vAlign w:val="center"/>
            <w:hideMark/>
          </w:tcPr>
          <w:p w14:paraId="3205DC60" w14:textId="77777777" w:rsidR="0079241B" w:rsidRPr="0079241B" w:rsidRDefault="0079241B" w:rsidP="0079241B">
            <w:pPr>
              <w:jc w:val="center"/>
              <w:rPr>
                <w:rFonts w:ascii="Times New Roman" w:eastAsia="Times New Roman" w:hAnsi="Times New Roman" w:cs="Times New Roman"/>
                <w:color w:val="000000"/>
                <w:sz w:val="22"/>
                <w:szCs w:val="22"/>
                <w:lang w:eastAsia="es-GT"/>
              </w:rPr>
            </w:pPr>
            <w:r w:rsidRPr="0079241B">
              <w:rPr>
                <w:rFonts w:ascii="Times New Roman" w:eastAsia="Times New Roman" w:hAnsi="Times New Roman" w:cs="Times New Roman"/>
                <w:color w:val="000000"/>
                <w:sz w:val="22"/>
                <w:szCs w:val="22"/>
                <w:lang w:eastAsia="es-GT"/>
              </w:rPr>
              <w:t>47.5</w:t>
            </w:r>
          </w:p>
        </w:tc>
      </w:tr>
      <w:tr w:rsidR="0079241B" w:rsidRPr="0079241B" w14:paraId="31CEDB7D" w14:textId="77777777" w:rsidTr="0079241B">
        <w:trPr>
          <w:trHeight w:val="330"/>
          <w:jc w:val="center"/>
        </w:trPr>
        <w:tc>
          <w:tcPr>
            <w:tcW w:w="5700" w:type="dxa"/>
            <w:tcBorders>
              <w:top w:val="nil"/>
              <w:left w:val="single" w:sz="8" w:space="0" w:color="auto"/>
              <w:bottom w:val="nil"/>
              <w:right w:val="single" w:sz="4" w:space="0" w:color="auto"/>
            </w:tcBorders>
            <w:shd w:val="clear" w:color="auto" w:fill="auto"/>
            <w:noWrap/>
            <w:vAlign w:val="bottom"/>
            <w:hideMark/>
          </w:tcPr>
          <w:p w14:paraId="3B00DCEA" w14:textId="77777777" w:rsidR="0079241B" w:rsidRPr="0079241B" w:rsidRDefault="0079241B" w:rsidP="0079241B">
            <w:pPr>
              <w:rPr>
                <w:rFonts w:ascii="Times New Roman" w:eastAsia="Times New Roman" w:hAnsi="Times New Roman" w:cs="Times New Roman"/>
                <w:color w:val="000000"/>
                <w:sz w:val="22"/>
                <w:szCs w:val="22"/>
                <w:lang w:eastAsia="es-GT"/>
              </w:rPr>
            </w:pPr>
            <w:r w:rsidRPr="0079241B">
              <w:rPr>
                <w:rFonts w:ascii="Times New Roman" w:eastAsia="Times New Roman" w:hAnsi="Times New Roman" w:cs="Times New Roman"/>
                <w:color w:val="000000"/>
                <w:sz w:val="22"/>
                <w:szCs w:val="22"/>
                <w:lang w:eastAsia="es-GT"/>
              </w:rPr>
              <w:t>Aporte de funcionamiento TSE</w:t>
            </w:r>
          </w:p>
        </w:tc>
        <w:tc>
          <w:tcPr>
            <w:tcW w:w="1200" w:type="dxa"/>
            <w:tcBorders>
              <w:top w:val="nil"/>
              <w:left w:val="nil"/>
              <w:bottom w:val="nil"/>
              <w:right w:val="single" w:sz="8" w:space="0" w:color="auto"/>
            </w:tcBorders>
            <w:shd w:val="clear" w:color="auto" w:fill="auto"/>
            <w:noWrap/>
            <w:vAlign w:val="center"/>
            <w:hideMark/>
          </w:tcPr>
          <w:p w14:paraId="2B27D2CD" w14:textId="77777777" w:rsidR="0079241B" w:rsidRPr="0079241B" w:rsidRDefault="0079241B" w:rsidP="0079241B">
            <w:pPr>
              <w:jc w:val="center"/>
              <w:rPr>
                <w:rFonts w:ascii="Times New Roman" w:eastAsia="Times New Roman" w:hAnsi="Times New Roman" w:cs="Times New Roman"/>
                <w:color w:val="000000"/>
                <w:sz w:val="22"/>
                <w:szCs w:val="22"/>
                <w:lang w:eastAsia="es-GT"/>
              </w:rPr>
            </w:pPr>
            <w:r w:rsidRPr="0079241B">
              <w:rPr>
                <w:rFonts w:ascii="Times New Roman" w:eastAsia="Times New Roman" w:hAnsi="Times New Roman" w:cs="Times New Roman"/>
                <w:color w:val="000000"/>
                <w:sz w:val="22"/>
                <w:szCs w:val="22"/>
                <w:lang w:eastAsia="es-GT"/>
              </w:rPr>
              <w:t>215.6</w:t>
            </w:r>
          </w:p>
        </w:tc>
      </w:tr>
      <w:tr w:rsidR="0079241B" w:rsidRPr="0079241B" w14:paraId="1CFE96EF" w14:textId="77777777" w:rsidTr="0079241B">
        <w:trPr>
          <w:trHeight w:val="330"/>
          <w:jc w:val="center"/>
        </w:trPr>
        <w:tc>
          <w:tcPr>
            <w:tcW w:w="5700" w:type="dxa"/>
            <w:tcBorders>
              <w:top w:val="single" w:sz="8" w:space="0" w:color="auto"/>
              <w:left w:val="single" w:sz="8" w:space="0" w:color="auto"/>
              <w:bottom w:val="single" w:sz="8" w:space="0" w:color="auto"/>
              <w:right w:val="single" w:sz="4" w:space="0" w:color="auto"/>
            </w:tcBorders>
            <w:shd w:val="clear" w:color="000000" w:fill="1F4E78"/>
            <w:noWrap/>
            <w:vAlign w:val="bottom"/>
            <w:hideMark/>
          </w:tcPr>
          <w:p w14:paraId="67C71C28" w14:textId="77777777" w:rsidR="0079241B" w:rsidRPr="0079241B" w:rsidRDefault="0079241B" w:rsidP="0079241B">
            <w:pPr>
              <w:rPr>
                <w:rFonts w:ascii="Times New Roman" w:eastAsia="Times New Roman" w:hAnsi="Times New Roman" w:cs="Times New Roman"/>
                <w:b/>
                <w:bCs/>
                <w:color w:val="FFFFFF"/>
                <w:sz w:val="22"/>
                <w:szCs w:val="22"/>
                <w:lang w:eastAsia="es-GT"/>
              </w:rPr>
            </w:pPr>
            <w:r w:rsidRPr="0079241B">
              <w:rPr>
                <w:rFonts w:ascii="Times New Roman" w:eastAsia="Times New Roman" w:hAnsi="Times New Roman" w:cs="Times New Roman"/>
                <w:b/>
                <w:bCs/>
                <w:color w:val="FFFFFF"/>
                <w:sz w:val="22"/>
                <w:szCs w:val="22"/>
                <w:lang w:eastAsia="es-GT"/>
              </w:rPr>
              <w:t>Total</w:t>
            </w:r>
          </w:p>
        </w:tc>
        <w:tc>
          <w:tcPr>
            <w:tcW w:w="1200" w:type="dxa"/>
            <w:tcBorders>
              <w:top w:val="single" w:sz="8" w:space="0" w:color="auto"/>
              <w:left w:val="nil"/>
              <w:bottom w:val="single" w:sz="8" w:space="0" w:color="auto"/>
              <w:right w:val="single" w:sz="8" w:space="0" w:color="auto"/>
            </w:tcBorders>
            <w:shd w:val="clear" w:color="000000" w:fill="1F4E78"/>
            <w:noWrap/>
            <w:vAlign w:val="bottom"/>
            <w:hideMark/>
          </w:tcPr>
          <w:p w14:paraId="5C900AE3" w14:textId="77777777" w:rsidR="0079241B" w:rsidRPr="0079241B" w:rsidRDefault="0079241B" w:rsidP="0079241B">
            <w:pPr>
              <w:jc w:val="center"/>
              <w:rPr>
                <w:rFonts w:ascii="Times New Roman" w:eastAsia="Times New Roman" w:hAnsi="Times New Roman" w:cs="Times New Roman"/>
                <w:b/>
                <w:bCs/>
                <w:color w:val="FFFFFF"/>
                <w:sz w:val="22"/>
                <w:szCs w:val="22"/>
                <w:lang w:eastAsia="es-GT"/>
              </w:rPr>
            </w:pPr>
            <w:r w:rsidRPr="0079241B">
              <w:rPr>
                <w:rFonts w:ascii="Times New Roman" w:eastAsia="Times New Roman" w:hAnsi="Times New Roman" w:cs="Times New Roman"/>
                <w:b/>
                <w:bCs/>
                <w:color w:val="FFFFFF"/>
                <w:sz w:val="22"/>
                <w:szCs w:val="22"/>
                <w:lang w:eastAsia="es-GT"/>
              </w:rPr>
              <w:t>1,099.0</w:t>
            </w:r>
          </w:p>
        </w:tc>
      </w:tr>
    </w:tbl>
    <w:p w14:paraId="4A76DCAB" w14:textId="39F16D56" w:rsidR="0079241B" w:rsidRDefault="0048246B" w:rsidP="0048246B">
      <w:pPr>
        <w:rPr>
          <w:rFonts w:ascii="Times New Roman" w:eastAsia="Times New Roman" w:hAnsi="Times New Roman" w:cs="Times New Roman"/>
          <w:sz w:val="22"/>
          <w:szCs w:val="22"/>
          <w:lang w:val="es-MX"/>
        </w:rPr>
      </w:pPr>
      <w:r>
        <w:rPr>
          <w:rFonts w:ascii="Times New Roman" w:eastAsia="Times New Roman" w:hAnsi="Times New Roman" w:cs="Times New Roman"/>
          <w:sz w:val="18"/>
          <w:szCs w:val="18"/>
          <w:lang w:val="es-MX"/>
        </w:rPr>
        <w:t xml:space="preserve">                      </w:t>
      </w:r>
      <w:r w:rsidR="0079241B" w:rsidRPr="0079241B">
        <w:rPr>
          <w:rFonts w:ascii="Times New Roman" w:eastAsia="Times New Roman" w:hAnsi="Times New Roman" w:cs="Times New Roman"/>
          <w:sz w:val="18"/>
          <w:szCs w:val="18"/>
          <w:lang w:val="es-MX"/>
        </w:rPr>
        <w:t>Fuente: SICOIN</w:t>
      </w:r>
    </w:p>
    <w:p w14:paraId="077C1B97" w14:textId="77777777" w:rsidR="0079241B" w:rsidRDefault="0079241B" w:rsidP="0039645E">
      <w:pPr>
        <w:jc w:val="both"/>
        <w:rPr>
          <w:rFonts w:ascii="Times New Roman" w:eastAsia="Times New Roman" w:hAnsi="Times New Roman" w:cs="Times New Roman"/>
          <w:sz w:val="22"/>
          <w:szCs w:val="22"/>
          <w:lang w:val="es-MX"/>
        </w:rPr>
      </w:pPr>
    </w:p>
    <w:p w14:paraId="08506A0F" w14:textId="4116B5F8" w:rsidR="00740E72" w:rsidRDefault="00740E72" w:rsidP="0039645E">
      <w:pPr>
        <w:jc w:val="both"/>
        <w:rPr>
          <w:rFonts w:ascii="Times New Roman" w:eastAsia="Times New Roman" w:hAnsi="Times New Roman" w:cs="Times New Roman"/>
          <w:sz w:val="22"/>
          <w:szCs w:val="22"/>
          <w:lang w:val="es-MX"/>
        </w:rPr>
      </w:pPr>
      <w:r>
        <w:rPr>
          <w:rFonts w:ascii="Times New Roman" w:eastAsia="Times New Roman" w:hAnsi="Times New Roman" w:cs="Times New Roman"/>
          <w:sz w:val="22"/>
          <w:szCs w:val="22"/>
          <w:lang w:val="es-MX"/>
        </w:rPr>
        <w:t xml:space="preserve">Por su parte, la inversión real directa </w:t>
      </w:r>
      <w:r w:rsidR="0008689C">
        <w:rPr>
          <w:rFonts w:ascii="Times New Roman" w:eastAsia="Times New Roman" w:hAnsi="Times New Roman" w:cs="Times New Roman"/>
          <w:sz w:val="22"/>
          <w:szCs w:val="22"/>
          <w:lang w:val="es-MX"/>
        </w:rPr>
        <w:t xml:space="preserve">reportó </w:t>
      </w:r>
      <w:r>
        <w:rPr>
          <w:rFonts w:ascii="Times New Roman" w:eastAsia="Times New Roman" w:hAnsi="Times New Roman" w:cs="Times New Roman"/>
          <w:sz w:val="22"/>
          <w:szCs w:val="22"/>
          <w:lang w:val="es-MX"/>
        </w:rPr>
        <w:t>un crecimiento interanual de 8.3% (equivalente a Q383.8 millones)</w:t>
      </w:r>
      <w:r w:rsidR="00352C65">
        <w:rPr>
          <w:rFonts w:ascii="Times New Roman" w:eastAsia="Times New Roman" w:hAnsi="Times New Roman" w:cs="Times New Roman"/>
          <w:sz w:val="22"/>
          <w:szCs w:val="22"/>
          <w:lang w:val="es-MX"/>
        </w:rPr>
        <w:t xml:space="preserve">, </w:t>
      </w:r>
      <w:r w:rsidR="00410B8F">
        <w:rPr>
          <w:rFonts w:ascii="Times New Roman" w:eastAsia="Times New Roman" w:hAnsi="Times New Roman" w:cs="Times New Roman"/>
          <w:sz w:val="22"/>
          <w:szCs w:val="22"/>
          <w:lang w:val="es-MX"/>
        </w:rPr>
        <w:t>por su naturaleza es el Ministerio de Comunicaciones, Infraestructura y Vivienda la entidad que reporta las mayores intervenciones, reportando un aumento de Q433.2 millones</w:t>
      </w:r>
      <w:r w:rsidR="0084166E">
        <w:rPr>
          <w:rFonts w:ascii="Times New Roman" w:eastAsia="Times New Roman" w:hAnsi="Times New Roman" w:cs="Times New Roman"/>
          <w:sz w:val="22"/>
          <w:szCs w:val="22"/>
          <w:lang w:val="es-MX"/>
        </w:rPr>
        <w:t xml:space="preserve"> por </w:t>
      </w:r>
      <w:r w:rsidR="00410B8F">
        <w:rPr>
          <w:rFonts w:ascii="Times New Roman" w:eastAsia="Times New Roman" w:hAnsi="Times New Roman" w:cs="Times New Roman"/>
          <w:sz w:val="22"/>
          <w:szCs w:val="22"/>
          <w:lang w:val="es-MX"/>
        </w:rPr>
        <w:t xml:space="preserve">intervenciones en las construcciones nacionales de uso no común, servicios de ingeniería, arquitectura y supervisión de obras y otras maquinarias y equipos. Seguidamente se encuentra el Ministerio de Gobernación con una inversión que aumenta Q164.1 millones, </w:t>
      </w:r>
      <w:r w:rsidR="0084166E">
        <w:rPr>
          <w:rFonts w:ascii="Times New Roman" w:eastAsia="Times New Roman" w:hAnsi="Times New Roman" w:cs="Times New Roman"/>
          <w:sz w:val="22"/>
          <w:szCs w:val="22"/>
          <w:lang w:val="es-MX"/>
        </w:rPr>
        <w:t>que</w:t>
      </w:r>
      <w:r w:rsidR="00410B8F">
        <w:rPr>
          <w:rFonts w:ascii="Times New Roman" w:eastAsia="Times New Roman" w:hAnsi="Times New Roman" w:cs="Times New Roman"/>
          <w:sz w:val="22"/>
          <w:szCs w:val="22"/>
          <w:lang w:val="es-MX"/>
        </w:rPr>
        <w:t xml:space="preserve"> se explica por la compra de equipo de transporte</w:t>
      </w:r>
      <w:r w:rsidR="00FC78DE">
        <w:rPr>
          <w:rFonts w:ascii="Times New Roman" w:eastAsia="Times New Roman" w:hAnsi="Times New Roman" w:cs="Times New Roman"/>
          <w:sz w:val="22"/>
          <w:szCs w:val="22"/>
          <w:lang w:val="es-MX"/>
        </w:rPr>
        <w:t xml:space="preserve"> y equipo de cómputo</w:t>
      </w:r>
      <w:r w:rsidR="0084166E">
        <w:rPr>
          <w:rFonts w:ascii="Times New Roman" w:eastAsia="Times New Roman" w:hAnsi="Times New Roman" w:cs="Times New Roman"/>
          <w:sz w:val="22"/>
          <w:szCs w:val="22"/>
          <w:lang w:val="es-MX"/>
        </w:rPr>
        <w:t>;</w:t>
      </w:r>
      <w:r w:rsidR="00FC78DE">
        <w:rPr>
          <w:rFonts w:ascii="Times New Roman" w:eastAsia="Times New Roman" w:hAnsi="Times New Roman" w:cs="Times New Roman"/>
          <w:sz w:val="22"/>
          <w:szCs w:val="22"/>
          <w:lang w:val="es-MX"/>
        </w:rPr>
        <w:t xml:space="preserve"> y</w:t>
      </w:r>
      <w:r w:rsidR="0084166E">
        <w:rPr>
          <w:rFonts w:ascii="Times New Roman" w:eastAsia="Times New Roman" w:hAnsi="Times New Roman" w:cs="Times New Roman"/>
          <w:sz w:val="22"/>
          <w:szCs w:val="22"/>
          <w:lang w:val="es-MX"/>
        </w:rPr>
        <w:t>,</w:t>
      </w:r>
      <w:r w:rsidR="00FC78DE">
        <w:rPr>
          <w:rFonts w:ascii="Times New Roman" w:eastAsia="Times New Roman" w:hAnsi="Times New Roman" w:cs="Times New Roman"/>
          <w:sz w:val="22"/>
          <w:szCs w:val="22"/>
          <w:lang w:val="es-MX"/>
        </w:rPr>
        <w:t xml:space="preserve"> el Ministerio de Cultura y Deportes</w:t>
      </w:r>
      <w:r w:rsidR="0084166E">
        <w:rPr>
          <w:rFonts w:ascii="Times New Roman" w:eastAsia="Times New Roman" w:hAnsi="Times New Roman" w:cs="Times New Roman"/>
          <w:sz w:val="22"/>
          <w:szCs w:val="22"/>
          <w:lang w:val="es-MX"/>
        </w:rPr>
        <w:t>,</w:t>
      </w:r>
      <w:r w:rsidR="00FC78DE">
        <w:rPr>
          <w:rFonts w:ascii="Times New Roman" w:eastAsia="Times New Roman" w:hAnsi="Times New Roman" w:cs="Times New Roman"/>
          <w:sz w:val="22"/>
          <w:szCs w:val="22"/>
          <w:lang w:val="es-MX"/>
        </w:rPr>
        <w:t xml:space="preserve"> que reporta una inversión mayor en Q135.7 millones, la cual se explica por las construcciones de bienes nacionales, tales como la construcción del edificio de la danza Centro Cultural Miguel Ángel Asturias, construcción del edificio Museo Caracol del Tiempo José Luis Ralda </w:t>
      </w:r>
      <w:r w:rsidR="0008689C">
        <w:rPr>
          <w:rFonts w:ascii="Times New Roman" w:eastAsia="Times New Roman" w:hAnsi="Times New Roman" w:cs="Times New Roman"/>
          <w:sz w:val="22"/>
          <w:szCs w:val="22"/>
          <w:lang w:val="es-MX"/>
        </w:rPr>
        <w:t>González</w:t>
      </w:r>
      <w:r w:rsidR="00FC78DE">
        <w:rPr>
          <w:rFonts w:ascii="Times New Roman" w:eastAsia="Times New Roman" w:hAnsi="Times New Roman" w:cs="Times New Roman"/>
          <w:sz w:val="22"/>
          <w:szCs w:val="22"/>
          <w:lang w:val="es-MX"/>
        </w:rPr>
        <w:t xml:space="preserve"> </w:t>
      </w:r>
      <w:r w:rsidR="00D1356D">
        <w:rPr>
          <w:rFonts w:ascii="Times New Roman" w:eastAsia="Times New Roman" w:hAnsi="Times New Roman" w:cs="Times New Roman"/>
          <w:sz w:val="22"/>
          <w:szCs w:val="22"/>
          <w:lang w:val="es-MX"/>
        </w:rPr>
        <w:t xml:space="preserve">en Retalhuleu, el mejoramiento de instalaciones deportivas y recreativas del parque Erick Barrondo </w:t>
      </w:r>
      <w:r w:rsidR="0084166E">
        <w:rPr>
          <w:rFonts w:ascii="Times New Roman" w:eastAsia="Times New Roman" w:hAnsi="Times New Roman" w:cs="Times New Roman"/>
          <w:sz w:val="22"/>
          <w:szCs w:val="22"/>
          <w:lang w:val="es-MX"/>
        </w:rPr>
        <w:t>(</w:t>
      </w:r>
      <w:r w:rsidR="00D1356D">
        <w:rPr>
          <w:rFonts w:ascii="Times New Roman" w:eastAsia="Times New Roman" w:hAnsi="Times New Roman" w:cs="Times New Roman"/>
          <w:sz w:val="22"/>
          <w:szCs w:val="22"/>
          <w:lang w:val="es-MX"/>
        </w:rPr>
        <w:t>zona 7</w:t>
      </w:r>
      <w:r w:rsidR="0084166E">
        <w:rPr>
          <w:rFonts w:ascii="Times New Roman" w:eastAsia="Times New Roman" w:hAnsi="Times New Roman" w:cs="Times New Roman"/>
          <w:sz w:val="22"/>
          <w:szCs w:val="22"/>
          <w:lang w:val="es-MX"/>
        </w:rPr>
        <w:t>)</w:t>
      </w:r>
      <w:r w:rsidR="00D1356D">
        <w:rPr>
          <w:rFonts w:ascii="Times New Roman" w:eastAsia="Times New Roman" w:hAnsi="Times New Roman" w:cs="Times New Roman"/>
          <w:sz w:val="22"/>
          <w:szCs w:val="22"/>
          <w:lang w:val="es-MX"/>
        </w:rPr>
        <w:t>, construcción de instalaciones deportivas y recreativas</w:t>
      </w:r>
      <w:r w:rsidR="0084166E">
        <w:rPr>
          <w:rFonts w:ascii="Times New Roman" w:eastAsia="Times New Roman" w:hAnsi="Times New Roman" w:cs="Times New Roman"/>
          <w:sz w:val="22"/>
          <w:szCs w:val="22"/>
          <w:lang w:val="es-MX"/>
        </w:rPr>
        <w:t>,</w:t>
      </w:r>
      <w:r w:rsidR="00D1356D">
        <w:rPr>
          <w:rFonts w:ascii="Times New Roman" w:eastAsia="Times New Roman" w:hAnsi="Times New Roman" w:cs="Times New Roman"/>
          <w:sz w:val="22"/>
          <w:szCs w:val="22"/>
          <w:lang w:val="es-MX"/>
        </w:rPr>
        <w:t xml:space="preserve"> parque bicentenario </w:t>
      </w:r>
      <w:r w:rsidR="0084166E">
        <w:rPr>
          <w:rFonts w:ascii="Times New Roman" w:eastAsia="Times New Roman" w:hAnsi="Times New Roman" w:cs="Times New Roman"/>
          <w:sz w:val="22"/>
          <w:szCs w:val="22"/>
          <w:lang w:val="es-MX"/>
        </w:rPr>
        <w:t>(</w:t>
      </w:r>
      <w:r w:rsidR="00D1356D">
        <w:rPr>
          <w:rFonts w:ascii="Times New Roman" w:eastAsia="Times New Roman" w:hAnsi="Times New Roman" w:cs="Times New Roman"/>
          <w:sz w:val="22"/>
          <w:szCs w:val="22"/>
          <w:lang w:val="es-MX"/>
        </w:rPr>
        <w:t>zona 8</w:t>
      </w:r>
      <w:r w:rsidR="0084166E">
        <w:rPr>
          <w:rFonts w:ascii="Times New Roman" w:eastAsia="Times New Roman" w:hAnsi="Times New Roman" w:cs="Times New Roman"/>
          <w:sz w:val="22"/>
          <w:szCs w:val="22"/>
          <w:lang w:val="es-MX"/>
        </w:rPr>
        <w:t>)</w:t>
      </w:r>
      <w:r w:rsidR="00D1356D">
        <w:rPr>
          <w:rFonts w:ascii="Times New Roman" w:eastAsia="Times New Roman" w:hAnsi="Times New Roman" w:cs="Times New Roman"/>
          <w:sz w:val="22"/>
          <w:szCs w:val="22"/>
          <w:lang w:val="es-MX"/>
        </w:rPr>
        <w:t>, entre otros proyectos.</w:t>
      </w:r>
    </w:p>
    <w:p w14:paraId="7BBC8747" w14:textId="4916FE53" w:rsidR="005C4F5F" w:rsidRDefault="005C4F5F" w:rsidP="0039645E">
      <w:pPr>
        <w:jc w:val="both"/>
        <w:rPr>
          <w:rFonts w:ascii="Times New Roman" w:eastAsia="Times New Roman" w:hAnsi="Times New Roman" w:cs="Times New Roman"/>
          <w:sz w:val="22"/>
          <w:szCs w:val="22"/>
          <w:lang w:val="es-MX"/>
        </w:rPr>
      </w:pPr>
    </w:p>
    <w:p w14:paraId="17BE2F63" w14:textId="52DB0C2A" w:rsidR="00BB0B27" w:rsidRDefault="00DF3F9E" w:rsidP="0039645E">
      <w:pPr>
        <w:jc w:val="both"/>
        <w:rPr>
          <w:rFonts w:ascii="Times New Roman" w:eastAsia="Times New Roman" w:hAnsi="Times New Roman" w:cs="Times New Roman"/>
          <w:sz w:val="22"/>
          <w:szCs w:val="22"/>
          <w:lang w:val="es-MX"/>
        </w:rPr>
      </w:pPr>
      <w:r>
        <w:rPr>
          <w:rFonts w:ascii="Times New Roman" w:eastAsia="Times New Roman" w:hAnsi="Times New Roman" w:cs="Times New Roman"/>
          <w:sz w:val="22"/>
          <w:szCs w:val="22"/>
          <w:lang w:val="es-MX"/>
        </w:rPr>
        <w:t>Por últi</w:t>
      </w:r>
      <w:r w:rsidR="003864DF">
        <w:rPr>
          <w:rFonts w:ascii="Times New Roman" w:eastAsia="Times New Roman" w:hAnsi="Times New Roman" w:cs="Times New Roman"/>
          <w:sz w:val="22"/>
          <w:szCs w:val="22"/>
          <w:lang w:val="es-MX"/>
        </w:rPr>
        <w:t>mo,</w:t>
      </w:r>
      <w:r w:rsidR="00CC692F">
        <w:rPr>
          <w:rFonts w:ascii="Times New Roman" w:eastAsia="Times New Roman" w:hAnsi="Times New Roman" w:cs="Times New Roman"/>
          <w:sz w:val="22"/>
          <w:szCs w:val="22"/>
          <w:lang w:val="es-MX"/>
        </w:rPr>
        <w:t xml:space="preserve"> los bienes y servicios se contra</w:t>
      </w:r>
      <w:r w:rsidR="00A9582C">
        <w:rPr>
          <w:rFonts w:ascii="Times New Roman" w:eastAsia="Times New Roman" w:hAnsi="Times New Roman" w:cs="Times New Roman"/>
          <w:sz w:val="22"/>
          <w:szCs w:val="22"/>
          <w:lang w:val="es-MX"/>
        </w:rPr>
        <w:t>jeron</w:t>
      </w:r>
      <w:r w:rsidR="00CC692F">
        <w:rPr>
          <w:rFonts w:ascii="Times New Roman" w:eastAsia="Times New Roman" w:hAnsi="Times New Roman" w:cs="Times New Roman"/>
          <w:sz w:val="22"/>
          <w:szCs w:val="22"/>
          <w:lang w:val="es-MX"/>
        </w:rPr>
        <w:t xml:space="preserve"> 6.7%, siendo equivalente a una disminución interanual de Q1,175.6 millones, explicados por menores intervenciones por parte del Ministerio de Comunicaciones, Infraestructura y Vivienda en el mantenimiento y reparación de bienes nacionales de uso común como</w:t>
      </w:r>
      <w:r w:rsidR="0008689C">
        <w:rPr>
          <w:rFonts w:ascii="Times New Roman" w:eastAsia="Times New Roman" w:hAnsi="Times New Roman" w:cs="Times New Roman"/>
          <w:sz w:val="22"/>
          <w:szCs w:val="22"/>
          <w:lang w:val="es-MX"/>
        </w:rPr>
        <w:t xml:space="preserve"> </w:t>
      </w:r>
      <w:r w:rsidR="00CC692F">
        <w:rPr>
          <w:rFonts w:ascii="Times New Roman" w:eastAsia="Times New Roman" w:hAnsi="Times New Roman" w:cs="Times New Roman"/>
          <w:sz w:val="22"/>
          <w:szCs w:val="22"/>
          <w:lang w:val="es-MX"/>
        </w:rPr>
        <w:t>son las carreteras y puentes, estructuras que en 2022 fueron afectadas por un</w:t>
      </w:r>
      <w:r w:rsidR="0008689C">
        <w:rPr>
          <w:rFonts w:ascii="Times New Roman" w:eastAsia="Times New Roman" w:hAnsi="Times New Roman" w:cs="Times New Roman"/>
          <w:sz w:val="22"/>
          <w:szCs w:val="22"/>
          <w:lang w:val="es-MX"/>
        </w:rPr>
        <w:t xml:space="preserve"> invierno </w:t>
      </w:r>
      <w:r w:rsidR="00CC692F">
        <w:rPr>
          <w:rFonts w:ascii="Times New Roman" w:eastAsia="Times New Roman" w:hAnsi="Times New Roman" w:cs="Times New Roman"/>
          <w:sz w:val="22"/>
          <w:szCs w:val="22"/>
          <w:lang w:val="es-MX"/>
        </w:rPr>
        <w:t xml:space="preserve">más intenso que </w:t>
      </w:r>
      <w:r w:rsidR="001E7F1A">
        <w:rPr>
          <w:rFonts w:ascii="Times New Roman" w:eastAsia="Times New Roman" w:hAnsi="Times New Roman" w:cs="Times New Roman"/>
          <w:sz w:val="22"/>
          <w:szCs w:val="22"/>
          <w:lang w:val="es-MX"/>
        </w:rPr>
        <w:t>causó</w:t>
      </w:r>
      <w:r w:rsidR="00CC692F">
        <w:rPr>
          <w:rFonts w:ascii="Times New Roman" w:eastAsia="Times New Roman" w:hAnsi="Times New Roman" w:cs="Times New Roman"/>
          <w:sz w:val="22"/>
          <w:szCs w:val="22"/>
          <w:lang w:val="es-MX"/>
        </w:rPr>
        <w:t xml:space="preserve"> daños significativos en la infraestructura nacional. Asimismo, en el 2022 se pag</w:t>
      </w:r>
      <w:r w:rsidR="00AD32FE">
        <w:rPr>
          <w:rFonts w:ascii="Times New Roman" w:eastAsia="Times New Roman" w:hAnsi="Times New Roman" w:cs="Times New Roman"/>
          <w:sz w:val="22"/>
          <w:szCs w:val="22"/>
          <w:lang w:val="es-MX"/>
        </w:rPr>
        <w:t>ó</w:t>
      </w:r>
      <w:r w:rsidR="00CC692F">
        <w:rPr>
          <w:rFonts w:ascii="Times New Roman" w:eastAsia="Times New Roman" w:hAnsi="Times New Roman" w:cs="Times New Roman"/>
          <w:sz w:val="22"/>
          <w:szCs w:val="22"/>
          <w:lang w:val="es-MX"/>
        </w:rPr>
        <w:t xml:space="preserve"> </w:t>
      </w:r>
      <w:r w:rsidR="00AD32FE">
        <w:rPr>
          <w:rFonts w:ascii="Times New Roman" w:eastAsia="Times New Roman" w:hAnsi="Times New Roman" w:cs="Times New Roman"/>
          <w:sz w:val="22"/>
          <w:szCs w:val="22"/>
          <w:lang w:val="es-MX"/>
        </w:rPr>
        <w:t xml:space="preserve">la </w:t>
      </w:r>
      <w:r w:rsidR="00CC692F">
        <w:rPr>
          <w:rFonts w:ascii="Times New Roman" w:eastAsia="Times New Roman" w:hAnsi="Times New Roman" w:cs="Times New Roman"/>
          <w:sz w:val="22"/>
          <w:szCs w:val="22"/>
          <w:lang w:val="es-MX"/>
        </w:rPr>
        <w:t xml:space="preserve">sentencia judicial a favor de la empresa Teco Guatemala Holdings por US$46 millones, mientras que en 2023 no </w:t>
      </w:r>
      <w:r w:rsidR="00DA375B">
        <w:rPr>
          <w:rFonts w:ascii="Times New Roman" w:eastAsia="Times New Roman" w:hAnsi="Times New Roman" w:cs="Times New Roman"/>
          <w:sz w:val="22"/>
          <w:szCs w:val="22"/>
          <w:lang w:val="es-MX"/>
        </w:rPr>
        <w:t xml:space="preserve">hubo </w:t>
      </w:r>
      <w:r w:rsidR="00CC692F">
        <w:rPr>
          <w:rFonts w:ascii="Times New Roman" w:eastAsia="Times New Roman" w:hAnsi="Times New Roman" w:cs="Times New Roman"/>
          <w:sz w:val="22"/>
          <w:szCs w:val="22"/>
          <w:lang w:val="es-MX"/>
        </w:rPr>
        <w:t>sentencia</w:t>
      </w:r>
      <w:r w:rsidR="00AD32FE">
        <w:rPr>
          <w:rFonts w:ascii="Times New Roman" w:eastAsia="Times New Roman" w:hAnsi="Times New Roman" w:cs="Times New Roman"/>
          <w:sz w:val="22"/>
          <w:szCs w:val="22"/>
          <w:lang w:val="es-MX"/>
        </w:rPr>
        <w:t>s</w:t>
      </w:r>
      <w:r w:rsidR="00CC692F">
        <w:rPr>
          <w:rFonts w:ascii="Times New Roman" w:eastAsia="Times New Roman" w:hAnsi="Times New Roman" w:cs="Times New Roman"/>
          <w:sz w:val="22"/>
          <w:szCs w:val="22"/>
          <w:lang w:val="es-MX"/>
        </w:rPr>
        <w:t xml:space="preserve"> por temas de arbitraje de inversión internacional</w:t>
      </w:r>
      <w:r w:rsidR="00DA375B">
        <w:rPr>
          <w:rFonts w:ascii="Times New Roman" w:eastAsia="Times New Roman" w:hAnsi="Times New Roman" w:cs="Times New Roman"/>
          <w:sz w:val="22"/>
          <w:szCs w:val="22"/>
          <w:lang w:val="es-MX"/>
        </w:rPr>
        <w:t xml:space="preserve"> que subsanar. </w:t>
      </w:r>
    </w:p>
    <w:p w14:paraId="2AB0B33F" w14:textId="4434E723" w:rsidR="00BB0B27" w:rsidRDefault="00BB0B27" w:rsidP="0039645E">
      <w:pPr>
        <w:jc w:val="both"/>
        <w:rPr>
          <w:rFonts w:ascii="Times New Roman" w:eastAsia="Times New Roman" w:hAnsi="Times New Roman" w:cs="Times New Roman"/>
          <w:sz w:val="22"/>
          <w:szCs w:val="22"/>
          <w:lang w:val="es-MX"/>
        </w:rPr>
      </w:pPr>
    </w:p>
    <w:p w14:paraId="3C9409A0" w14:textId="164205C9" w:rsidR="00DA2AB6" w:rsidRDefault="00DA2AB6" w:rsidP="0039645E">
      <w:pPr>
        <w:jc w:val="both"/>
        <w:rPr>
          <w:rFonts w:ascii="Times New Roman" w:eastAsia="Times New Roman" w:hAnsi="Times New Roman" w:cs="Times New Roman"/>
          <w:sz w:val="22"/>
          <w:szCs w:val="22"/>
          <w:lang w:val="es-MX"/>
        </w:rPr>
      </w:pPr>
    </w:p>
    <w:p w14:paraId="7DE4AE82" w14:textId="05E192C3" w:rsidR="00DA2AB6" w:rsidRDefault="00DA2AB6" w:rsidP="0039645E">
      <w:pPr>
        <w:jc w:val="both"/>
        <w:rPr>
          <w:rFonts w:ascii="Times New Roman" w:eastAsia="Times New Roman" w:hAnsi="Times New Roman" w:cs="Times New Roman"/>
          <w:sz w:val="22"/>
          <w:szCs w:val="22"/>
          <w:lang w:val="es-MX"/>
        </w:rPr>
      </w:pPr>
    </w:p>
    <w:p w14:paraId="39C7F784" w14:textId="350C566D" w:rsidR="00DA2AB6" w:rsidRDefault="00DA2AB6" w:rsidP="0039645E">
      <w:pPr>
        <w:jc w:val="both"/>
        <w:rPr>
          <w:rFonts w:ascii="Times New Roman" w:eastAsia="Times New Roman" w:hAnsi="Times New Roman" w:cs="Times New Roman"/>
          <w:sz w:val="22"/>
          <w:szCs w:val="22"/>
          <w:lang w:val="es-MX"/>
        </w:rPr>
      </w:pPr>
    </w:p>
    <w:p w14:paraId="355C73BB" w14:textId="1ED52FD3" w:rsidR="00DA2AB6" w:rsidRDefault="00DA2AB6" w:rsidP="0039645E">
      <w:pPr>
        <w:jc w:val="both"/>
        <w:rPr>
          <w:rFonts w:ascii="Times New Roman" w:eastAsia="Times New Roman" w:hAnsi="Times New Roman" w:cs="Times New Roman"/>
          <w:sz w:val="22"/>
          <w:szCs w:val="22"/>
          <w:lang w:val="es-MX"/>
        </w:rPr>
      </w:pPr>
    </w:p>
    <w:p w14:paraId="73986221" w14:textId="7DFC5075" w:rsidR="00DA2AB6" w:rsidRDefault="00DA2AB6" w:rsidP="0039645E">
      <w:pPr>
        <w:jc w:val="both"/>
        <w:rPr>
          <w:rFonts w:ascii="Times New Roman" w:eastAsia="Times New Roman" w:hAnsi="Times New Roman" w:cs="Times New Roman"/>
          <w:sz w:val="22"/>
          <w:szCs w:val="22"/>
          <w:lang w:val="es-MX"/>
        </w:rPr>
      </w:pPr>
    </w:p>
    <w:p w14:paraId="53A79F00" w14:textId="608B9EA3" w:rsidR="0048246B" w:rsidRDefault="0048246B" w:rsidP="0039645E">
      <w:pPr>
        <w:jc w:val="both"/>
        <w:rPr>
          <w:rFonts w:ascii="Times New Roman" w:eastAsia="Times New Roman" w:hAnsi="Times New Roman" w:cs="Times New Roman"/>
          <w:sz w:val="22"/>
          <w:szCs w:val="22"/>
          <w:lang w:val="es-MX"/>
        </w:rPr>
      </w:pPr>
    </w:p>
    <w:p w14:paraId="6751B2AC" w14:textId="44405A0F" w:rsidR="0048246B" w:rsidRDefault="0048246B" w:rsidP="0039645E">
      <w:pPr>
        <w:jc w:val="both"/>
        <w:rPr>
          <w:rFonts w:ascii="Times New Roman" w:eastAsia="Times New Roman" w:hAnsi="Times New Roman" w:cs="Times New Roman"/>
          <w:sz w:val="22"/>
          <w:szCs w:val="22"/>
          <w:lang w:val="es-MX"/>
        </w:rPr>
      </w:pPr>
    </w:p>
    <w:p w14:paraId="73CBC8AA" w14:textId="77777777" w:rsidR="0048246B" w:rsidRDefault="0048246B" w:rsidP="0039645E">
      <w:pPr>
        <w:jc w:val="both"/>
        <w:rPr>
          <w:rFonts w:ascii="Times New Roman" w:eastAsia="Times New Roman" w:hAnsi="Times New Roman" w:cs="Times New Roman"/>
          <w:sz w:val="22"/>
          <w:szCs w:val="22"/>
          <w:lang w:val="es-MX"/>
        </w:rPr>
      </w:pPr>
    </w:p>
    <w:p w14:paraId="3150BB08" w14:textId="77777777" w:rsidR="00B842A5" w:rsidRDefault="00B842A5" w:rsidP="0039645E">
      <w:pPr>
        <w:jc w:val="both"/>
        <w:rPr>
          <w:rFonts w:ascii="Times New Roman" w:eastAsia="Times New Roman" w:hAnsi="Times New Roman" w:cs="Times New Roman"/>
          <w:sz w:val="22"/>
          <w:szCs w:val="22"/>
          <w:lang w:val="es-MX"/>
        </w:rPr>
      </w:pPr>
    </w:p>
    <w:p w14:paraId="4004B34C" w14:textId="44333485" w:rsidR="0039645E" w:rsidRPr="00DA2AB6" w:rsidRDefault="00DA2AB6" w:rsidP="00DA2AB6">
      <w:pPr>
        <w:pStyle w:val="Descripcin"/>
        <w:keepNext/>
        <w:spacing w:after="0"/>
        <w:jc w:val="center"/>
        <w:rPr>
          <w:sz w:val="22"/>
          <w:szCs w:val="22"/>
        </w:rPr>
      </w:pPr>
      <w:bookmarkStart w:id="52" w:name="_Toc125539785"/>
      <w:bookmarkStart w:id="53" w:name="_Toc158103857"/>
      <w:r w:rsidRPr="00DA2AB6">
        <w:rPr>
          <w:sz w:val="22"/>
          <w:szCs w:val="22"/>
        </w:rPr>
        <w:lastRenderedPageBreak/>
        <w:t xml:space="preserve">Gráfico </w:t>
      </w:r>
      <w:r w:rsidRPr="00DA2AB6">
        <w:rPr>
          <w:sz w:val="22"/>
          <w:szCs w:val="22"/>
        </w:rPr>
        <w:fldChar w:fldCharType="begin"/>
      </w:r>
      <w:r w:rsidRPr="00DA2AB6">
        <w:rPr>
          <w:sz w:val="22"/>
          <w:szCs w:val="22"/>
        </w:rPr>
        <w:instrText xml:space="preserve"> SEQ Gráfico \* ARABIC </w:instrText>
      </w:r>
      <w:r w:rsidRPr="00DA2AB6">
        <w:rPr>
          <w:sz w:val="22"/>
          <w:szCs w:val="22"/>
        </w:rPr>
        <w:fldChar w:fldCharType="separate"/>
      </w:r>
      <w:r w:rsidR="00C015DC">
        <w:rPr>
          <w:noProof/>
          <w:sz w:val="22"/>
          <w:szCs w:val="22"/>
        </w:rPr>
        <w:t>12</w:t>
      </w:r>
      <w:r w:rsidRPr="00DA2AB6">
        <w:rPr>
          <w:sz w:val="22"/>
          <w:szCs w:val="22"/>
        </w:rPr>
        <w:fldChar w:fldCharType="end"/>
      </w:r>
      <w:r>
        <w:rPr>
          <w:sz w:val="22"/>
          <w:szCs w:val="22"/>
        </w:rPr>
        <w:t xml:space="preserve">.  </w:t>
      </w:r>
      <w:r w:rsidR="0039645E" w:rsidRPr="004A66F0">
        <w:rPr>
          <w:rFonts w:eastAsia="Times New Roman" w:cs="Times New Roman"/>
          <w:sz w:val="22"/>
          <w:szCs w:val="22"/>
        </w:rPr>
        <w:t>Ejecución por rubro de Cuenta Económica</w:t>
      </w:r>
      <w:bookmarkEnd w:id="52"/>
      <w:bookmarkEnd w:id="53"/>
    </w:p>
    <w:p w14:paraId="0F5F4B0C" w14:textId="7D80BD2E" w:rsidR="0039645E" w:rsidRPr="004A66F0" w:rsidRDefault="0039645E" w:rsidP="0039645E">
      <w:pPr>
        <w:jc w:val="center"/>
        <w:rPr>
          <w:rFonts w:ascii="Times New Roman" w:eastAsia="Times New Roman" w:hAnsi="Times New Roman" w:cs="Times New Roman"/>
          <w:b/>
          <w:sz w:val="22"/>
          <w:szCs w:val="22"/>
        </w:rPr>
      </w:pPr>
      <w:r w:rsidRPr="004A66F0">
        <w:rPr>
          <w:rFonts w:ascii="Times New Roman" w:eastAsia="Times New Roman" w:hAnsi="Times New Roman" w:cs="Times New Roman"/>
          <w:b/>
          <w:sz w:val="22"/>
          <w:szCs w:val="22"/>
        </w:rPr>
        <w:t>202</w:t>
      </w:r>
      <w:r w:rsidR="00F33B68">
        <w:rPr>
          <w:rFonts w:ascii="Times New Roman" w:eastAsia="Times New Roman" w:hAnsi="Times New Roman" w:cs="Times New Roman"/>
          <w:b/>
          <w:sz w:val="22"/>
          <w:szCs w:val="22"/>
        </w:rPr>
        <w:t>3</w:t>
      </w:r>
      <w:r w:rsidRPr="004A66F0">
        <w:rPr>
          <w:rFonts w:ascii="Times New Roman" w:eastAsia="Times New Roman" w:hAnsi="Times New Roman" w:cs="Times New Roman"/>
          <w:b/>
          <w:sz w:val="22"/>
          <w:szCs w:val="22"/>
        </w:rPr>
        <w:t xml:space="preserve"> – 202</w:t>
      </w:r>
      <w:r w:rsidR="00F33B68">
        <w:rPr>
          <w:rFonts w:ascii="Times New Roman" w:eastAsia="Times New Roman" w:hAnsi="Times New Roman" w:cs="Times New Roman"/>
          <w:b/>
          <w:sz w:val="22"/>
          <w:szCs w:val="22"/>
        </w:rPr>
        <w:t>2</w:t>
      </w:r>
    </w:p>
    <w:p w14:paraId="55CEB611" w14:textId="77777777" w:rsidR="0039645E" w:rsidRPr="004A66F0" w:rsidRDefault="0039645E" w:rsidP="0039645E">
      <w:pPr>
        <w:jc w:val="center"/>
        <w:rPr>
          <w:rFonts w:ascii="Times New Roman" w:eastAsia="Times New Roman" w:hAnsi="Times New Roman" w:cs="Times New Roman"/>
          <w:sz w:val="22"/>
          <w:szCs w:val="36"/>
          <w:lang w:val="es-ES_tradnl" w:eastAsia="es-ES"/>
        </w:rPr>
      </w:pPr>
      <w:r w:rsidRPr="004A66F0">
        <w:rPr>
          <w:rFonts w:ascii="Calibri" w:eastAsia="Times New Roman" w:hAnsi="Calibri" w:cs="Calibri"/>
          <w:noProof/>
          <w:sz w:val="22"/>
          <w:szCs w:val="22"/>
        </w:rPr>
        <w:drawing>
          <wp:anchor distT="0" distB="0" distL="114300" distR="116586" simplePos="0" relativeHeight="251660288" behindDoc="0" locked="0" layoutInCell="1" allowOverlap="1" wp14:anchorId="5864E3C2" wp14:editId="3EF3D994">
            <wp:simplePos x="0" y="0"/>
            <wp:positionH relativeFrom="margin">
              <wp:align>right</wp:align>
            </wp:positionH>
            <wp:positionV relativeFrom="paragraph">
              <wp:posOffset>147320</wp:posOffset>
            </wp:positionV>
            <wp:extent cx="5610225" cy="2910840"/>
            <wp:effectExtent l="0" t="0" r="0" b="3810"/>
            <wp:wrapSquare wrapText="bothSides"/>
            <wp:docPr id="37" name="Gráfico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4A66F0">
        <w:rPr>
          <w:rFonts w:ascii="Times New Roman" w:eastAsia="Times New Roman" w:hAnsi="Times New Roman" w:cs="Times New Roman"/>
          <w:sz w:val="20"/>
          <w:szCs w:val="22"/>
          <w:lang w:val="es-ES_tradnl" w:eastAsia="es-ES"/>
        </w:rPr>
        <w:t>Variación absoluta interanual en millones de quetzales</w:t>
      </w:r>
    </w:p>
    <w:p w14:paraId="762B988B" w14:textId="11737492" w:rsidR="0039645E" w:rsidRDefault="0048246B" w:rsidP="0039645E">
      <w:pPr>
        <w:rPr>
          <w:rFonts w:ascii="Times New Roman" w:eastAsia="Times New Roman" w:hAnsi="Times New Roman" w:cs="Times New Roman"/>
          <w:sz w:val="18"/>
          <w:szCs w:val="22"/>
          <w:lang w:val="es-ES_tradnl" w:eastAsia="es-ES"/>
        </w:rPr>
      </w:pPr>
      <w:r>
        <w:rPr>
          <w:rFonts w:ascii="Times New Roman" w:eastAsia="Times New Roman" w:hAnsi="Times New Roman" w:cs="Times New Roman"/>
          <w:sz w:val="18"/>
          <w:szCs w:val="22"/>
          <w:lang w:val="es-ES_tradnl" w:eastAsia="es-ES"/>
        </w:rPr>
        <w:t xml:space="preserve">                 </w:t>
      </w:r>
      <w:r w:rsidR="0039645E" w:rsidRPr="004A66F0">
        <w:rPr>
          <w:rFonts w:ascii="Times New Roman" w:eastAsia="Times New Roman" w:hAnsi="Times New Roman" w:cs="Times New Roman"/>
          <w:sz w:val="18"/>
          <w:szCs w:val="22"/>
          <w:lang w:val="es-ES_tradnl" w:eastAsia="es-ES"/>
        </w:rPr>
        <w:t>Fuente: Dirección de Análisis y Política Fiscal</w:t>
      </w:r>
    </w:p>
    <w:p w14:paraId="0AC5FAE2" w14:textId="77777777" w:rsidR="00F33B68" w:rsidRPr="00DA6C55" w:rsidRDefault="00F33B68" w:rsidP="0039645E">
      <w:pPr>
        <w:rPr>
          <w:rFonts w:ascii="Times New Roman" w:eastAsia="Times New Roman" w:hAnsi="Times New Roman" w:cs="Times New Roman"/>
          <w:sz w:val="18"/>
          <w:szCs w:val="22"/>
          <w:lang w:val="es-ES_tradnl" w:eastAsia="es-ES"/>
        </w:rPr>
      </w:pPr>
    </w:p>
    <w:p w14:paraId="0187FBB2" w14:textId="0C2F58A5" w:rsidR="0039645E" w:rsidRPr="00895C9B" w:rsidRDefault="00D6425E" w:rsidP="00DA2AB6">
      <w:pPr>
        <w:keepNext/>
        <w:keepLines/>
        <w:tabs>
          <w:tab w:val="left" w:pos="1134"/>
        </w:tabs>
        <w:ind w:left="567" w:hanging="283"/>
        <w:jc w:val="both"/>
        <w:outlineLvl w:val="1"/>
        <w:rPr>
          <w:rFonts w:ascii="Times New Roman" w:eastAsiaTheme="majorEastAsia" w:hAnsi="Times New Roman" w:cs="Times New Roman"/>
          <w:b/>
          <w:bCs/>
        </w:rPr>
      </w:pPr>
      <w:bookmarkStart w:id="54" w:name="_Toc125538991"/>
      <w:bookmarkStart w:id="55" w:name="_Toc160196850"/>
      <w:r>
        <w:rPr>
          <w:rFonts w:ascii="Times New Roman" w:eastAsiaTheme="majorEastAsia" w:hAnsi="Times New Roman" w:cs="Times New Roman"/>
          <w:b/>
          <w:bCs/>
        </w:rPr>
        <w:t xml:space="preserve">2.2 </w:t>
      </w:r>
      <w:r w:rsidR="00DA747E">
        <w:rPr>
          <w:rFonts w:ascii="Times New Roman" w:eastAsiaTheme="majorEastAsia" w:hAnsi="Times New Roman" w:cs="Times New Roman"/>
          <w:b/>
          <w:bCs/>
        </w:rPr>
        <w:t xml:space="preserve">Los </w:t>
      </w:r>
      <w:r w:rsidR="004A0A14">
        <w:rPr>
          <w:rFonts w:ascii="Times New Roman" w:eastAsiaTheme="majorEastAsia" w:hAnsi="Times New Roman" w:cs="Times New Roman"/>
          <w:b/>
          <w:bCs/>
        </w:rPr>
        <w:t>g</w:t>
      </w:r>
      <w:r w:rsidR="0039645E" w:rsidRPr="00895C9B">
        <w:rPr>
          <w:rFonts w:ascii="Times New Roman" w:eastAsiaTheme="majorEastAsia" w:hAnsi="Times New Roman" w:cs="Times New Roman"/>
          <w:b/>
          <w:bCs/>
        </w:rPr>
        <w:t>astos no esenciales mantienen un nivel prudente</w:t>
      </w:r>
      <w:bookmarkEnd w:id="54"/>
      <w:bookmarkEnd w:id="55"/>
      <w:r w:rsidR="0039645E" w:rsidRPr="00895C9B">
        <w:rPr>
          <w:rFonts w:ascii="Times New Roman" w:eastAsiaTheme="majorEastAsia" w:hAnsi="Times New Roman" w:cs="Times New Roman"/>
          <w:b/>
          <w:bCs/>
        </w:rPr>
        <w:t xml:space="preserve">  </w:t>
      </w:r>
    </w:p>
    <w:p w14:paraId="58CF7E0E" w14:textId="77777777" w:rsidR="0039645E" w:rsidRPr="004A66F0" w:rsidRDefault="0039645E" w:rsidP="0039645E">
      <w:pPr>
        <w:rPr>
          <w:rFonts w:ascii="Calibri" w:eastAsia="Times New Roman" w:hAnsi="Calibri" w:cs="Times New Roman"/>
          <w:sz w:val="22"/>
          <w:szCs w:val="22"/>
          <w:lang w:val="es-ES_tradnl" w:eastAsia="es-ES"/>
        </w:rPr>
      </w:pPr>
    </w:p>
    <w:p w14:paraId="690B2597" w14:textId="044CC658" w:rsidR="00E203F1" w:rsidRDefault="0039645E" w:rsidP="0039645E">
      <w:pPr>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 xml:space="preserve">En el Decreto </w:t>
      </w:r>
      <w:r w:rsidR="009A26C0">
        <w:rPr>
          <w:rFonts w:ascii="Times New Roman" w:eastAsia="Times New Roman" w:hAnsi="Times New Roman" w:cs="Times New Roman"/>
          <w:sz w:val="22"/>
          <w:szCs w:val="22"/>
          <w:lang w:val="es-ES_tradnl" w:eastAsia="es-ES"/>
        </w:rPr>
        <w:t>N</w:t>
      </w:r>
      <w:r w:rsidRPr="004A66F0">
        <w:rPr>
          <w:rFonts w:ascii="Times New Roman" w:eastAsia="Times New Roman" w:hAnsi="Times New Roman" w:cs="Times New Roman"/>
          <w:sz w:val="22"/>
          <w:szCs w:val="22"/>
          <w:lang w:val="es-ES_tradnl" w:eastAsia="es-ES"/>
        </w:rPr>
        <w:t xml:space="preserve">úmero </w:t>
      </w:r>
      <w:r w:rsidR="00E203F1">
        <w:rPr>
          <w:rFonts w:ascii="Times New Roman" w:eastAsia="Times New Roman" w:hAnsi="Times New Roman" w:cs="Times New Roman"/>
          <w:sz w:val="22"/>
          <w:szCs w:val="22"/>
          <w:lang w:val="es-ES_tradnl" w:eastAsia="es-ES"/>
        </w:rPr>
        <w:t>54</w:t>
      </w:r>
      <w:r w:rsidRPr="004A66F0">
        <w:rPr>
          <w:rFonts w:ascii="Times New Roman" w:eastAsia="Times New Roman" w:hAnsi="Times New Roman" w:cs="Times New Roman"/>
          <w:sz w:val="22"/>
          <w:szCs w:val="22"/>
          <w:lang w:val="es-ES_tradnl" w:eastAsia="es-ES"/>
        </w:rPr>
        <w:t>-202</w:t>
      </w:r>
      <w:r w:rsidR="00E203F1">
        <w:rPr>
          <w:rFonts w:ascii="Times New Roman" w:eastAsia="Times New Roman" w:hAnsi="Times New Roman" w:cs="Times New Roman"/>
          <w:sz w:val="22"/>
          <w:szCs w:val="22"/>
          <w:lang w:val="es-ES_tradnl" w:eastAsia="es-ES"/>
        </w:rPr>
        <w:t>2</w:t>
      </w:r>
      <w:r w:rsidRPr="004A66F0">
        <w:rPr>
          <w:rFonts w:ascii="Times New Roman" w:eastAsia="Times New Roman" w:hAnsi="Times New Roman" w:cs="Times New Roman"/>
          <w:sz w:val="22"/>
          <w:szCs w:val="22"/>
          <w:lang w:val="es-ES_tradnl" w:eastAsia="es-ES"/>
        </w:rPr>
        <w:t xml:space="preserve"> Ley del Presupuesto General de Ingresos y Egresos del Estado para el Ejercicio Fiscal 202</w:t>
      </w:r>
      <w:r w:rsidR="00E203F1">
        <w:rPr>
          <w:rFonts w:ascii="Times New Roman" w:eastAsia="Times New Roman" w:hAnsi="Times New Roman" w:cs="Times New Roman"/>
          <w:sz w:val="22"/>
          <w:szCs w:val="22"/>
          <w:lang w:val="es-ES_tradnl" w:eastAsia="es-ES"/>
        </w:rPr>
        <w:t>3</w:t>
      </w:r>
      <w:r w:rsidR="00B041FE">
        <w:rPr>
          <w:rFonts w:ascii="Times New Roman" w:eastAsia="Times New Roman" w:hAnsi="Times New Roman" w:cs="Times New Roman"/>
          <w:sz w:val="22"/>
          <w:szCs w:val="22"/>
          <w:lang w:val="es-ES_tradnl" w:eastAsia="es-ES"/>
        </w:rPr>
        <w:t>,</w:t>
      </w:r>
      <w:r w:rsidRPr="004A66F0">
        <w:rPr>
          <w:rFonts w:ascii="Times New Roman" w:eastAsia="Times New Roman" w:hAnsi="Times New Roman" w:cs="Times New Roman"/>
          <w:sz w:val="22"/>
          <w:szCs w:val="22"/>
          <w:lang w:val="es-ES_tradnl" w:eastAsia="es-ES"/>
        </w:rPr>
        <w:t xml:space="preserve"> en el artículo 2</w:t>
      </w:r>
      <w:r w:rsidR="00E203F1">
        <w:rPr>
          <w:rFonts w:ascii="Times New Roman" w:eastAsia="Times New Roman" w:hAnsi="Times New Roman" w:cs="Times New Roman"/>
          <w:sz w:val="22"/>
          <w:szCs w:val="22"/>
          <w:lang w:val="es-ES_tradnl" w:eastAsia="es-ES"/>
        </w:rPr>
        <w:t>1</w:t>
      </w:r>
      <w:r w:rsidR="00295B39">
        <w:rPr>
          <w:rFonts w:ascii="Times New Roman" w:eastAsia="Times New Roman" w:hAnsi="Times New Roman" w:cs="Times New Roman"/>
          <w:sz w:val="22"/>
          <w:szCs w:val="22"/>
          <w:lang w:val="es-ES_tradnl" w:eastAsia="es-ES"/>
        </w:rPr>
        <w:t xml:space="preserve"> “Seguimiento en la estrategia para la mejora de la ejecución y calidad del gasto público” </w:t>
      </w:r>
      <w:r w:rsidR="0008689C">
        <w:rPr>
          <w:rFonts w:ascii="Times New Roman" w:eastAsia="Times New Roman" w:hAnsi="Times New Roman" w:cs="Times New Roman"/>
          <w:sz w:val="22"/>
          <w:szCs w:val="22"/>
          <w:lang w:val="es-ES_tradnl" w:eastAsia="es-ES"/>
        </w:rPr>
        <w:t xml:space="preserve">se </w:t>
      </w:r>
      <w:r w:rsidR="00295B39">
        <w:rPr>
          <w:rFonts w:ascii="Times New Roman" w:eastAsia="Times New Roman" w:hAnsi="Times New Roman" w:cs="Times New Roman"/>
          <w:sz w:val="22"/>
          <w:szCs w:val="22"/>
          <w:lang w:val="es-ES_tradnl" w:eastAsia="es-ES"/>
        </w:rPr>
        <w:t>establece que todos los funcionarios y empleados públicos, en es</w:t>
      </w:r>
      <w:r w:rsidR="004D0EB9">
        <w:rPr>
          <w:rFonts w:ascii="Times New Roman" w:eastAsia="Times New Roman" w:hAnsi="Times New Roman" w:cs="Times New Roman"/>
          <w:sz w:val="22"/>
          <w:szCs w:val="22"/>
          <w:lang w:val="es-ES_tradnl" w:eastAsia="es-ES"/>
        </w:rPr>
        <w:t>pecial las autoridades de las instituciones, tienen la obligación de promover y velar que las acciones del Estado sean eficaces, eficientes y equitativas, continuar con el logro de los re</w:t>
      </w:r>
      <w:r w:rsidR="00FF781D">
        <w:rPr>
          <w:rFonts w:ascii="Times New Roman" w:eastAsia="Times New Roman" w:hAnsi="Times New Roman" w:cs="Times New Roman"/>
          <w:sz w:val="22"/>
          <w:szCs w:val="22"/>
          <w:lang w:val="es-ES_tradnl" w:eastAsia="es-ES"/>
        </w:rPr>
        <w:t>sultados</w:t>
      </w:r>
      <w:r w:rsidR="004D0EB9">
        <w:rPr>
          <w:rFonts w:ascii="Times New Roman" w:eastAsia="Times New Roman" w:hAnsi="Times New Roman" w:cs="Times New Roman"/>
          <w:sz w:val="22"/>
          <w:szCs w:val="22"/>
          <w:lang w:val="es-ES_tradnl" w:eastAsia="es-ES"/>
        </w:rPr>
        <w:t xml:space="preserve"> establecidos, considerando la razón de ser de los programas presupuestarios, y focalizar el gasto en beneficio de la población más necesitada. </w:t>
      </w:r>
    </w:p>
    <w:p w14:paraId="0DA2239C" w14:textId="40C22BF0" w:rsidR="004D0EB9" w:rsidRDefault="004D0EB9" w:rsidP="0039645E">
      <w:pPr>
        <w:jc w:val="both"/>
        <w:rPr>
          <w:rFonts w:ascii="Times New Roman" w:eastAsia="Times New Roman" w:hAnsi="Times New Roman" w:cs="Times New Roman"/>
          <w:sz w:val="22"/>
          <w:szCs w:val="22"/>
          <w:lang w:val="es-ES_tradnl" w:eastAsia="es-ES"/>
        </w:rPr>
      </w:pPr>
    </w:p>
    <w:p w14:paraId="741C76D8" w14:textId="1061CC34" w:rsidR="004D0EB9" w:rsidRDefault="004D0EB9" w:rsidP="0039645E">
      <w:pPr>
        <w:jc w:val="both"/>
        <w:rPr>
          <w:rFonts w:ascii="Times New Roman" w:eastAsia="Times New Roman" w:hAnsi="Times New Roman" w:cs="Times New Roman"/>
          <w:sz w:val="22"/>
          <w:szCs w:val="22"/>
          <w:lang w:val="es-ES_tradnl" w:eastAsia="es-ES"/>
        </w:rPr>
      </w:pPr>
      <w:r>
        <w:rPr>
          <w:rFonts w:ascii="Times New Roman" w:eastAsia="Times New Roman" w:hAnsi="Times New Roman" w:cs="Times New Roman"/>
          <w:sz w:val="22"/>
          <w:szCs w:val="22"/>
          <w:lang w:val="es-ES_tradnl" w:eastAsia="es-ES"/>
        </w:rPr>
        <w:t xml:space="preserve">Para ello las entidades debían publicar en sus portales web, una estrategia de trabajo que tuviera, entre otros: </w:t>
      </w:r>
    </w:p>
    <w:p w14:paraId="69B8085C" w14:textId="2B2FCFAA" w:rsidR="004D0EB9" w:rsidRPr="004D0EB9" w:rsidRDefault="004D0EB9" w:rsidP="004D0EB9">
      <w:pPr>
        <w:pStyle w:val="Prrafodelista"/>
        <w:numPr>
          <w:ilvl w:val="0"/>
          <w:numId w:val="6"/>
        </w:numPr>
        <w:jc w:val="both"/>
        <w:rPr>
          <w:rFonts w:ascii="Times New Roman" w:eastAsia="Times New Roman" w:hAnsi="Times New Roman" w:cs="Times New Roman"/>
          <w:lang w:val="es-ES_tradnl" w:eastAsia="es-ES"/>
        </w:rPr>
      </w:pPr>
      <w:r>
        <w:rPr>
          <w:rFonts w:ascii="Times New Roman" w:eastAsia="Times New Roman" w:hAnsi="Times New Roman" w:cs="Times New Roman"/>
          <w:lang w:val="es-ES_tradnl" w:eastAsia="es-ES"/>
        </w:rPr>
        <w:t xml:space="preserve">Propuesta de medidas de transparencia y eliminación del gasto </w:t>
      </w:r>
      <w:r w:rsidR="00F534B0">
        <w:rPr>
          <w:rFonts w:ascii="Times New Roman" w:eastAsia="Times New Roman" w:hAnsi="Times New Roman" w:cs="Times New Roman"/>
          <w:lang w:val="es-ES_tradnl" w:eastAsia="es-ES"/>
        </w:rPr>
        <w:t>superfluo</w:t>
      </w:r>
      <w:r>
        <w:rPr>
          <w:rFonts w:ascii="Times New Roman" w:eastAsia="Times New Roman" w:hAnsi="Times New Roman" w:cs="Times New Roman"/>
          <w:lang w:val="es-ES_tradnl" w:eastAsia="es-ES"/>
        </w:rPr>
        <w:t xml:space="preserve">, conforme a principios de austeridad </w:t>
      </w:r>
      <w:r w:rsidR="00F534B0">
        <w:rPr>
          <w:rFonts w:ascii="Times New Roman" w:eastAsia="Times New Roman" w:hAnsi="Times New Roman" w:cs="Times New Roman"/>
          <w:lang w:val="es-ES_tradnl" w:eastAsia="es-ES"/>
        </w:rPr>
        <w:t xml:space="preserve">y responsabilidad fiscal. </w:t>
      </w:r>
    </w:p>
    <w:p w14:paraId="0BE9E9D0" w14:textId="77777777" w:rsidR="00E203F1" w:rsidRDefault="00E203F1" w:rsidP="0039645E">
      <w:pPr>
        <w:jc w:val="both"/>
        <w:rPr>
          <w:rFonts w:ascii="Times New Roman" w:eastAsia="Times New Roman" w:hAnsi="Times New Roman" w:cs="Times New Roman"/>
          <w:sz w:val="22"/>
          <w:szCs w:val="22"/>
          <w:lang w:val="es-ES_tradnl" w:eastAsia="es-ES"/>
        </w:rPr>
      </w:pPr>
    </w:p>
    <w:p w14:paraId="2B23C73D" w14:textId="12E39D24" w:rsidR="0039645E" w:rsidRPr="004A66F0" w:rsidRDefault="00F534B0" w:rsidP="0039645E">
      <w:pPr>
        <w:jc w:val="both"/>
        <w:rPr>
          <w:rFonts w:ascii="Times New Roman" w:eastAsia="Times New Roman" w:hAnsi="Times New Roman" w:cs="Times New Roman"/>
          <w:sz w:val="22"/>
          <w:szCs w:val="22"/>
          <w:lang w:val="es-ES_tradnl" w:eastAsia="es-ES"/>
        </w:rPr>
      </w:pPr>
      <w:r>
        <w:rPr>
          <w:rFonts w:ascii="Times New Roman" w:eastAsia="Times New Roman" w:hAnsi="Times New Roman" w:cs="Times New Roman"/>
          <w:sz w:val="22"/>
          <w:szCs w:val="22"/>
          <w:lang w:val="es-ES_tradnl" w:eastAsia="es-ES"/>
        </w:rPr>
        <w:t xml:space="preserve">Adicionalmente, el artículo 27 establece la </w:t>
      </w:r>
      <w:r w:rsidR="0039645E" w:rsidRPr="004A66F0">
        <w:rPr>
          <w:rFonts w:ascii="Times New Roman" w:eastAsia="Times New Roman" w:hAnsi="Times New Roman" w:cs="Times New Roman"/>
          <w:sz w:val="22"/>
          <w:szCs w:val="22"/>
          <w:lang w:val="es-ES_tradnl" w:eastAsia="es-ES"/>
        </w:rPr>
        <w:t>“prohibición de gastos superfluos”</w:t>
      </w:r>
      <w:r>
        <w:rPr>
          <w:rFonts w:ascii="Times New Roman" w:eastAsia="Times New Roman" w:hAnsi="Times New Roman" w:cs="Times New Roman"/>
          <w:sz w:val="22"/>
          <w:szCs w:val="22"/>
          <w:lang w:val="es-ES_tradnl" w:eastAsia="es-ES"/>
        </w:rPr>
        <w:t xml:space="preserve"> en el cual se</w:t>
      </w:r>
      <w:r w:rsidR="0039645E" w:rsidRPr="004A66F0">
        <w:rPr>
          <w:rFonts w:ascii="Times New Roman" w:eastAsia="Times New Roman" w:hAnsi="Times New Roman" w:cs="Times New Roman"/>
          <w:sz w:val="22"/>
          <w:szCs w:val="22"/>
          <w:lang w:val="es-ES_tradnl" w:eastAsia="es-ES"/>
        </w:rPr>
        <w:t xml:space="preserve"> prohíbe el uso de las asignaciones de gasto público para: </w:t>
      </w:r>
    </w:p>
    <w:p w14:paraId="169F4089" w14:textId="77777777" w:rsidR="0039645E" w:rsidRPr="004A66F0" w:rsidRDefault="0039645E" w:rsidP="0039645E">
      <w:pPr>
        <w:jc w:val="both"/>
        <w:rPr>
          <w:rFonts w:ascii="Times New Roman" w:eastAsia="Times New Roman" w:hAnsi="Times New Roman" w:cs="Times New Roman"/>
          <w:sz w:val="22"/>
          <w:szCs w:val="22"/>
          <w:lang w:val="es-ES_tradnl" w:eastAsia="es-ES"/>
        </w:rPr>
      </w:pPr>
    </w:p>
    <w:p w14:paraId="767B8548" w14:textId="77777777" w:rsidR="0039645E" w:rsidRPr="004A66F0" w:rsidRDefault="0039645E" w:rsidP="0039645E">
      <w:pPr>
        <w:numPr>
          <w:ilvl w:val="0"/>
          <w:numId w:val="2"/>
        </w:numPr>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Alimentos y bebidas para los despachos de ministros, viceministros, secretarios y subsecretarios del Organismo Ejecutivo</w:t>
      </w:r>
    </w:p>
    <w:p w14:paraId="7BB5203A" w14:textId="77777777" w:rsidR="0039645E" w:rsidRPr="004A66F0" w:rsidRDefault="0039645E" w:rsidP="0039645E">
      <w:pPr>
        <w:numPr>
          <w:ilvl w:val="0"/>
          <w:numId w:val="2"/>
        </w:numPr>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Combustible para los vehículos al servicio de ministros, viceministros, secretarios y subsecretarios del Organismo Ejecutivo</w:t>
      </w:r>
    </w:p>
    <w:p w14:paraId="6EA241AF" w14:textId="77777777" w:rsidR="0039645E" w:rsidRPr="004A66F0" w:rsidRDefault="0039645E" w:rsidP="0039645E">
      <w:pPr>
        <w:numPr>
          <w:ilvl w:val="0"/>
          <w:numId w:val="2"/>
        </w:numPr>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Telefonía móvil en exceso a Q600 para ministros, viceministros, secretarios y subsecretarios y directores generales del Organismo Ejecutivo.</w:t>
      </w:r>
    </w:p>
    <w:p w14:paraId="61BED713" w14:textId="13E51A23" w:rsidR="0039645E" w:rsidRPr="004A66F0" w:rsidRDefault="0039645E" w:rsidP="0039645E">
      <w:pPr>
        <w:numPr>
          <w:ilvl w:val="0"/>
          <w:numId w:val="2"/>
        </w:numPr>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 xml:space="preserve">Gastos relacionados con viajes al exterior, incluyendo viáticos, gastos de representación en el exterior para ministros, viceministros, secretarios y subsecretarios del Organismo Ejecutivo. Se exceptúa de esta prohibición a ministros, viceministros, secretarios y subsecretarios, en los siguientes casos: 1) cuando representen al Estado de Guatemala ante </w:t>
      </w:r>
      <w:r w:rsidRPr="004A66F0">
        <w:rPr>
          <w:rFonts w:ascii="Times New Roman" w:eastAsia="Times New Roman" w:hAnsi="Times New Roman" w:cs="Times New Roman"/>
          <w:sz w:val="22"/>
          <w:szCs w:val="22"/>
          <w:lang w:val="es-ES_tradnl" w:eastAsia="es-ES"/>
        </w:rPr>
        <w:lastRenderedPageBreak/>
        <w:t>Organismos Internacionales o Regionales; 2) en los casos que participen en eventos de estricto interés del Estado a nivel bilateral o multilateral, en cuyo caso deberán informar previamente ante el Ministerio de Relaciones Exteriores; y</w:t>
      </w:r>
      <w:r w:rsidR="004B261E">
        <w:rPr>
          <w:rFonts w:ascii="Times New Roman" w:eastAsia="Times New Roman" w:hAnsi="Times New Roman" w:cs="Times New Roman"/>
          <w:sz w:val="22"/>
          <w:szCs w:val="22"/>
          <w:lang w:val="es-ES_tradnl" w:eastAsia="es-ES"/>
        </w:rPr>
        <w:t>,</w:t>
      </w:r>
      <w:r w:rsidRPr="004A66F0">
        <w:rPr>
          <w:rFonts w:ascii="Times New Roman" w:eastAsia="Times New Roman" w:hAnsi="Times New Roman" w:cs="Times New Roman"/>
          <w:sz w:val="22"/>
          <w:szCs w:val="22"/>
          <w:lang w:val="es-ES_tradnl" w:eastAsia="es-ES"/>
        </w:rPr>
        <w:t xml:space="preserve"> 3) Ministro y Viceministros de Economía cuando realicen actividades directamente inherentes a su despacho. </w:t>
      </w:r>
    </w:p>
    <w:p w14:paraId="714DE185" w14:textId="77777777" w:rsidR="0039645E" w:rsidRPr="004A66F0" w:rsidRDefault="0039645E" w:rsidP="0039645E">
      <w:pPr>
        <w:jc w:val="both"/>
        <w:rPr>
          <w:rFonts w:ascii="Times New Roman" w:eastAsia="Times New Roman" w:hAnsi="Times New Roman" w:cs="Times New Roman"/>
          <w:sz w:val="22"/>
          <w:szCs w:val="22"/>
          <w:lang w:val="es-ES_tradnl" w:eastAsia="es-ES"/>
        </w:rPr>
      </w:pPr>
    </w:p>
    <w:p w14:paraId="7E568CEF" w14:textId="2231AD9D" w:rsidR="005B4F12" w:rsidRDefault="0039645E" w:rsidP="0039645E">
      <w:pPr>
        <w:jc w:val="both"/>
        <w:rPr>
          <w:rFonts w:ascii="Times New Roman" w:eastAsia="Times New Roman" w:hAnsi="Times New Roman" w:cs="Times New Roman"/>
          <w:sz w:val="22"/>
          <w:szCs w:val="22"/>
          <w:lang w:val="es-ES_tradnl" w:eastAsia="es-ES"/>
        </w:rPr>
      </w:pPr>
      <w:r w:rsidRPr="005B4F12">
        <w:rPr>
          <w:rFonts w:ascii="Times New Roman" w:eastAsia="Times New Roman" w:hAnsi="Times New Roman" w:cs="Times New Roman"/>
          <w:sz w:val="22"/>
          <w:szCs w:val="22"/>
          <w:lang w:val="es-ES_tradnl" w:eastAsia="es-ES"/>
        </w:rPr>
        <w:t>Adicionalmente, por medio del Oficio Circular número 01-202</w:t>
      </w:r>
      <w:r w:rsidR="005B4F12" w:rsidRPr="005B4F12">
        <w:rPr>
          <w:rFonts w:ascii="Times New Roman" w:eastAsia="Times New Roman" w:hAnsi="Times New Roman" w:cs="Times New Roman"/>
          <w:sz w:val="22"/>
          <w:szCs w:val="22"/>
          <w:lang w:val="es-ES_tradnl" w:eastAsia="es-ES"/>
        </w:rPr>
        <w:t>3</w:t>
      </w:r>
      <w:r w:rsidRPr="005B4F12">
        <w:rPr>
          <w:rFonts w:ascii="Times New Roman" w:eastAsia="Times New Roman" w:hAnsi="Times New Roman" w:cs="Times New Roman"/>
          <w:sz w:val="22"/>
          <w:szCs w:val="22"/>
          <w:lang w:val="es-ES_tradnl" w:eastAsia="es-ES"/>
        </w:rPr>
        <w:t>/MINFIN</w:t>
      </w:r>
      <w:r w:rsidR="004B261E">
        <w:rPr>
          <w:rFonts w:ascii="Times New Roman" w:eastAsia="Times New Roman" w:hAnsi="Times New Roman" w:cs="Times New Roman"/>
          <w:sz w:val="22"/>
          <w:szCs w:val="22"/>
          <w:lang w:val="es-ES_tradnl" w:eastAsia="es-ES"/>
        </w:rPr>
        <w:t>,</w:t>
      </w:r>
      <w:r w:rsidRPr="005B4F12">
        <w:rPr>
          <w:rFonts w:ascii="Times New Roman" w:eastAsia="Times New Roman" w:hAnsi="Times New Roman" w:cs="Times New Roman"/>
          <w:sz w:val="22"/>
          <w:szCs w:val="22"/>
          <w:lang w:val="es-ES_tradnl" w:eastAsia="es-ES"/>
        </w:rPr>
        <w:t xml:space="preserve"> se informó sobre las disposiciones presidenciales para la eficiencia, control y priorización del gasto público para el ejercicio fiscal 202</w:t>
      </w:r>
      <w:r w:rsidR="005B4F12" w:rsidRPr="005B4F12">
        <w:rPr>
          <w:rFonts w:ascii="Times New Roman" w:eastAsia="Times New Roman" w:hAnsi="Times New Roman" w:cs="Times New Roman"/>
          <w:sz w:val="22"/>
          <w:szCs w:val="22"/>
          <w:lang w:val="es-ES_tradnl" w:eastAsia="es-ES"/>
        </w:rPr>
        <w:t>3</w:t>
      </w:r>
      <w:r w:rsidRPr="005B4F12">
        <w:rPr>
          <w:rFonts w:ascii="Times New Roman" w:eastAsia="Times New Roman" w:hAnsi="Times New Roman" w:cs="Times New Roman"/>
          <w:sz w:val="22"/>
          <w:szCs w:val="22"/>
          <w:lang w:val="es-ES_tradnl" w:eastAsia="es-ES"/>
        </w:rPr>
        <w:t>,</w:t>
      </w:r>
      <w:r w:rsidR="005B4F12" w:rsidRPr="005B4F12">
        <w:rPr>
          <w:rFonts w:ascii="Times New Roman" w:eastAsia="Times New Roman" w:hAnsi="Times New Roman" w:cs="Times New Roman"/>
          <w:sz w:val="22"/>
          <w:szCs w:val="22"/>
          <w:lang w:val="es-ES_tradnl" w:eastAsia="es-ES"/>
        </w:rPr>
        <w:t xml:space="preserve"> las cuales cobraron vigencia a partir del 01 de agosto al 31 de diciembre de 2023.</w:t>
      </w:r>
      <w:r w:rsidRPr="005B4F12">
        <w:rPr>
          <w:rFonts w:ascii="Times New Roman" w:eastAsia="Times New Roman" w:hAnsi="Times New Roman" w:cs="Times New Roman"/>
          <w:sz w:val="22"/>
          <w:szCs w:val="22"/>
          <w:lang w:val="es-ES_tradnl" w:eastAsia="es-ES"/>
        </w:rPr>
        <w:t xml:space="preserve"> </w:t>
      </w:r>
      <w:r w:rsidR="005B4F12">
        <w:rPr>
          <w:rFonts w:ascii="Times New Roman" w:eastAsia="Times New Roman" w:hAnsi="Times New Roman" w:cs="Times New Roman"/>
          <w:sz w:val="22"/>
          <w:szCs w:val="22"/>
          <w:lang w:val="es-ES_tradnl" w:eastAsia="es-ES"/>
        </w:rPr>
        <w:t xml:space="preserve">Los lineamientos establecidos por dicha base legal, son de cumplimiento obligatorio para todas las entidades del sector público, por lo que se recomendó a las unidades ejecutoras, que se apegaran a la normativa durante la ejecución y liquidación del ejercicio 2023. </w:t>
      </w:r>
    </w:p>
    <w:p w14:paraId="42FADB80" w14:textId="77777777" w:rsidR="005B4F12" w:rsidRDefault="005B4F12" w:rsidP="0039645E">
      <w:pPr>
        <w:jc w:val="both"/>
        <w:rPr>
          <w:rFonts w:ascii="Times New Roman" w:eastAsia="Times New Roman" w:hAnsi="Times New Roman" w:cs="Times New Roman"/>
          <w:sz w:val="22"/>
          <w:szCs w:val="22"/>
          <w:highlight w:val="yellow"/>
          <w:lang w:val="es-ES_tradnl" w:eastAsia="es-ES"/>
        </w:rPr>
      </w:pPr>
    </w:p>
    <w:p w14:paraId="1E348F81" w14:textId="2585CEC3" w:rsidR="005B4F12" w:rsidRPr="005B4F12" w:rsidRDefault="005B4F12" w:rsidP="0039645E">
      <w:pPr>
        <w:jc w:val="both"/>
        <w:rPr>
          <w:rFonts w:ascii="Times New Roman" w:eastAsia="Times New Roman" w:hAnsi="Times New Roman" w:cs="Times New Roman"/>
          <w:sz w:val="22"/>
          <w:szCs w:val="22"/>
          <w:lang w:val="es-ES_tradnl" w:eastAsia="es-ES"/>
        </w:rPr>
      </w:pPr>
      <w:r>
        <w:rPr>
          <w:rFonts w:ascii="Times New Roman" w:eastAsia="Times New Roman" w:hAnsi="Times New Roman" w:cs="Times New Roman"/>
          <w:sz w:val="22"/>
          <w:szCs w:val="22"/>
          <w:lang w:val="es-ES_tradnl" w:eastAsia="es-ES"/>
        </w:rPr>
        <w:t>S</w:t>
      </w:r>
      <w:r w:rsidR="0039645E" w:rsidRPr="005B4F12">
        <w:rPr>
          <w:rFonts w:ascii="Times New Roman" w:eastAsia="Times New Roman" w:hAnsi="Times New Roman" w:cs="Times New Roman"/>
          <w:sz w:val="22"/>
          <w:szCs w:val="22"/>
          <w:lang w:val="es-ES_tradnl" w:eastAsia="es-ES"/>
        </w:rPr>
        <w:t xml:space="preserve">e consideró </w:t>
      </w:r>
      <w:r w:rsidRPr="005B4F12">
        <w:rPr>
          <w:rFonts w:ascii="Times New Roman" w:eastAsia="Times New Roman" w:hAnsi="Times New Roman" w:cs="Times New Roman"/>
          <w:sz w:val="22"/>
          <w:szCs w:val="22"/>
          <w:lang w:val="es-ES_tradnl" w:eastAsia="es-ES"/>
        </w:rPr>
        <w:t xml:space="preserve">de suma importancia realizar medidas que propicien mayor productividad del gasto público, aprovechando la disponibilidad presupuestaria con el fin de proveer una adecuada prestación de los bienes y servicios públicos dirigidos a la población. </w:t>
      </w:r>
    </w:p>
    <w:p w14:paraId="70F719E8" w14:textId="1959C8C3" w:rsidR="005B4F12" w:rsidRDefault="005B4F12" w:rsidP="0039645E">
      <w:pPr>
        <w:jc w:val="both"/>
        <w:rPr>
          <w:rFonts w:ascii="Times New Roman" w:eastAsia="Times New Roman" w:hAnsi="Times New Roman" w:cs="Times New Roman"/>
          <w:sz w:val="22"/>
          <w:szCs w:val="22"/>
          <w:highlight w:val="yellow"/>
          <w:lang w:val="es-ES_tradnl" w:eastAsia="es-ES"/>
        </w:rPr>
      </w:pPr>
    </w:p>
    <w:p w14:paraId="2477A3FA" w14:textId="28B05211" w:rsidR="005B4F12" w:rsidRDefault="005B4F12" w:rsidP="0039645E">
      <w:pPr>
        <w:jc w:val="both"/>
        <w:rPr>
          <w:rFonts w:ascii="Times New Roman" w:eastAsia="Times New Roman" w:hAnsi="Times New Roman" w:cs="Times New Roman"/>
          <w:sz w:val="22"/>
          <w:szCs w:val="22"/>
          <w:lang w:val="es-ES_tradnl" w:eastAsia="es-ES"/>
        </w:rPr>
      </w:pPr>
      <w:r w:rsidRPr="005B4F12">
        <w:rPr>
          <w:rFonts w:ascii="Times New Roman" w:eastAsia="Times New Roman" w:hAnsi="Times New Roman" w:cs="Times New Roman"/>
          <w:sz w:val="22"/>
          <w:szCs w:val="22"/>
          <w:lang w:val="es-ES_tradnl" w:eastAsia="es-ES"/>
        </w:rPr>
        <w:t>En tal sentido</w:t>
      </w:r>
      <w:r>
        <w:rPr>
          <w:rFonts w:ascii="Times New Roman" w:eastAsia="Times New Roman" w:hAnsi="Times New Roman" w:cs="Times New Roman"/>
          <w:sz w:val="22"/>
          <w:szCs w:val="22"/>
          <w:lang w:val="es-ES_tradnl" w:eastAsia="es-ES"/>
        </w:rPr>
        <w:t>, las Entidades del Sector Público debían utilizar sus asignaciones presupuestarias bajo los principios de racionalidad económica, eficiencia, austeridad, transparencia y contención del gasto público</w:t>
      </w:r>
      <w:r w:rsidR="001730B4">
        <w:rPr>
          <w:rFonts w:ascii="Times New Roman" w:eastAsia="Times New Roman" w:hAnsi="Times New Roman" w:cs="Times New Roman"/>
          <w:sz w:val="22"/>
          <w:szCs w:val="22"/>
          <w:lang w:val="es-ES_tradnl" w:eastAsia="es-ES"/>
        </w:rPr>
        <w:t xml:space="preserve">, priorizando los recursos asignados a las actividades sustantivas que estuvieran orientadas a la prestación de bienes y servicios dirigidos a la población, evitando realizar gastos innecesarios o contraer compromisos que afecten la disponibilidad de caja. </w:t>
      </w:r>
    </w:p>
    <w:p w14:paraId="0F492920" w14:textId="04BB6707" w:rsidR="001730B4" w:rsidRDefault="001730B4" w:rsidP="0039645E">
      <w:pPr>
        <w:jc w:val="both"/>
        <w:rPr>
          <w:rFonts w:ascii="Times New Roman" w:eastAsia="Times New Roman" w:hAnsi="Times New Roman" w:cs="Times New Roman"/>
          <w:sz w:val="22"/>
          <w:szCs w:val="22"/>
          <w:lang w:val="es-ES_tradnl" w:eastAsia="es-ES"/>
        </w:rPr>
      </w:pPr>
    </w:p>
    <w:p w14:paraId="2AAC959C" w14:textId="556E6429" w:rsidR="0039645E" w:rsidRPr="00F534B0" w:rsidRDefault="0039645E" w:rsidP="0039645E">
      <w:pPr>
        <w:jc w:val="both"/>
        <w:rPr>
          <w:rFonts w:ascii="Times New Roman" w:eastAsia="Times New Roman" w:hAnsi="Times New Roman" w:cs="Times New Roman"/>
          <w:sz w:val="22"/>
          <w:szCs w:val="22"/>
          <w:highlight w:val="yellow"/>
          <w:lang w:val="es-ES_tradnl" w:eastAsia="es-ES"/>
        </w:rPr>
      </w:pPr>
      <w:r w:rsidRPr="001730B4">
        <w:rPr>
          <w:rFonts w:ascii="Times New Roman" w:eastAsia="Times New Roman" w:hAnsi="Times New Roman" w:cs="Times New Roman"/>
          <w:sz w:val="22"/>
          <w:szCs w:val="22"/>
          <w:lang w:val="es-ES_tradnl" w:eastAsia="es-ES"/>
        </w:rPr>
        <w:t>Bajo ese contexto, se consideró necesario adoptar un manejo prudente de las finanzas públicas, siendo de observancia general</w:t>
      </w:r>
      <w:r w:rsidR="00400D3F">
        <w:rPr>
          <w:rFonts w:ascii="Times New Roman" w:eastAsia="Times New Roman" w:hAnsi="Times New Roman" w:cs="Times New Roman"/>
          <w:sz w:val="22"/>
          <w:szCs w:val="22"/>
          <w:lang w:val="es-ES_tradnl" w:eastAsia="es-ES"/>
        </w:rPr>
        <w:t xml:space="preserve"> las siguientes disposiciones</w:t>
      </w:r>
      <w:r w:rsidRPr="001730B4">
        <w:rPr>
          <w:rFonts w:ascii="Times New Roman" w:eastAsia="Times New Roman" w:hAnsi="Times New Roman" w:cs="Times New Roman"/>
          <w:sz w:val="22"/>
          <w:szCs w:val="22"/>
          <w:lang w:val="es-ES_tradnl" w:eastAsia="es-ES"/>
        </w:rPr>
        <w:t xml:space="preserve">: </w:t>
      </w:r>
    </w:p>
    <w:p w14:paraId="39F45751" w14:textId="77777777" w:rsidR="0039645E" w:rsidRPr="00754A11" w:rsidRDefault="0039645E" w:rsidP="0039645E">
      <w:pPr>
        <w:jc w:val="both"/>
        <w:rPr>
          <w:rFonts w:ascii="Times New Roman" w:eastAsia="Times New Roman" w:hAnsi="Times New Roman" w:cs="Times New Roman"/>
          <w:sz w:val="16"/>
          <w:szCs w:val="16"/>
          <w:lang w:val="es-ES_tradnl" w:eastAsia="es-ES"/>
        </w:rPr>
      </w:pPr>
    </w:p>
    <w:p w14:paraId="4DE9416F" w14:textId="41103509" w:rsidR="001730B4" w:rsidRPr="00754A11" w:rsidRDefault="00400D3F" w:rsidP="001730B4">
      <w:pPr>
        <w:numPr>
          <w:ilvl w:val="0"/>
          <w:numId w:val="3"/>
        </w:numPr>
        <w:contextualSpacing/>
        <w:jc w:val="both"/>
        <w:rPr>
          <w:rFonts w:ascii="Times New Roman" w:eastAsia="Times New Roman" w:hAnsi="Times New Roman" w:cs="Times New Roman"/>
          <w:sz w:val="22"/>
          <w:szCs w:val="22"/>
          <w:lang w:val="es-ES_tradnl" w:eastAsia="es-ES"/>
        </w:rPr>
      </w:pPr>
      <w:r w:rsidRPr="00754A11">
        <w:rPr>
          <w:rFonts w:ascii="Times New Roman" w:eastAsia="Times New Roman" w:hAnsi="Times New Roman" w:cs="Times New Roman"/>
          <w:sz w:val="22"/>
          <w:szCs w:val="22"/>
          <w:lang w:val="es-ES_tradnl" w:eastAsia="es-ES"/>
        </w:rPr>
        <w:t>La aprobación de las cuotas financieras de origen tributario estaba</w:t>
      </w:r>
      <w:r w:rsidR="0008689C">
        <w:rPr>
          <w:rFonts w:ascii="Times New Roman" w:eastAsia="Times New Roman" w:hAnsi="Times New Roman" w:cs="Times New Roman"/>
          <w:sz w:val="22"/>
          <w:szCs w:val="22"/>
          <w:lang w:val="es-ES_tradnl" w:eastAsia="es-ES"/>
        </w:rPr>
        <w:t xml:space="preserve"> supeditada</w:t>
      </w:r>
      <w:r w:rsidR="0008689C" w:rsidRPr="00754A11">
        <w:rPr>
          <w:rFonts w:ascii="Times New Roman" w:eastAsia="Times New Roman" w:hAnsi="Times New Roman" w:cs="Times New Roman"/>
          <w:sz w:val="22"/>
          <w:szCs w:val="22"/>
          <w:lang w:val="es-ES_tradnl" w:eastAsia="es-ES"/>
        </w:rPr>
        <w:t xml:space="preserve"> </w:t>
      </w:r>
      <w:r w:rsidR="001730B4" w:rsidRPr="00754A11">
        <w:rPr>
          <w:rFonts w:ascii="Times New Roman" w:eastAsia="Times New Roman" w:hAnsi="Times New Roman" w:cs="Times New Roman"/>
          <w:sz w:val="22"/>
          <w:szCs w:val="22"/>
          <w:lang w:val="es-ES_tradnl" w:eastAsia="es-ES"/>
        </w:rPr>
        <w:t>a la disponibilidad financiera, en función del comportamiento de la recaudación tributari</w:t>
      </w:r>
      <w:r w:rsidRPr="00754A11">
        <w:rPr>
          <w:rFonts w:ascii="Times New Roman" w:eastAsia="Times New Roman" w:hAnsi="Times New Roman" w:cs="Times New Roman"/>
          <w:sz w:val="22"/>
          <w:szCs w:val="22"/>
          <w:lang w:val="es-ES_tradnl" w:eastAsia="es-ES"/>
        </w:rPr>
        <w:t xml:space="preserve">a y de acuerdo con los lineamientos establecidos. </w:t>
      </w:r>
    </w:p>
    <w:p w14:paraId="795FB157" w14:textId="5FA12953" w:rsidR="001730B4" w:rsidRPr="00754A11" w:rsidRDefault="00400D3F" w:rsidP="0039645E">
      <w:pPr>
        <w:numPr>
          <w:ilvl w:val="0"/>
          <w:numId w:val="3"/>
        </w:numPr>
        <w:contextualSpacing/>
        <w:jc w:val="both"/>
        <w:rPr>
          <w:rFonts w:ascii="Times New Roman" w:eastAsia="Times New Roman" w:hAnsi="Times New Roman" w:cs="Times New Roman"/>
          <w:sz w:val="22"/>
          <w:szCs w:val="22"/>
          <w:lang w:val="es-ES_tradnl" w:eastAsia="es-ES"/>
        </w:rPr>
      </w:pPr>
      <w:r w:rsidRPr="00754A11">
        <w:rPr>
          <w:rFonts w:ascii="Times New Roman" w:eastAsia="Times New Roman" w:hAnsi="Times New Roman" w:cs="Times New Roman"/>
          <w:sz w:val="22"/>
          <w:szCs w:val="22"/>
          <w:lang w:val="es-ES_tradnl" w:eastAsia="es-ES"/>
        </w:rPr>
        <w:t xml:space="preserve">Las instituciones públicas debían garantizar el financiamiento para el pago oportuno de sueldos </w:t>
      </w:r>
      <w:r w:rsidR="00CD324A" w:rsidRPr="00754A11">
        <w:rPr>
          <w:rFonts w:ascii="Times New Roman" w:eastAsia="Times New Roman" w:hAnsi="Times New Roman" w:cs="Times New Roman"/>
          <w:sz w:val="22"/>
          <w:szCs w:val="22"/>
          <w:lang w:val="es-ES_tradnl" w:eastAsia="es-ES"/>
        </w:rPr>
        <w:t xml:space="preserve">o salarios de la nómina ocupada, así como el cumplimiento de obligaciones que </w:t>
      </w:r>
      <w:r w:rsidR="00FF781D" w:rsidRPr="00754A11">
        <w:rPr>
          <w:rFonts w:ascii="Times New Roman" w:eastAsia="Times New Roman" w:hAnsi="Times New Roman" w:cs="Times New Roman"/>
          <w:sz w:val="22"/>
          <w:szCs w:val="22"/>
          <w:lang w:val="es-ES_tradnl" w:eastAsia="es-ES"/>
        </w:rPr>
        <w:t>surg</w:t>
      </w:r>
      <w:r w:rsidR="00FF781D">
        <w:rPr>
          <w:rFonts w:ascii="Times New Roman" w:eastAsia="Times New Roman" w:hAnsi="Times New Roman" w:cs="Times New Roman"/>
          <w:sz w:val="22"/>
          <w:szCs w:val="22"/>
          <w:lang w:val="es-ES_tradnl" w:eastAsia="es-ES"/>
        </w:rPr>
        <w:t>ieran</w:t>
      </w:r>
      <w:r w:rsidR="00CD324A" w:rsidRPr="00754A11">
        <w:rPr>
          <w:rFonts w:ascii="Times New Roman" w:eastAsia="Times New Roman" w:hAnsi="Times New Roman" w:cs="Times New Roman"/>
          <w:sz w:val="22"/>
          <w:szCs w:val="22"/>
          <w:lang w:val="es-ES_tradnl" w:eastAsia="es-ES"/>
        </w:rPr>
        <w:t xml:space="preserve"> de sentencias judiciales debidamente documentadas y las prestaciones que correspondan de conformidad con la ley. </w:t>
      </w:r>
    </w:p>
    <w:p w14:paraId="6DC68980" w14:textId="699F5364" w:rsidR="0039645E" w:rsidRPr="00754A11" w:rsidRDefault="0039645E" w:rsidP="004C3071">
      <w:pPr>
        <w:numPr>
          <w:ilvl w:val="0"/>
          <w:numId w:val="3"/>
        </w:numPr>
        <w:contextualSpacing/>
        <w:jc w:val="both"/>
        <w:rPr>
          <w:rFonts w:ascii="Times New Roman" w:eastAsia="Times New Roman" w:hAnsi="Times New Roman" w:cs="Times New Roman"/>
          <w:sz w:val="22"/>
          <w:szCs w:val="22"/>
          <w:lang w:val="es-ES_tradnl" w:eastAsia="es-ES"/>
        </w:rPr>
      </w:pPr>
      <w:r w:rsidRPr="00754A11">
        <w:rPr>
          <w:rFonts w:ascii="Times New Roman" w:eastAsia="Times New Roman" w:hAnsi="Times New Roman" w:cs="Times New Roman"/>
          <w:sz w:val="22"/>
          <w:szCs w:val="22"/>
          <w:lang w:val="es-ES_tradnl" w:eastAsia="es-ES"/>
        </w:rPr>
        <w:t xml:space="preserve">Se </w:t>
      </w:r>
      <w:r w:rsidR="00FF781D" w:rsidRPr="00754A11">
        <w:rPr>
          <w:rFonts w:ascii="Times New Roman" w:eastAsia="Times New Roman" w:hAnsi="Times New Roman" w:cs="Times New Roman"/>
          <w:sz w:val="22"/>
          <w:szCs w:val="22"/>
          <w:lang w:val="es-ES_tradnl" w:eastAsia="es-ES"/>
        </w:rPr>
        <w:t>restring</w:t>
      </w:r>
      <w:r w:rsidR="00FF781D">
        <w:rPr>
          <w:rFonts w:ascii="Times New Roman" w:eastAsia="Times New Roman" w:hAnsi="Times New Roman" w:cs="Times New Roman"/>
          <w:sz w:val="22"/>
          <w:szCs w:val="22"/>
          <w:lang w:val="es-ES_tradnl" w:eastAsia="es-ES"/>
        </w:rPr>
        <w:t>ió</w:t>
      </w:r>
      <w:r w:rsidRPr="00754A11">
        <w:rPr>
          <w:rFonts w:ascii="Times New Roman" w:eastAsia="Times New Roman" w:hAnsi="Times New Roman" w:cs="Times New Roman"/>
          <w:sz w:val="22"/>
          <w:szCs w:val="22"/>
          <w:lang w:val="es-ES_tradnl" w:eastAsia="es-ES"/>
        </w:rPr>
        <w:t xml:space="preserve"> la creación de cualquier tipo de bono único o incremento de los bonos específicos existentes, </w:t>
      </w:r>
      <w:r w:rsidR="00CD324A" w:rsidRPr="00754A11">
        <w:rPr>
          <w:rFonts w:ascii="Times New Roman" w:eastAsia="Times New Roman" w:hAnsi="Times New Roman" w:cs="Times New Roman"/>
          <w:sz w:val="22"/>
          <w:szCs w:val="22"/>
          <w:lang w:val="es-ES_tradnl" w:eastAsia="es-ES"/>
        </w:rPr>
        <w:t xml:space="preserve">independientemente de la fuente de financiamiento. Se exceptuaron aquellos que derivaron </w:t>
      </w:r>
      <w:r w:rsidRPr="00754A11">
        <w:rPr>
          <w:rFonts w:ascii="Times New Roman" w:eastAsia="Times New Roman" w:hAnsi="Times New Roman" w:cs="Times New Roman"/>
          <w:sz w:val="22"/>
          <w:szCs w:val="22"/>
          <w:lang w:val="es-ES_tradnl" w:eastAsia="es-ES"/>
        </w:rPr>
        <w:t xml:space="preserve">de disposición judicial debidamente documentada, los procedentes </w:t>
      </w:r>
      <w:r w:rsidR="00CD324A" w:rsidRPr="00754A11">
        <w:rPr>
          <w:rFonts w:ascii="Times New Roman" w:eastAsia="Times New Roman" w:hAnsi="Times New Roman" w:cs="Times New Roman"/>
          <w:sz w:val="22"/>
          <w:szCs w:val="22"/>
          <w:lang w:val="es-ES_tradnl" w:eastAsia="es-ES"/>
        </w:rPr>
        <w:t>por</w:t>
      </w:r>
      <w:r w:rsidRPr="00754A11">
        <w:rPr>
          <w:rFonts w:ascii="Times New Roman" w:eastAsia="Times New Roman" w:hAnsi="Times New Roman" w:cs="Times New Roman"/>
          <w:sz w:val="22"/>
          <w:szCs w:val="22"/>
          <w:lang w:val="es-ES_tradnl" w:eastAsia="es-ES"/>
        </w:rPr>
        <w:t xml:space="preserve"> pactos colectivos vigentes o que present</w:t>
      </w:r>
      <w:r w:rsidR="00FF781D">
        <w:rPr>
          <w:rFonts w:ascii="Times New Roman" w:eastAsia="Times New Roman" w:hAnsi="Times New Roman" w:cs="Times New Roman"/>
          <w:sz w:val="22"/>
          <w:szCs w:val="22"/>
          <w:lang w:val="es-ES_tradnl" w:eastAsia="es-ES"/>
        </w:rPr>
        <w:t>aran</w:t>
      </w:r>
      <w:r w:rsidRPr="00754A11">
        <w:rPr>
          <w:rFonts w:ascii="Times New Roman" w:eastAsia="Times New Roman" w:hAnsi="Times New Roman" w:cs="Times New Roman"/>
          <w:sz w:val="22"/>
          <w:szCs w:val="22"/>
          <w:lang w:val="es-ES_tradnl" w:eastAsia="es-ES"/>
        </w:rPr>
        <w:t xml:space="preserve"> la autorización de la máxima autoridad del Organismo Ejecutivo. </w:t>
      </w:r>
    </w:p>
    <w:p w14:paraId="7495F3D9" w14:textId="4013FD24" w:rsidR="0039645E" w:rsidRPr="00754A11" w:rsidRDefault="0039645E" w:rsidP="0037325C">
      <w:pPr>
        <w:numPr>
          <w:ilvl w:val="0"/>
          <w:numId w:val="3"/>
        </w:numPr>
        <w:contextualSpacing/>
        <w:jc w:val="both"/>
        <w:rPr>
          <w:rFonts w:ascii="Times New Roman" w:eastAsia="Times New Roman" w:hAnsi="Times New Roman" w:cs="Times New Roman"/>
          <w:sz w:val="22"/>
          <w:szCs w:val="22"/>
          <w:lang w:val="es-ES_tradnl" w:eastAsia="es-ES"/>
        </w:rPr>
      </w:pPr>
      <w:r w:rsidRPr="00754A11">
        <w:rPr>
          <w:rFonts w:ascii="Times New Roman" w:eastAsia="Times New Roman" w:hAnsi="Times New Roman" w:cs="Times New Roman"/>
          <w:sz w:val="22"/>
          <w:szCs w:val="22"/>
          <w:lang w:val="es-ES_tradnl" w:eastAsia="es-ES"/>
        </w:rPr>
        <w:t>Las entidades deb</w:t>
      </w:r>
      <w:r w:rsidR="005A618C" w:rsidRPr="00754A11">
        <w:rPr>
          <w:rFonts w:ascii="Times New Roman" w:eastAsia="Times New Roman" w:hAnsi="Times New Roman" w:cs="Times New Roman"/>
          <w:sz w:val="22"/>
          <w:szCs w:val="22"/>
          <w:lang w:val="es-ES_tradnl" w:eastAsia="es-ES"/>
        </w:rPr>
        <w:t>ían</w:t>
      </w:r>
      <w:r w:rsidRPr="00754A11">
        <w:rPr>
          <w:rFonts w:ascii="Times New Roman" w:eastAsia="Times New Roman" w:hAnsi="Times New Roman" w:cs="Times New Roman"/>
          <w:sz w:val="22"/>
          <w:szCs w:val="22"/>
          <w:lang w:val="es-ES_tradnl" w:eastAsia="es-ES"/>
        </w:rPr>
        <w:t xml:space="preserve"> abstenerse de </w:t>
      </w:r>
      <w:r w:rsidR="00CD324A" w:rsidRPr="00754A11">
        <w:rPr>
          <w:rFonts w:ascii="Times New Roman" w:eastAsia="Times New Roman" w:hAnsi="Times New Roman" w:cs="Times New Roman"/>
          <w:sz w:val="22"/>
          <w:szCs w:val="22"/>
          <w:lang w:val="es-ES_tradnl" w:eastAsia="es-ES"/>
        </w:rPr>
        <w:t xml:space="preserve">realizar nuevas contrataciones de servicios técnicos y profesionales con cargo a los </w:t>
      </w:r>
      <w:r w:rsidRPr="00754A11">
        <w:rPr>
          <w:rFonts w:ascii="Times New Roman" w:eastAsia="Times New Roman" w:hAnsi="Times New Roman" w:cs="Times New Roman"/>
          <w:sz w:val="22"/>
          <w:szCs w:val="22"/>
          <w:lang w:val="es-ES_tradnl" w:eastAsia="es-ES"/>
        </w:rPr>
        <w:t>renglones de gasto 029 “Otras remuneraciones de personal temporal” y subgrupo 18 “Servicios técnicos y profesionales</w:t>
      </w:r>
      <w:r w:rsidR="00CD324A" w:rsidRPr="00754A11">
        <w:rPr>
          <w:rFonts w:ascii="Times New Roman" w:eastAsia="Times New Roman" w:hAnsi="Times New Roman" w:cs="Times New Roman"/>
          <w:sz w:val="22"/>
          <w:szCs w:val="22"/>
          <w:lang w:val="es-ES_tradnl" w:eastAsia="es-ES"/>
        </w:rPr>
        <w:t>” que sean financiadas con fuentes de origen tributario</w:t>
      </w:r>
      <w:r w:rsidR="005A618C" w:rsidRPr="00754A11">
        <w:rPr>
          <w:rFonts w:ascii="Times New Roman" w:eastAsia="Times New Roman" w:hAnsi="Times New Roman" w:cs="Times New Roman"/>
          <w:sz w:val="22"/>
          <w:szCs w:val="22"/>
          <w:lang w:val="es-ES_tradnl" w:eastAsia="es-ES"/>
        </w:rPr>
        <w:t>. Se exceptuaron aquellas contrataciones que tenían como objetivo reemplazar servicios por contratos rescindidos o que h</w:t>
      </w:r>
      <w:r w:rsidR="00F404D2">
        <w:rPr>
          <w:rFonts w:ascii="Times New Roman" w:eastAsia="Times New Roman" w:hAnsi="Times New Roman" w:cs="Times New Roman"/>
          <w:sz w:val="22"/>
          <w:szCs w:val="22"/>
          <w:lang w:val="es-ES_tradnl" w:eastAsia="es-ES"/>
        </w:rPr>
        <w:t>ubieran</w:t>
      </w:r>
      <w:r w:rsidR="005A618C" w:rsidRPr="00754A11">
        <w:rPr>
          <w:rFonts w:ascii="Times New Roman" w:eastAsia="Times New Roman" w:hAnsi="Times New Roman" w:cs="Times New Roman"/>
          <w:sz w:val="22"/>
          <w:szCs w:val="22"/>
          <w:lang w:val="es-ES_tradnl" w:eastAsia="es-ES"/>
        </w:rPr>
        <w:t xml:space="preserve"> vencido, durante la vigencia de la norma.</w:t>
      </w:r>
    </w:p>
    <w:p w14:paraId="740DB089" w14:textId="25CF74A3" w:rsidR="005A618C" w:rsidRPr="00754A11" w:rsidRDefault="005A618C" w:rsidP="0037325C">
      <w:pPr>
        <w:numPr>
          <w:ilvl w:val="0"/>
          <w:numId w:val="3"/>
        </w:numPr>
        <w:contextualSpacing/>
        <w:jc w:val="both"/>
        <w:rPr>
          <w:rFonts w:ascii="Times New Roman" w:eastAsia="Times New Roman" w:hAnsi="Times New Roman" w:cs="Times New Roman"/>
          <w:sz w:val="22"/>
          <w:szCs w:val="22"/>
          <w:lang w:val="es-ES_tradnl" w:eastAsia="es-ES"/>
        </w:rPr>
      </w:pPr>
      <w:r w:rsidRPr="00754A11">
        <w:rPr>
          <w:rFonts w:ascii="Times New Roman" w:eastAsia="Times New Roman" w:hAnsi="Times New Roman" w:cs="Times New Roman"/>
          <w:sz w:val="22"/>
          <w:szCs w:val="22"/>
          <w:lang w:val="es-ES_tradnl" w:eastAsia="es-ES"/>
        </w:rPr>
        <w:t>Se deb</w:t>
      </w:r>
      <w:r w:rsidR="00F404D2">
        <w:rPr>
          <w:rFonts w:ascii="Times New Roman" w:eastAsia="Times New Roman" w:hAnsi="Times New Roman" w:cs="Times New Roman"/>
          <w:sz w:val="22"/>
          <w:szCs w:val="22"/>
          <w:lang w:val="es-ES_tradnl" w:eastAsia="es-ES"/>
        </w:rPr>
        <w:t>ía</w:t>
      </w:r>
      <w:r w:rsidRPr="00754A11">
        <w:rPr>
          <w:rFonts w:ascii="Times New Roman" w:eastAsia="Times New Roman" w:hAnsi="Times New Roman" w:cs="Times New Roman"/>
          <w:sz w:val="22"/>
          <w:szCs w:val="22"/>
          <w:lang w:val="es-ES_tradnl" w:eastAsia="es-ES"/>
        </w:rPr>
        <w:t xml:space="preserve"> garantizar el pago oportuno de los servicios de energía eléctrica, agua potable, telefonía e internet, transporte, almacenaje, extracción de basura </w:t>
      </w:r>
      <w:r w:rsidR="00EE05C2">
        <w:rPr>
          <w:rFonts w:ascii="Times New Roman" w:eastAsia="Times New Roman" w:hAnsi="Times New Roman" w:cs="Times New Roman"/>
          <w:sz w:val="22"/>
          <w:szCs w:val="22"/>
          <w:lang w:val="es-ES_tradnl" w:eastAsia="es-ES"/>
        </w:rPr>
        <w:t>y</w:t>
      </w:r>
      <w:r w:rsidRPr="00754A11">
        <w:rPr>
          <w:rFonts w:ascii="Times New Roman" w:eastAsia="Times New Roman" w:hAnsi="Times New Roman" w:cs="Times New Roman"/>
          <w:sz w:val="22"/>
          <w:szCs w:val="22"/>
          <w:lang w:val="es-ES_tradnl" w:eastAsia="es-ES"/>
        </w:rPr>
        <w:t xml:space="preserve"> destrucción de desechos sólidos, servicios de lavandería y vigilancia, cuotas de seguridad social y los arrendamientos de bienes inmuebles; procurando hacer un uso racional de los recursos.</w:t>
      </w:r>
    </w:p>
    <w:p w14:paraId="4FC57A28" w14:textId="0C1E1C28" w:rsidR="005A618C" w:rsidRDefault="0039645E" w:rsidP="00A3620F">
      <w:pPr>
        <w:numPr>
          <w:ilvl w:val="0"/>
          <w:numId w:val="3"/>
        </w:numPr>
        <w:contextualSpacing/>
        <w:jc w:val="both"/>
        <w:rPr>
          <w:rFonts w:ascii="Times New Roman" w:eastAsia="Times New Roman" w:hAnsi="Times New Roman" w:cs="Times New Roman"/>
          <w:sz w:val="22"/>
          <w:szCs w:val="22"/>
          <w:lang w:val="es-ES_tradnl" w:eastAsia="es-ES"/>
        </w:rPr>
      </w:pPr>
      <w:r w:rsidRPr="00754A11">
        <w:rPr>
          <w:rFonts w:ascii="Times New Roman" w:eastAsia="Times New Roman" w:hAnsi="Times New Roman" w:cs="Times New Roman"/>
          <w:sz w:val="22"/>
          <w:szCs w:val="22"/>
          <w:lang w:val="es-ES_tradnl" w:eastAsia="es-ES"/>
        </w:rPr>
        <w:t>Se</w:t>
      </w:r>
      <w:r w:rsidR="005A618C" w:rsidRPr="00754A11">
        <w:rPr>
          <w:rFonts w:ascii="Times New Roman" w:eastAsia="Times New Roman" w:hAnsi="Times New Roman" w:cs="Times New Roman"/>
          <w:sz w:val="22"/>
          <w:szCs w:val="22"/>
          <w:lang w:val="es-ES_tradnl" w:eastAsia="es-ES"/>
        </w:rPr>
        <w:t xml:space="preserve"> restringió la realización de nuevos procesos de adquisición financiados con fuentes de origen tributario; con excepción de todos aquellos destinados a equipar Centros Hospitalarios que se encuentran en construcción, así como los eventos que previo a la entrada en vigencia de las presentes disposiciones</w:t>
      </w:r>
      <w:r w:rsidR="00E36206" w:rsidRPr="00754A11">
        <w:rPr>
          <w:rFonts w:ascii="Times New Roman" w:eastAsia="Times New Roman" w:hAnsi="Times New Roman" w:cs="Times New Roman"/>
          <w:sz w:val="22"/>
          <w:szCs w:val="22"/>
          <w:lang w:val="es-ES_tradnl" w:eastAsia="es-ES"/>
        </w:rPr>
        <w:t xml:space="preserve"> </w:t>
      </w:r>
      <w:r w:rsidR="008F1471">
        <w:rPr>
          <w:rFonts w:ascii="Times New Roman" w:eastAsia="Times New Roman" w:hAnsi="Times New Roman" w:cs="Times New Roman"/>
          <w:sz w:val="22"/>
          <w:szCs w:val="22"/>
          <w:lang w:val="es-ES_tradnl" w:eastAsia="es-ES"/>
        </w:rPr>
        <w:t>hubieran</w:t>
      </w:r>
      <w:r w:rsidR="008F1471" w:rsidRPr="00754A11">
        <w:rPr>
          <w:rFonts w:ascii="Times New Roman" w:eastAsia="Times New Roman" w:hAnsi="Times New Roman" w:cs="Times New Roman"/>
          <w:sz w:val="22"/>
          <w:szCs w:val="22"/>
          <w:lang w:val="es-ES_tradnl" w:eastAsia="es-ES"/>
        </w:rPr>
        <w:t xml:space="preserve"> </w:t>
      </w:r>
      <w:r w:rsidR="00E36206" w:rsidRPr="00754A11">
        <w:rPr>
          <w:rFonts w:ascii="Times New Roman" w:eastAsia="Times New Roman" w:hAnsi="Times New Roman" w:cs="Times New Roman"/>
          <w:sz w:val="22"/>
          <w:szCs w:val="22"/>
          <w:lang w:val="es-ES_tradnl" w:eastAsia="es-ES"/>
        </w:rPr>
        <w:t xml:space="preserve">sido registrados en el Sistema de Información de </w:t>
      </w:r>
      <w:r w:rsidR="00E36206" w:rsidRPr="00754A11">
        <w:rPr>
          <w:rFonts w:ascii="Times New Roman" w:eastAsia="Times New Roman" w:hAnsi="Times New Roman" w:cs="Times New Roman"/>
          <w:sz w:val="22"/>
          <w:szCs w:val="22"/>
          <w:lang w:val="es-ES_tradnl" w:eastAsia="es-ES"/>
        </w:rPr>
        <w:lastRenderedPageBreak/>
        <w:t xml:space="preserve">Contrataciones y Adquisiciones del Estado (Guatecompras) o que se </w:t>
      </w:r>
      <w:r w:rsidR="008F1471">
        <w:rPr>
          <w:rFonts w:ascii="Times New Roman" w:eastAsia="Times New Roman" w:hAnsi="Times New Roman" w:cs="Times New Roman"/>
          <w:sz w:val="22"/>
          <w:szCs w:val="22"/>
          <w:lang w:val="es-ES_tradnl" w:eastAsia="es-ES"/>
        </w:rPr>
        <w:t>encontraran</w:t>
      </w:r>
      <w:r w:rsidR="008F1471" w:rsidRPr="00754A11">
        <w:rPr>
          <w:rFonts w:ascii="Times New Roman" w:eastAsia="Times New Roman" w:hAnsi="Times New Roman" w:cs="Times New Roman"/>
          <w:sz w:val="22"/>
          <w:szCs w:val="22"/>
          <w:lang w:val="es-ES_tradnl" w:eastAsia="es-ES"/>
        </w:rPr>
        <w:t xml:space="preserve"> </w:t>
      </w:r>
      <w:r w:rsidR="00E36206" w:rsidRPr="00754A11">
        <w:rPr>
          <w:rFonts w:ascii="Times New Roman" w:eastAsia="Times New Roman" w:hAnsi="Times New Roman" w:cs="Times New Roman"/>
          <w:sz w:val="22"/>
          <w:szCs w:val="22"/>
          <w:lang w:val="es-ES_tradnl" w:eastAsia="es-ES"/>
        </w:rPr>
        <w:t>dentro del momento del registro del gasto en su estado de comprometido, para los siguientes bienes, insumos o servicios:</w:t>
      </w:r>
      <w:r w:rsidR="005A618C" w:rsidRPr="00754A11">
        <w:rPr>
          <w:rFonts w:ascii="Times New Roman" w:eastAsia="Times New Roman" w:hAnsi="Times New Roman" w:cs="Times New Roman"/>
          <w:sz w:val="22"/>
          <w:szCs w:val="22"/>
          <w:lang w:val="es-ES_tradnl" w:eastAsia="es-ES"/>
        </w:rPr>
        <w:t xml:space="preserve"> </w:t>
      </w:r>
    </w:p>
    <w:p w14:paraId="7A2AD457" w14:textId="77777777" w:rsidR="00DA2AB6" w:rsidRPr="00754A11" w:rsidRDefault="00DA2AB6" w:rsidP="00DA2AB6">
      <w:pPr>
        <w:ind w:left="720"/>
        <w:contextualSpacing/>
        <w:jc w:val="both"/>
        <w:rPr>
          <w:rFonts w:ascii="Times New Roman" w:eastAsia="Times New Roman" w:hAnsi="Times New Roman" w:cs="Times New Roman"/>
          <w:sz w:val="22"/>
          <w:szCs w:val="22"/>
          <w:lang w:val="es-ES_tradnl" w:eastAsia="es-ES"/>
        </w:rPr>
      </w:pPr>
    </w:p>
    <w:p w14:paraId="48587CEE" w14:textId="77777777" w:rsidR="0039645E" w:rsidRPr="00754A11" w:rsidRDefault="0039645E" w:rsidP="0039645E">
      <w:pPr>
        <w:numPr>
          <w:ilvl w:val="1"/>
          <w:numId w:val="3"/>
        </w:numPr>
        <w:contextualSpacing/>
        <w:jc w:val="both"/>
        <w:rPr>
          <w:rFonts w:ascii="Times New Roman" w:eastAsia="Times New Roman" w:hAnsi="Times New Roman" w:cs="Times New Roman"/>
          <w:sz w:val="22"/>
          <w:szCs w:val="22"/>
          <w:lang w:val="es-ES_tradnl" w:eastAsia="es-ES"/>
        </w:rPr>
      </w:pPr>
      <w:r w:rsidRPr="00754A11">
        <w:rPr>
          <w:rFonts w:ascii="Times New Roman" w:eastAsia="Times New Roman" w:hAnsi="Times New Roman" w:cs="Times New Roman"/>
          <w:sz w:val="22"/>
          <w:szCs w:val="22"/>
          <w:lang w:val="es-ES_tradnl" w:eastAsia="es-ES"/>
        </w:rPr>
        <w:t>Equipo de transporte</w:t>
      </w:r>
    </w:p>
    <w:p w14:paraId="05BD8849" w14:textId="22A0069B" w:rsidR="0039645E" w:rsidRPr="00754A11" w:rsidRDefault="0039645E" w:rsidP="0039645E">
      <w:pPr>
        <w:numPr>
          <w:ilvl w:val="1"/>
          <w:numId w:val="3"/>
        </w:numPr>
        <w:contextualSpacing/>
        <w:jc w:val="both"/>
        <w:rPr>
          <w:rFonts w:ascii="Times New Roman" w:eastAsia="Times New Roman" w:hAnsi="Times New Roman" w:cs="Times New Roman"/>
          <w:sz w:val="22"/>
          <w:szCs w:val="22"/>
          <w:lang w:val="es-ES_tradnl" w:eastAsia="es-ES"/>
        </w:rPr>
      </w:pPr>
      <w:r w:rsidRPr="00754A11">
        <w:rPr>
          <w:rFonts w:ascii="Times New Roman" w:eastAsia="Times New Roman" w:hAnsi="Times New Roman" w:cs="Times New Roman"/>
          <w:sz w:val="22"/>
          <w:szCs w:val="22"/>
          <w:lang w:val="es-ES_tradnl" w:eastAsia="es-ES"/>
        </w:rPr>
        <w:t>Arrendamiento de edificios y locales adicionales a los existentes</w:t>
      </w:r>
    </w:p>
    <w:p w14:paraId="5322197B" w14:textId="4C066A51" w:rsidR="0039645E" w:rsidRPr="00754A11" w:rsidRDefault="0039645E" w:rsidP="0039645E">
      <w:pPr>
        <w:numPr>
          <w:ilvl w:val="1"/>
          <w:numId w:val="3"/>
        </w:numPr>
        <w:contextualSpacing/>
        <w:jc w:val="both"/>
        <w:rPr>
          <w:rFonts w:ascii="Times New Roman" w:eastAsia="Times New Roman" w:hAnsi="Times New Roman" w:cs="Times New Roman"/>
          <w:sz w:val="22"/>
          <w:szCs w:val="22"/>
          <w:lang w:val="es-ES_tradnl" w:eastAsia="es-ES"/>
        </w:rPr>
      </w:pPr>
      <w:r w:rsidRPr="00754A11">
        <w:rPr>
          <w:rFonts w:ascii="Times New Roman" w:eastAsia="Times New Roman" w:hAnsi="Times New Roman" w:cs="Times New Roman"/>
          <w:sz w:val="22"/>
          <w:szCs w:val="22"/>
          <w:lang w:val="es-ES_tradnl" w:eastAsia="es-ES"/>
        </w:rPr>
        <w:t>Remo</w:t>
      </w:r>
      <w:r w:rsidR="00E36206" w:rsidRPr="00754A11">
        <w:rPr>
          <w:rFonts w:ascii="Times New Roman" w:eastAsia="Times New Roman" w:hAnsi="Times New Roman" w:cs="Times New Roman"/>
          <w:sz w:val="22"/>
          <w:szCs w:val="22"/>
          <w:lang w:val="es-ES_tradnl" w:eastAsia="es-ES"/>
        </w:rPr>
        <w:t xml:space="preserve">delación </w:t>
      </w:r>
      <w:r w:rsidRPr="00754A11">
        <w:rPr>
          <w:rFonts w:ascii="Times New Roman" w:eastAsia="Times New Roman" w:hAnsi="Times New Roman" w:cs="Times New Roman"/>
          <w:sz w:val="22"/>
          <w:szCs w:val="22"/>
          <w:lang w:val="es-ES_tradnl" w:eastAsia="es-ES"/>
        </w:rPr>
        <w:t>de oficinas</w:t>
      </w:r>
    </w:p>
    <w:p w14:paraId="5E387007" w14:textId="702A3FBF" w:rsidR="0039645E" w:rsidRPr="00754A11" w:rsidRDefault="0039645E" w:rsidP="0039645E">
      <w:pPr>
        <w:numPr>
          <w:ilvl w:val="1"/>
          <w:numId w:val="3"/>
        </w:numPr>
        <w:contextualSpacing/>
        <w:jc w:val="both"/>
        <w:rPr>
          <w:rFonts w:ascii="Times New Roman" w:eastAsia="Times New Roman" w:hAnsi="Times New Roman" w:cs="Times New Roman"/>
          <w:sz w:val="22"/>
          <w:szCs w:val="22"/>
          <w:lang w:val="es-ES_tradnl" w:eastAsia="es-ES"/>
        </w:rPr>
      </w:pPr>
      <w:r w:rsidRPr="00754A11">
        <w:rPr>
          <w:rFonts w:ascii="Times New Roman" w:eastAsia="Times New Roman" w:hAnsi="Times New Roman" w:cs="Times New Roman"/>
          <w:sz w:val="22"/>
          <w:szCs w:val="22"/>
          <w:lang w:val="es-ES_tradnl" w:eastAsia="es-ES"/>
        </w:rPr>
        <w:t>Mobiliario y equipo de oficinas (sillas, escritorios, televisores, entre otros)</w:t>
      </w:r>
    </w:p>
    <w:p w14:paraId="362EAF69" w14:textId="2668F298" w:rsidR="0039645E" w:rsidRPr="00754A11" w:rsidRDefault="0039645E" w:rsidP="0039645E">
      <w:pPr>
        <w:numPr>
          <w:ilvl w:val="1"/>
          <w:numId w:val="3"/>
        </w:numPr>
        <w:contextualSpacing/>
        <w:jc w:val="both"/>
        <w:rPr>
          <w:rFonts w:ascii="Times New Roman" w:eastAsia="Times New Roman" w:hAnsi="Times New Roman" w:cs="Times New Roman"/>
          <w:sz w:val="22"/>
          <w:szCs w:val="22"/>
          <w:lang w:val="es-ES_tradnl" w:eastAsia="es-ES"/>
        </w:rPr>
      </w:pPr>
      <w:r w:rsidRPr="00754A11">
        <w:rPr>
          <w:rFonts w:ascii="Times New Roman" w:eastAsia="Times New Roman" w:hAnsi="Times New Roman" w:cs="Times New Roman"/>
          <w:sz w:val="22"/>
          <w:szCs w:val="22"/>
          <w:lang w:val="es-ES_tradnl" w:eastAsia="es-ES"/>
        </w:rPr>
        <w:t>Equipo de cómputo</w:t>
      </w:r>
      <w:r w:rsidR="00E36206" w:rsidRPr="00754A11">
        <w:rPr>
          <w:rFonts w:ascii="Times New Roman" w:eastAsia="Times New Roman" w:hAnsi="Times New Roman" w:cs="Times New Roman"/>
          <w:sz w:val="22"/>
          <w:szCs w:val="22"/>
          <w:lang w:val="es-ES_tradnl" w:eastAsia="es-ES"/>
        </w:rPr>
        <w:t xml:space="preserve"> e informático </w:t>
      </w:r>
    </w:p>
    <w:p w14:paraId="380C1414" w14:textId="2394C60F" w:rsidR="0039645E" w:rsidRPr="00754A11" w:rsidRDefault="0039645E" w:rsidP="0039645E">
      <w:pPr>
        <w:numPr>
          <w:ilvl w:val="1"/>
          <w:numId w:val="3"/>
        </w:numPr>
        <w:contextualSpacing/>
        <w:jc w:val="both"/>
        <w:rPr>
          <w:rFonts w:ascii="Times New Roman" w:eastAsia="Times New Roman" w:hAnsi="Times New Roman" w:cs="Times New Roman"/>
          <w:sz w:val="22"/>
          <w:szCs w:val="22"/>
          <w:lang w:val="es-ES_tradnl" w:eastAsia="es-ES"/>
        </w:rPr>
      </w:pPr>
      <w:r w:rsidRPr="00754A11">
        <w:rPr>
          <w:rFonts w:ascii="Times New Roman" w:eastAsia="Times New Roman" w:hAnsi="Times New Roman" w:cs="Times New Roman"/>
          <w:sz w:val="22"/>
          <w:szCs w:val="22"/>
          <w:lang w:val="es-ES_tradnl" w:eastAsia="es-ES"/>
        </w:rPr>
        <w:t xml:space="preserve">Uniformes </w:t>
      </w:r>
      <w:r w:rsidR="00E36206" w:rsidRPr="00754A11">
        <w:rPr>
          <w:rFonts w:ascii="Times New Roman" w:eastAsia="Times New Roman" w:hAnsi="Times New Roman" w:cs="Times New Roman"/>
          <w:sz w:val="22"/>
          <w:szCs w:val="22"/>
          <w:lang w:val="es-ES_tradnl" w:eastAsia="es-ES"/>
        </w:rPr>
        <w:t>c</w:t>
      </w:r>
      <w:r w:rsidRPr="00754A11">
        <w:rPr>
          <w:rFonts w:ascii="Times New Roman" w:eastAsia="Times New Roman" w:hAnsi="Times New Roman" w:cs="Times New Roman"/>
          <w:sz w:val="22"/>
          <w:szCs w:val="22"/>
          <w:lang w:val="es-ES_tradnl" w:eastAsia="es-ES"/>
        </w:rPr>
        <w:t>on excepción de los Ministerios de Gobernación y Defensa Nacional</w:t>
      </w:r>
      <w:r w:rsidR="00E36206" w:rsidRPr="00754A11">
        <w:rPr>
          <w:rFonts w:ascii="Times New Roman" w:eastAsia="Times New Roman" w:hAnsi="Times New Roman" w:cs="Times New Roman"/>
          <w:sz w:val="22"/>
          <w:szCs w:val="22"/>
          <w:lang w:val="es-ES_tradnl" w:eastAsia="es-ES"/>
        </w:rPr>
        <w:t>, y la Dirección General de Educación Física del Ministerio de Educación</w:t>
      </w:r>
    </w:p>
    <w:p w14:paraId="426B214D" w14:textId="14B2C2A2" w:rsidR="0039645E" w:rsidRPr="00754A11" w:rsidRDefault="0039645E" w:rsidP="0039645E">
      <w:pPr>
        <w:numPr>
          <w:ilvl w:val="1"/>
          <w:numId w:val="3"/>
        </w:numPr>
        <w:contextualSpacing/>
        <w:jc w:val="both"/>
        <w:rPr>
          <w:rFonts w:ascii="Times New Roman" w:eastAsia="Times New Roman" w:hAnsi="Times New Roman" w:cs="Times New Roman"/>
          <w:sz w:val="22"/>
          <w:szCs w:val="22"/>
          <w:lang w:val="es-ES_tradnl" w:eastAsia="es-ES"/>
        </w:rPr>
      </w:pPr>
      <w:r w:rsidRPr="00754A11">
        <w:rPr>
          <w:rFonts w:ascii="Times New Roman" w:eastAsia="Times New Roman" w:hAnsi="Times New Roman" w:cs="Times New Roman"/>
          <w:sz w:val="22"/>
          <w:szCs w:val="22"/>
          <w:lang w:val="es-ES_tradnl" w:eastAsia="es-ES"/>
        </w:rPr>
        <w:t>Contrataciones destinadas a eventos</w:t>
      </w:r>
      <w:r w:rsidR="00E36206" w:rsidRPr="00754A11">
        <w:rPr>
          <w:rFonts w:ascii="Times New Roman" w:eastAsia="Times New Roman" w:hAnsi="Times New Roman" w:cs="Times New Roman"/>
          <w:sz w:val="22"/>
          <w:szCs w:val="22"/>
          <w:lang w:val="es-ES_tradnl" w:eastAsia="es-ES"/>
        </w:rPr>
        <w:t xml:space="preserve">, festejos </w:t>
      </w:r>
      <w:r w:rsidRPr="00754A11">
        <w:rPr>
          <w:rFonts w:ascii="Times New Roman" w:eastAsia="Times New Roman" w:hAnsi="Times New Roman" w:cs="Times New Roman"/>
          <w:sz w:val="22"/>
          <w:szCs w:val="22"/>
          <w:lang w:val="es-ES_tradnl" w:eastAsia="es-ES"/>
        </w:rPr>
        <w:t>y otros no prioritarios.</w:t>
      </w:r>
    </w:p>
    <w:p w14:paraId="603D0C51" w14:textId="77777777" w:rsidR="00754A11" w:rsidRPr="00754A11" w:rsidRDefault="00754A11" w:rsidP="0039645E">
      <w:pPr>
        <w:ind w:left="709"/>
        <w:jc w:val="both"/>
        <w:rPr>
          <w:rFonts w:ascii="Times New Roman" w:eastAsia="Times New Roman" w:hAnsi="Times New Roman" w:cs="Times New Roman"/>
          <w:sz w:val="22"/>
          <w:szCs w:val="22"/>
          <w:lang w:val="es-ES_tradnl" w:eastAsia="es-ES"/>
        </w:rPr>
      </w:pPr>
    </w:p>
    <w:p w14:paraId="5B4494AE" w14:textId="22E39CC9" w:rsidR="00754A11" w:rsidRPr="00754A11" w:rsidRDefault="0039645E" w:rsidP="0039645E">
      <w:pPr>
        <w:ind w:left="709"/>
        <w:jc w:val="both"/>
        <w:rPr>
          <w:rFonts w:ascii="Times New Roman" w:eastAsia="Times New Roman" w:hAnsi="Times New Roman" w:cs="Times New Roman"/>
          <w:sz w:val="22"/>
          <w:szCs w:val="22"/>
          <w:lang w:val="es-ES_tradnl" w:eastAsia="es-ES"/>
        </w:rPr>
      </w:pPr>
      <w:r w:rsidRPr="00754A11">
        <w:rPr>
          <w:rFonts w:ascii="Times New Roman" w:eastAsia="Times New Roman" w:hAnsi="Times New Roman" w:cs="Times New Roman"/>
          <w:sz w:val="22"/>
          <w:szCs w:val="22"/>
          <w:lang w:val="es-ES_tradnl" w:eastAsia="es-ES"/>
        </w:rPr>
        <w:t>Se except</w:t>
      </w:r>
      <w:r w:rsidR="00754A11" w:rsidRPr="00754A11">
        <w:rPr>
          <w:rFonts w:ascii="Times New Roman" w:eastAsia="Times New Roman" w:hAnsi="Times New Roman" w:cs="Times New Roman"/>
          <w:sz w:val="22"/>
          <w:szCs w:val="22"/>
          <w:lang w:val="es-ES_tradnl" w:eastAsia="es-ES"/>
        </w:rPr>
        <w:t>uó</w:t>
      </w:r>
      <w:r w:rsidRPr="00754A11">
        <w:rPr>
          <w:rFonts w:ascii="Times New Roman" w:eastAsia="Times New Roman" w:hAnsi="Times New Roman" w:cs="Times New Roman"/>
          <w:sz w:val="22"/>
          <w:szCs w:val="22"/>
          <w:lang w:val="es-ES_tradnl" w:eastAsia="es-ES"/>
        </w:rPr>
        <w:t xml:space="preserve"> la adquisición de ambulancias y</w:t>
      </w:r>
      <w:r w:rsidR="00754A11" w:rsidRPr="00754A11">
        <w:rPr>
          <w:rFonts w:ascii="Times New Roman" w:eastAsia="Times New Roman" w:hAnsi="Times New Roman" w:cs="Times New Roman"/>
          <w:sz w:val="22"/>
          <w:szCs w:val="22"/>
          <w:lang w:val="es-ES_tradnl" w:eastAsia="es-ES"/>
        </w:rPr>
        <w:t xml:space="preserve"> equipo de transporte para garantizar la seguridad de los ciudadanos. </w:t>
      </w:r>
    </w:p>
    <w:p w14:paraId="11029DBE" w14:textId="2C6A49E2" w:rsidR="00754A11" w:rsidRPr="00754A11" w:rsidRDefault="00754A11" w:rsidP="0039645E">
      <w:pPr>
        <w:ind w:left="709"/>
        <w:jc w:val="both"/>
        <w:rPr>
          <w:rFonts w:ascii="Times New Roman" w:eastAsia="Times New Roman" w:hAnsi="Times New Roman" w:cs="Times New Roman"/>
          <w:sz w:val="22"/>
          <w:szCs w:val="22"/>
          <w:lang w:val="es-ES_tradnl" w:eastAsia="es-ES"/>
        </w:rPr>
      </w:pPr>
    </w:p>
    <w:p w14:paraId="79CFBF9A" w14:textId="37DB1FA3" w:rsidR="00754A11" w:rsidRPr="00754A11" w:rsidRDefault="00754A11" w:rsidP="0039645E">
      <w:pPr>
        <w:ind w:left="709"/>
        <w:jc w:val="both"/>
        <w:rPr>
          <w:rFonts w:ascii="Times New Roman" w:eastAsia="Times New Roman" w:hAnsi="Times New Roman" w:cs="Times New Roman"/>
          <w:sz w:val="22"/>
          <w:szCs w:val="22"/>
          <w:lang w:val="es-ES_tradnl" w:eastAsia="es-ES"/>
        </w:rPr>
      </w:pPr>
      <w:r w:rsidRPr="00754A11">
        <w:rPr>
          <w:rFonts w:ascii="Times New Roman" w:eastAsia="Times New Roman" w:hAnsi="Times New Roman" w:cs="Times New Roman"/>
          <w:sz w:val="22"/>
          <w:szCs w:val="22"/>
          <w:lang w:val="es-ES_tradnl" w:eastAsia="es-ES"/>
        </w:rPr>
        <w:t>Asimismo, las máximas autoridades institucionales debían evaluar los procesos de adquisición que tuvieran estatus vigente en Guatecompras o que se encontraran en proceso de adquisición y contratación, a efecto de determinar si procedía la continuidad de los mismos.</w:t>
      </w:r>
    </w:p>
    <w:p w14:paraId="26A2B964" w14:textId="77777777" w:rsidR="0039645E" w:rsidRPr="004A66F0" w:rsidRDefault="0039645E" w:rsidP="0039645E">
      <w:pPr>
        <w:jc w:val="both"/>
        <w:rPr>
          <w:rFonts w:ascii="Times New Roman" w:eastAsia="Times New Roman" w:hAnsi="Times New Roman" w:cs="Times New Roman"/>
          <w:sz w:val="22"/>
          <w:szCs w:val="22"/>
          <w:lang w:val="es-ES_tradnl" w:eastAsia="es-ES"/>
        </w:rPr>
      </w:pPr>
    </w:p>
    <w:p w14:paraId="564D1DD0" w14:textId="3982D746" w:rsidR="00962169" w:rsidRDefault="0039645E" w:rsidP="0039645E">
      <w:pPr>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Durante 202</w:t>
      </w:r>
      <w:r w:rsidR="00F534B0">
        <w:rPr>
          <w:rFonts w:ascii="Times New Roman" w:eastAsia="Times New Roman" w:hAnsi="Times New Roman" w:cs="Times New Roman"/>
          <w:sz w:val="22"/>
          <w:szCs w:val="22"/>
          <w:lang w:val="es-ES_tradnl" w:eastAsia="es-ES"/>
        </w:rPr>
        <w:t>3</w:t>
      </w:r>
      <w:r w:rsidRPr="004A66F0">
        <w:rPr>
          <w:rFonts w:ascii="Times New Roman" w:eastAsia="Times New Roman" w:hAnsi="Times New Roman" w:cs="Times New Roman"/>
          <w:sz w:val="22"/>
          <w:szCs w:val="22"/>
          <w:lang w:val="es-ES_tradnl" w:eastAsia="es-ES"/>
        </w:rPr>
        <w:t xml:space="preserve"> </w:t>
      </w:r>
      <w:r w:rsidR="00962169">
        <w:rPr>
          <w:rFonts w:ascii="Times New Roman" w:eastAsia="Times New Roman" w:hAnsi="Times New Roman" w:cs="Times New Roman"/>
          <w:sz w:val="22"/>
          <w:szCs w:val="22"/>
          <w:lang w:val="es-ES_tradnl" w:eastAsia="es-ES"/>
        </w:rPr>
        <w:t xml:space="preserve">se les dio seguimiento a </w:t>
      </w:r>
      <w:r w:rsidRPr="004A66F0">
        <w:rPr>
          <w:rFonts w:ascii="Times New Roman" w:eastAsia="Times New Roman" w:hAnsi="Times New Roman" w:cs="Times New Roman"/>
          <w:sz w:val="22"/>
          <w:szCs w:val="22"/>
          <w:lang w:val="es-ES_tradnl" w:eastAsia="es-ES"/>
        </w:rPr>
        <w:t>los gastos catalogados como no esenciales, entre los que destaca</w:t>
      </w:r>
      <w:r w:rsidR="00F404D2">
        <w:rPr>
          <w:rFonts w:ascii="Times New Roman" w:eastAsia="Times New Roman" w:hAnsi="Times New Roman" w:cs="Times New Roman"/>
          <w:sz w:val="22"/>
          <w:szCs w:val="22"/>
          <w:lang w:val="es-ES_tradnl" w:eastAsia="es-ES"/>
        </w:rPr>
        <w:t xml:space="preserve"> el</w:t>
      </w:r>
      <w:r w:rsidRPr="004A66F0">
        <w:rPr>
          <w:rFonts w:ascii="Times New Roman" w:eastAsia="Times New Roman" w:hAnsi="Times New Roman" w:cs="Times New Roman"/>
          <w:sz w:val="22"/>
          <w:szCs w:val="22"/>
          <w:lang w:val="es-ES_tradnl" w:eastAsia="es-ES"/>
        </w:rPr>
        <w:t xml:space="preserve"> </w:t>
      </w:r>
      <w:r w:rsidR="00F404D2">
        <w:rPr>
          <w:rFonts w:ascii="Times New Roman" w:eastAsia="Times New Roman" w:hAnsi="Times New Roman" w:cs="Times New Roman"/>
          <w:sz w:val="22"/>
          <w:szCs w:val="22"/>
          <w:lang w:val="es-ES_tradnl" w:eastAsia="es-ES"/>
        </w:rPr>
        <w:t xml:space="preserve">renglón </w:t>
      </w:r>
      <w:r w:rsidRPr="004A66F0">
        <w:rPr>
          <w:rFonts w:ascii="Times New Roman" w:eastAsia="Times New Roman" w:hAnsi="Times New Roman" w:cs="Times New Roman"/>
          <w:sz w:val="22"/>
          <w:szCs w:val="22"/>
          <w:lang w:val="es-ES_tradnl" w:eastAsia="es-ES"/>
        </w:rPr>
        <w:t xml:space="preserve">asociado a contratos de personal temporal (029), </w:t>
      </w:r>
      <w:r w:rsidR="00DC075D">
        <w:rPr>
          <w:rFonts w:ascii="Times New Roman" w:eastAsia="Times New Roman" w:hAnsi="Times New Roman" w:cs="Times New Roman"/>
          <w:sz w:val="22"/>
          <w:szCs w:val="22"/>
          <w:lang w:val="es-ES_tradnl" w:eastAsia="es-ES"/>
        </w:rPr>
        <w:t>el cual durante el ejercicio tuvo ejecución de Q1,685.2 millones, con aumento de Q96.7 millones respecto al 2022. Las entidades que reportan mayor aumento en este tipo de contratación son: Ministerio de Gobernación (Q28.7 millones), Ministerio de Cultura y Deportes (Q16.7 millones) y Ministerio de Trabajo y Previsión Social (Q11.1 millones). Es importante comentar que</w:t>
      </w:r>
      <w:r w:rsidR="00F35531">
        <w:rPr>
          <w:rFonts w:ascii="Times New Roman" w:eastAsia="Times New Roman" w:hAnsi="Times New Roman" w:cs="Times New Roman"/>
          <w:sz w:val="22"/>
          <w:szCs w:val="22"/>
          <w:lang w:val="es-ES_tradnl" w:eastAsia="es-ES"/>
        </w:rPr>
        <w:t>,</w:t>
      </w:r>
      <w:r w:rsidR="00DC075D">
        <w:rPr>
          <w:rFonts w:ascii="Times New Roman" w:eastAsia="Times New Roman" w:hAnsi="Times New Roman" w:cs="Times New Roman"/>
          <w:sz w:val="22"/>
          <w:szCs w:val="22"/>
          <w:lang w:val="es-ES_tradnl" w:eastAsia="es-ES"/>
        </w:rPr>
        <w:t xml:space="preserve"> si bien</w:t>
      </w:r>
      <w:r w:rsidR="00F35531">
        <w:rPr>
          <w:rFonts w:ascii="Times New Roman" w:eastAsia="Times New Roman" w:hAnsi="Times New Roman" w:cs="Times New Roman"/>
          <w:sz w:val="22"/>
          <w:szCs w:val="22"/>
          <w:lang w:val="es-ES_tradnl" w:eastAsia="es-ES"/>
        </w:rPr>
        <w:t xml:space="preserve"> esta modalidad de contratación</w:t>
      </w:r>
      <w:r w:rsidR="00DC075D">
        <w:rPr>
          <w:rFonts w:ascii="Times New Roman" w:eastAsia="Times New Roman" w:hAnsi="Times New Roman" w:cs="Times New Roman"/>
          <w:sz w:val="22"/>
          <w:szCs w:val="22"/>
          <w:lang w:val="es-ES_tradnl" w:eastAsia="es-ES"/>
        </w:rPr>
        <w:t xml:space="preserve"> ha sido </w:t>
      </w:r>
      <w:r w:rsidR="00F35531">
        <w:rPr>
          <w:rFonts w:ascii="Times New Roman" w:eastAsia="Times New Roman" w:hAnsi="Times New Roman" w:cs="Times New Roman"/>
          <w:sz w:val="22"/>
          <w:szCs w:val="22"/>
          <w:lang w:val="es-ES_tradnl" w:eastAsia="es-ES"/>
        </w:rPr>
        <w:t xml:space="preserve">utilizada de forma </w:t>
      </w:r>
      <w:r w:rsidR="00DC075D">
        <w:rPr>
          <w:rFonts w:ascii="Times New Roman" w:eastAsia="Times New Roman" w:hAnsi="Times New Roman" w:cs="Times New Roman"/>
          <w:sz w:val="22"/>
          <w:szCs w:val="22"/>
          <w:lang w:val="es-ES_tradnl" w:eastAsia="es-ES"/>
        </w:rPr>
        <w:t>amplia en el sector público</w:t>
      </w:r>
      <w:r w:rsidR="00F35531">
        <w:rPr>
          <w:rFonts w:ascii="Times New Roman" w:eastAsia="Times New Roman" w:hAnsi="Times New Roman" w:cs="Times New Roman"/>
          <w:sz w:val="22"/>
          <w:szCs w:val="22"/>
          <w:lang w:val="es-ES_tradnl" w:eastAsia="es-ES"/>
        </w:rPr>
        <w:t xml:space="preserve"> por los ahorros que implica en las prestaciones laborales</w:t>
      </w:r>
      <w:r w:rsidR="00DC075D">
        <w:rPr>
          <w:rFonts w:ascii="Times New Roman" w:eastAsia="Times New Roman" w:hAnsi="Times New Roman" w:cs="Times New Roman"/>
          <w:sz w:val="22"/>
          <w:szCs w:val="22"/>
          <w:lang w:val="es-ES_tradnl" w:eastAsia="es-ES"/>
        </w:rPr>
        <w:t>, se ha podido percibir un aumento de demandas judiciales laborales asociadas</w:t>
      </w:r>
      <w:r w:rsidR="00F35531">
        <w:rPr>
          <w:rFonts w:ascii="Times New Roman" w:eastAsia="Times New Roman" w:hAnsi="Times New Roman" w:cs="Times New Roman"/>
          <w:sz w:val="22"/>
          <w:szCs w:val="22"/>
          <w:lang w:val="es-ES_tradnl" w:eastAsia="es-ES"/>
        </w:rPr>
        <w:t xml:space="preserve"> a este tipo de contratación. </w:t>
      </w:r>
    </w:p>
    <w:p w14:paraId="7C7B4CE6" w14:textId="77777777" w:rsidR="00BA097F" w:rsidRDefault="00BA097F" w:rsidP="00F35531">
      <w:pPr>
        <w:jc w:val="center"/>
        <w:rPr>
          <w:rFonts w:ascii="Times New Roman" w:eastAsia="Times New Roman" w:hAnsi="Times New Roman" w:cs="Times New Roman"/>
          <w:b/>
          <w:sz w:val="22"/>
          <w:szCs w:val="22"/>
        </w:rPr>
      </w:pPr>
    </w:p>
    <w:p w14:paraId="69E2413A" w14:textId="1D4BEF03" w:rsidR="00F35531" w:rsidRPr="00DA2AB6" w:rsidRDefault="00DA2AB6" w:rsidP="00DA2AB6">
      <w:pPr>
        <w:pStyle w:val="Descripcin"/>
        <w:keepNext/>
        <w:spacing w:after="0"/>
        <w:jc w:val="center"/>
        <w:rPr>
          <w:sz w:val="22"/>
          <w:szCs w:val="22"/>
        </w:rPr>
      </w:pPr>
      <w:bookmarkStart w:id="56" w:name="_Toc158103858"/>
      <w:r w:rsidRPr="00DA2AB6">
        <w:rPr>
          <w:sz w:val="22"/>
          <w:szCs w:val="22"/>
        </w:rPr>
        <w:t xml:space="preserve">Gráfico </w:t>
      </w:r>
      <w:r w:rsidRPr="00DA2AB6">
        <w:rPr>
          <w:sz w:val="22"/>
          <w:szCs w:val="22"/>
        </w:rPr>
        <w:fldChar w:fldCharType="begin"/>
      </w:r>
      <w:r w:rsidRPr="00DA2AB6">
        <w:rPr>
          <w:sz w:val="22"/>
          <w:szCs w:val="22"/>
        </w:rPr>
        <w:instrText xml:space="preserve"> SEQ Gráfico \* ARABIC </w:instrText>
      </w:r>
      <w:r w:rsidRPr="00DA2AB6">
        <w:rPr>
          <w:sz w:val="22"/>
          <w:szCs w:val="22"/>
        </w:rPr>
        <w:fldChar w:fldCharType="separate"/>
      </w:r>
      <w:r w:rsidR="00C015DC">
        <w:rPr>
          <w:noProof/>
          <w:sz w:val="22"/>
          <w:szCs w:val="22"/>
        </w:rPr>
        <w:t>13</w:t>
      </w:r>
      <w:r w:rsidRPr="00DA2AB6">
        <w:rPr>
          <w:sz w:val="22"/>
          <w:szCs w:val="22"/>
        </w:rPr>
        <w:fldChar w:fldCharType="end"/>
      </w:r>
      <w:r>
        <w:rPr>
          <w:sz w:val="22"/>
          <w:szCs w:val="22"/>
        </w:rPr>
        <w:t xml:space="preserve">.  </w:t>
      </w:r>
      <w:r w:rsidR="00F35531" w:rsidRPr="004A66F0">
        <w:rPr>
          <w:rFonts w:eastAsia="Times New Roman" w:cs="Times New Roman"/>
          <w:sz w:val="22"/>
          <w:szCs w:val="22"/>
        </w:rPr>
        <w:t xml:space="preserve">Aumento interanual en el gasto de </w:t>
      </w:r>
      <w:r w:rsidR="000822C0">
        <w:rPr>
          <w:rFonts w:eastAsia="Times New Roman" w:cs="Times New Roman"/>
          <w:sz w:val="22"/>
          <w:szCs w:val="22"/>
        </w:rPr>
        <w:t xml:space="preserve">personal temporal </w:t>
      </w:r>
      <w:r w:rsidR="00F35531" w:rsidRPr="004A66F0">
        <w:rPr>
          <w:rFonts w:eastAsia="Times New Roman" w:cs="Times New Roman"/>
          <w:sz w:val="22"/>
          <w:szCs w:val="22"/>
        </w:rPr>
        <w:t>por entidad</w:t>
      </w:r>
      <w:bookmarkEnd w:id="56"/>
    </w:p>
    <w:p w14:paraId="50B94076" w14:textId="20C3A586" w:rsidR="00F35531" w:rsidRDefault="000822C0" w:rsidP="000822C0">
      <w:pPr>
        <w:jc w:val="center"/>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0"/>
          <w:szCs w:val="22"/>
          <w:lang w:val="es-ES_tradnl" w:eastAsia="es-ES"/>
        </w:rPr>
        <w:t>Variación interanual en millones de quetzales</w:t>
      </w:r>
      <w:r>
        <w:rPr>
          <w:rFonts w:ascii="Times New Roman" w:eastAsia="Times New Roman" w:hAnsi="Times New Roman" w:cs="Times New Roman"/>
          <w:sz w:val="20"/>
          <w:szCs w:val="22"/>
          <w:lang w:val="es-ES_tradnl" w:eastAsia="es-ES"/>
        </w:rPr>
        <w:t xml:space="preserve"> y porcentajes </w:t>
      </w:r>
    </w:p>
    <w:p w14:paraId="5798EDE8" w14:textId="3CB4FDA4" w:rsidR="00962169" w:rsidRDefault="00F35531" w:rsidP="0039645E">
      <w:pPr>
        <w:jc w:val="both"/>
        <w:rPr>
          <w:rFonts w:ascii="Times New Roman" w:eastAsia="Times New Roman" w:hAnsi="Times New Roman" w:cs="Times New Roman"/>
          <w:sz w:val="22"/>
          <w:szCs w:val="22"/>
          <w:lang w:val="es-ES_tradnl" w:eastAsia="es-ES"/>
        </w:rPr>
      </w:pPr>
      <w:r>
        <w:rPr>
          <w:rFonts w:ascii="Times New Roman" w:eastAsia="Times New Roman" w:hAnsi="Times New Roman" w:cs="Times New Roman"/>
          <w:noProof/>
          <w:sz w:val="22"/>
          <w:szCs w:val="22"/>
          <w:lang w:val="es-ES_tradnl" w:eastAsia="es-ES"/>
        </w:rPr>
        <w:drawing>
          <wp:inline distT="0" distB="0" distL="0" distR="0" wp14:anchorId="067349AF" wp14:editId="07082676">
            <wp:extent cx="5486400" cy="2727297"/>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47E517A" w14:textId="060F5720" w:rsidR="000822C0" w:rsidRDefault="0048246B" w:rsidP="000822C0">
      <w:pPr>
        <w:rPr>
          <w:rFonts w:ascii="Times New Roman" w:eastAsia="Times New Roman" w:hAnsi="Times New Roman" w:cs="Times New Roman"/>
          <w:sz w:val="18"/>
          <w:szCs w:val="22"/>
          <w:lang w:val="es-ES_tradnl" w:eastAsia="es-ES"/>
        </w:rPr>
      </w:pPr>
      <w:r>
        <w:rPr>
          <w:rFonts w:ascii="Times New Roman" w:eastAsia="Times New Roman" w:hAnsi="Times New Roman" w:cs="Times New Roman"/>
          <w:sz w:val="18"/>
          <w:szCs w:val="22"/>
          <w:lang w:val="es-ES_tradnl" w:eastAsia="es-ES"/>
        </w:rPr>
        <w:t xml:space="preserve">   </w:t>
      </w:r>
      <w:r w:rsidR="000822C0" w:rsidRPr="004A66F0">
        <w:rPr>
          <w:rFonts w:ascii="Times New Roman" w:eastAsia="Times New Roman" w:hAnsi="Times New Roman" w:cs="Times New Roman"/>
          <w:sz w:val="18"/>
          <w:szCs w:val="22"/>
          <w:lang w:val="es-ES_tradnl" w:eastAsia="es-ES"/>
        </w:rPr>
        <w:t>Fuente:</w:t>
      </w:r>
      <w:r w:rsidR="00D06F26">
        <w:rPr>
          <w:rFonts w:ascii="Times New Roman" w:eastAsia="Times New Roman" w:hAnsi="Times New Roman" w:cs="Times New Roman"/>
          <w:sz w:val="18"/>
          <w:szCs w:val="22"/>
          <w:lang w:val="es-ES_tradnl" w:eastAsia="es-ES"/>
        </w:rPr>
        <w:t xml:space="preserve"> </w:t>
      </w:r>
      <w:r w:rsidR="000822C0">
        <w:rPr>
          <w:rFonts w:ascii="Times New Roman" w:eastAsia="Times New Roman" w:hAnsi="Times New Roman" w:cs="Times New Roman"/>
          <w:sz w:val="18"/>
          <w:szCs w:val="22"/>
          <w:lang w:val="es-ES_tradnl" w:eastAsia="es-ES"/>
        </w:rPr>
        <w:t>SICOIN</w:t>
      </w:r>
    </w:p>
    <w:p w14:paraId="284ADEEF" w14:textId="5CB9B7AC" w:rsidR="00BB643F" w:rsidRPr="00F404D2" w:rsidRDefault="00BB643F" w:rsidP="00BB643F">
      <w:pPr>
        <w:jc w:val="both"/>
        <w:rPr>
          <w:rFonts w:ascii="Times New Roman" w:eastAsia="Times New Roman" w:hAnsi="Times New Roman" w:cs="Times New Roman"/>
          <w:sz w:val="22"/>
          <w:szCs w:val="22"/>
          <w:lang w:val="es-ES_tradnl" w:eastAsia="es-ES"/>
        </w:rPr>
      </w:pPr>
      <w:r w:rsidRPr="00F404D2">
        <w:rPr>
          <w:rFonts w:ascii="Times New Roman" w:eastAsia="Times New Roman" w:hAnsi="Times New Roman" w:cs="Times New Roman"/>
          <w:sz w:val="22"/>
          <w:szCs w:val="22"/>
          <w:lang w:val="es-ES_tradnl" w:eastAsia="es-ES"/>
        </w:rPr>
        <w:lastRenderedPageBreak/>
        <w:t>En</w:t>
      </w:r>
      <w:r w:rsidR="00F404D2">
        <w:rPr>
          <w:rFonts w:ascii="Times New Roman" w:eastAsia="Times New Roman" w:hAnsi="Times New Roman" w:cs="Times New Roman"/>
          <w:sz w:val="22"/>
          <w:szCs w:val="22"/>
          <w:lang w:val="es-ES_tradnl" w:eastAsia="es-ES"/>
        </w:rPr>
        <w:t xml:space="preserve"> lo que se refiere a</w:t>
      </w:r>
      <w:r w:rsidRPr="00F404D2">
        <w:rPr>
          <w:rFonts w:ascii="Times New Roman" w:eastAsia="Times New Roman" w:hAnsi="Times New Roman" w:cs="Times New Roman"/>
          <w:sz w:val="22"/>
          <w:szCs w:val="22"/>
          <w:lang w:val="es-ES_tradnl" w:eastAsia="es-ES"/>
        </w:rPr>
        <w:t xml:space="preserve"> la </w:t>
      </w:r>
      <w:r w:rsidR="0039645E" w:rsidRPr="00F404D2">
        <w:rPr>
          <w:rFonts w:ascii="Times New Roman" w:eastAsia="Times New Roman" w:hAnsi="Times New Roman" w:cs="Times New Roman"/>
          <w:sz w:val="22"/>
          <w:szCs w:val="22"/>
          <w:lang w:val="es-ES_tradnl" w:eastAsia="es-ES"/>
        </w:rPr>
        <w:t>contrataci</w:t>
      </w:r>
      <w:r w:rsidRPr="00F404D2">
        <w:rPr>
          <w:rFonts w:ascii="Times New Roman" w:eastAsia="Times New Roman" w:hAnsi="Times New Roman" w:cs="Times New Roman"/>
          <w:sz w:val="22"/>
          <w:szCs w:val="22"/>
          <w:lang w:val="es-ES_tradnl" w:eastAsia="es-ES"/>
        </w:rPr>
        <w:t>ó</w:t>
      </w:r>
      <w:r w:rsidR="0039645E" w:rsidRPr="00F404D2">
        <w:rPr>
          <w:rFonts w:ascii="Times New Roman" w:eastAsia="Times New Roman" w:hAnsi="Times New Roman" w:cs="Times New Roman"/>
          <w:sz w:val="22"/>
          <w:szCs w:val="22"/>
          <w:lang w:val="es-ES_tradnl" w:eastAsia="es-ES"/>
        </w:rPr>
        <w:t xml:space="preserve">n de servicios </w:t>
      </w:r>
      <w:r w:rsidRPr="00F404D2">
        <w:rPr>
          <w:rFonts w:ascii="Times New Roman" w:eastAsia="Times New Roman" w:hAnsi="Times New Roman" w:cs="Times New Roman"/>
          <w:sz w:val="22"/>
          <w:szCs w:val="22"/>
          <w:lang w:val="es-ES_tradnl" w:eastAsia="es-ES"/>
        </w:rPr>
        <w:t xml:space="preserve">técnicos y </w:t>
      </w:r>
      <w:r w:rsidR="0039645E" w:rsidRPr="00F404D2">
        <w:rPr>
          <w:rFonts w:ascii="Times New Roman" w:eastAsia="Times New Roman" w:hAnsi="Times New Roman" w:cs="Times New Roman"/>
          <w:sz w:val="22"/>
          <w:szCs w:val="22"/>
          <w:lang w:val="es-ES_tradnl" w:eastAsia="es-ES"/>
        </w:rPr>
        <w:t>profesionales</w:t>
      </w:r>
      <w:r w:rsidRPr="00F404D2">
        <w:rPr>
          <w:rFonts w:ascii="Times New Roman" w:eastAsia="Times New Roman" w:hAnsi="Times New Roman" w:cs="Times New Roman"/>
          <w:sz w:val="22"/>
          <w:szCs w:val="22"/>
          <w:lang w:val="es-ES_tradnl" w:eastAsia="es-ES"/>
        </w:rPr>
        <w:t xml:space="preserve"> (subgrupo de gasto 18) se incluye</w:t>
      </w:r>
      <w:r w:rsidR="00F404D2">
        <w:rPr>
          <w:rFonts w:ascii="Times New Roman" w:eastAsia="Times New Roman" w:hAnsi="Times New Roman" w:cs="Times New Roman"/>
          <w:sz w:val="22"/>
          <w:szCs w:val="22"/>
          <w:lang w:val="es-ES_tradnl" w:eastAsia="es-ES"/>
        </w:rPr>
        <w:t>n</w:t>
      </w:r>
      <w:r w:rsidRPr="00F404D2">
        <w:rPr>
          <w:rFonts w:ascii="Times New Roman" w:eastAsia="Times New Roman" w:hAnsi="Times New Roman" w:cs="Times New Roman"/>
          <w:sz w:val="22"/>
          <w:szCs w:val="22"/>
          <w:lang w:val="es-ES_tradnl" w:eastAsia="es-ES"/>
        </w:rPr>
        <w:t xml:space="preserve">: estudios, investigaciones y proyectos de pre factibilidad y factibilidad, servicios médico-sanitarios, jurídicos, económicos, financieros, contables y de auditoría, de capacitación, de informática y sistemas computarizados, entre otros. </w:t>
      </w:r>
    </w:p>
    <w:p w14:paraId="3A7A3816" w14:textId="77777777" w:rsidR="00BB643F" w:rsidRPr="00F404D2" w:rsidRDefault="00BB643F" w:rsidP="00BB643F">
      <w:pPr>
        <w:jc w:val="both"/>
        <w:rPr>
          <w:rFonts w:ascii="Times New Roman" w:eastAsia="Times New Roman" w:hAnsi="Times New Roman" w:cs="Times New Roman"/>
          <w:sz w:val="22"/>
          <w:szCs w:val="22"/>
          <w:lang w:val="es-ES_tradnl" w:eastAsia="es-ES"/>
        </w:rPr>
      </w:pPr>
    </w:p>
    <w:p w14:paraId="28F7CEDF" w14:textId="6E434E26" w:rsidR="003962E6" w:rsidRPr="00F404D2" w:rsidRDefault="00BB643F" w:rsidP="00BB643F">
      <w:pPr>
        <w:jc w:val="both"/>
        <w:rPr>
          <w:rFonts w:ascii="Times New Roman" w:eastAsia="Times New Roman" w:hAnsi="Times New Roman" w:cs="Times New Roman"/>
          <w:sz w:val="22"/>
          <w:szCs w:val="22"/>
          <w:lang w:val="es-ES_tradnl" w:eastAsia="es-ES"/>
        </w:rPr>
      </w:pPr>
      <w:r w:rsidRPr="00F404D2">
        <w:rPr>
          <w:rFonts w:ascii="Times New Roman" w:eastAsia="Times New Roman" w:hAnsi="Times New Roman" w:cs="Times New Roman"/>
          <w:sz w:val="22"/>
          <w:szCs w:val="22"/>
          <w:lang w:val="es-ES_tradnl" w:eastAsia="es-ES"/>
        </w:rPr>
        <w:t>Únicamente se excluyen del análisis los servicios médicos y sanitarios, siendo los de mayor peso los del Ministerio de Salud Pública y Asistencia Social, dado que no se considera un gasto superfluo, sino más bien necesario para el buen funcionamiento de la entidad,</w:t>
      </w:r>
      <w:r w:rsidR="003962E6" w:rsidRPr="00F404D2">
        <w:rPr>
          <w:rFonts w:ascii="Times New Roman" w:eastAsia="Times New Roman" w:hAnsi="Times New Roman" w:cs="Times New Roman"/>
          <w:sz w:val="22"/>
          <w:szCs w:val="22"/>
          <w:lang w:val="es-ES_tradnl" w:eastAsia="es-ES"/>
        </w:rPr>
        <w:t xml:space="preserve"> ya que comprende </w:t>
      </w:r>
      <w:r w:rsidRPr="00F404D2">
        <w:rPr>
          <w:rFonts w:ascii="Times New Roman" w:eastAsia="Times New Roman" w:hAnsi="Times New Roman" w:cs="Times New Roman"/>
          <w:sz w:val="22"/>
          <w:szCs w:val="22"/>
          <w:lang w:val="es-ES_tradnl" w:eastAsia="es-ES"/>
        </w:rPr>
        <w:t>los servicios profesionales y técnicos, exámenes médicos especializados</w:t>
      </w:r>
      <w:r w:rsidR="003962E6" w:rsidRPr="00F404D2">
        <w:rPr>
          <w:rFonts w:ascii="Times New Roman" w:eastAsia="Times New Roman" w:hAnsi="Times New Roman" w:cs="Times New Roman"/>
          <w:sz w:val="22"/>
          <w:szCs w:val="22"/>
          <w:lang w:val="es-ES_tradnl" w:eastAsia="es-ES"/>
        </w:rPr>
        <w:t xml:space="preserve"> y</w:t>
      </w:r>
      <w:r w:rsidRPr="00F404D2">
        <w:rPr>
          <w:rFonts w:ascii="Times New Roman" w:eastAsia="Times New Roman" w:hAnsi="Times New Roman" w:cs="Times New Roman"/>
          <w:sz w:val="22"/>
          <w:szCs w:val="22"/>
          <w:lang w:val="es-ES_tradnl" w:eastAsia="es-ES"/>
        </w:rPr>
        <w:t xml:space="preserve"> pruebas de laboratorios.</w:t>
      </w:r>
    </w:p>
    <w:p w14:paraId="28C66E5A" w14:textId="77777777" w:rsidR="003962E6" w:rsidRPr="00F404D2" w:rsidRDefault="003962E6" w:rsidP="00BB643F">
      <w:pPr>
        <w:jc w:val="both"/>
        <w:rPr>
          <w:rFonts w:ascii="Times New Roman" w:eastAsia="Times New Roman" w:hAnsi="Times New Roman" w:cs="Times New Roman"/>
          <w:sz w:val="22"/>
          <w:szCs w:val="22"/>
          <w:lang w:val="es-ES_tradnl" w:eastAsia="es-ES"/>
        </w:rPr>
      </w:pPr>
    </w:p>
    <w:p w14:paraId="086E18F8" w14:textId="5A86012F" w:rsidR="00EA6C1F" w:rsidRPr="00F404D2" w:rsidRDefault="00BB643F" w:rsidP="00BB643F">
      <w:pPr>
        <w:jc w:val="both"/>
        <w:rPr>
          <w:rFonts w:ascii="Times New Roman" w:eastAsia="Times New Roman" w:hAnsi="Times New Roman" w:cs="Times New Roman"/>
          <w:sz w:val="22"/>
          <w:szCs w:val="22"/>
          <w:lang w:val="es-ES_tradnl" w:eastAsia="es-ES"/>
        </w:rPr>
      </w:pPr>
      <w:r w:rsidRPr="00F404D2">
        <w:rPr>
          <w:rFonts w:ascii="Times New Roman" w:eastAsia="Times New Roman" w:hAnsi="Times New Roman" w:cs="Times New Roman"/>
          <w:sz w:val="22"/>
          <w:szCs w:val="22"/>
          <w:lang w:val="es-ES_tradnl" w:eastAsia="es-ES"/>
        </w:rPr>
        <w:t>Del resto de renglones que conforman el subgrupo 18</w:t>
      </w:r>
      <w:r w:rsidR="003962E6" w:rsidRPr="00F404D2">
        <w:rPr>
          <w:rFonts w:ascii="Times New Roman" w:eastAsia="Times New Roman" w:hAnsi="Times New Roman" w:cs="Times New Roman"/>
          <w:sz w:val="22"/>
          <w:szCs w:val="22"/>
          <w:lang w:val="es-ES_tradnl" w:eastAsia="es-ES"/>
        </w:rPr>
        <w:t>,</w:t>
      </w:r>
      <w:r w:rsidRPr="00F404D2">
        <w:rPr>
          <w:rFonts w:ascii="Times New Roman" w:eastAsia="Times New Roman" w:hAnsi="Times New Roman" w:cs="Times New Roman"/>
          <w:sz w:val="22"/>
          <w:szCs w:val="22"/>
          <w:lang w:val="es-ES_tradnl" w:eastAsia="es-ES"/>
        </w:rPr>
        <w:t xml:space="preserve"> </w:t>
      </w:r>
      <w:r w:rsidR="00095BEA">
        <w:rPr>
          <w:rFonts w:ascii="Times New Roman" w:eastAsia="Times New Roman" w:hAnsi="Times New Roman" w:cs="Times New Roman"/>
          <w:sz w:val="22"/>
          <w:szCs w:val="22"/>
          <w:lang w:val="es-ES_tradnl" w:eastAsia="es-ES"/>
        </w:rPr>
        <w:t xml:space="preserve">estos </w:t>
      </w:r>
      <w:r w:rsidRPr="00F404D2">
        <w:rPr>
          <w:rFonts w:ascii="Times New Roman" w:eastAsia="Times New Roman" w:hAnsi="Times New Roman" w:cs="Times New Roman"/>
          <w:sz w:val="22"/>
          <w:szCs w:val="22"/>
          <w:lang w:val="es-ES_tradnl" w:eastAsia="es-ES"/>
        </w:rPr>
        <w:t xml:space="preserve">reportan un crecimiento interanual de </w:t>
      </w:r>
      <w:r w:rsidR="003962E6" w:rsidRPr="00F404D2">
        <w:rPr>
          <w:rFonts w:ascii="Times New Roman" w:eastAsia="Times New Roman" w:hAnsi="Times New Roman" w:cs="Times New Roman"/>
          <w:sz w:val="22"/>
          <w:szCs w:val="22"/>
          <w:lang w:val="es-ES_tradnl" w:eastAsia="es-ES"/>
        </w:rPr>
        <w:t>17</w:t>
      </w:r>
      <w:r w:rsidRPr="00F404D2">
        <w:rPr>
          <w:rFonts w:ascii="Times New Roman" w:eastAsia="Times New Roman" w:hAnsi="Times New Roman" w:cs="Times New Roman"/>
          <w:sz w:val="22"/>
          <w:szCs w:val="22"/>
          <w:lang w:val="es-ES_tradnl" w:eastAsia="es-ES"/>
        </w:rPr>
        <w:t>.</w:t>
      </w:r>
      <w:r w:rsidR="003962E6" w:rsidRPr="00F404D2">
        <w:rPr>
          <w:rFonts w:ascii="Times New Roman" w:eastAsia="Times New Roman" w:hAnsi="Times New Roman" w:cs="Times New Roman"/>
          <w:sz w:val="22"/>
          <w:szCs w:val="22"/>
          <w:lang w:val="es-ES_tradnl" w:eastAsia="es-ES"/>
        </w:rPr>
        <w:t>3</w:t>
      </w:r>
      <w:r w:rsidRPr="00F404D2">
        <w:rPr>
          <w:rFonts w:ascii="Times New Roman" w:eastAsia="Times New Roman" w:hAnsi="Times New Roman" w:cs="Times New Roman"/>
          <w:sz w:val="22"/>
          <w:szCs w:val="22"/>
          <w:lang w:val="es-ES_tradnl" w:eastAsia="es-ES"/>
        </w:rPr>
        <w:t>%, equivalente a Q2</w:t>
      </w:r>
      <w:r w:rsidR="003962E6" w:rsidRPr="00F404D2">
        <w:rPr>
          <w:rFonts w:ascii="Times New Roman" w:eastAsia="Times New Roman" w:hAnsi="Times New Roman" w:cs="Times New Roman"/>
          <w:sz w:val="22"/>
          <w:szCs w:val="22"/>
          <w:lang w:val="es-ES_tradnl" w:eastAsia="es-ES"/>
        </w:rPr>
        <w:t>1</w:t>
      </w:r>
      <w:r w:rsidRPr="00F404D2">
        <w:rPr>
          <w:rFonts w:ascii="Times New Roman" w:eastAsia="Times New Roman" w:hAnsi="Times New Roman" w:cs="Times New Roman"/>
          <w:sz w:val="22"/>
          <w:szCs w:val="22"/>
          <w:lang w:val="es-ES_tradnl" w:eastAsia="es-ES"/>
        </w:rPr>
        <w:t>5.</w:t>
      </w:r>
      <w:r w:rsidR="003962E6" w:rsidRPr="00F404D2">
        <w:rPr>
          <w:rFonts w:ascii="Times New Roman" w:eastAsia="Times New Roman" w:hAnsi="Times New Roman" w:cs="Times New Roman"/>
          <w:sz w:val="22"/>
          <w:szCs w:val="22"/>
          <w:lang w:val="es-ES_tradnl" w:eastAsia="es-ES"/>
        </w:rPr>
        <w:t>3</w:t>
      </w:r>
      <w:r w:rsidRPr="00F404D2">
        <w:rPr>
          <w:rFonts w:ascii="Times New Roman" w:eastAsia="Times New Roman" w:hAnsi="Times New Roman" w:cs="Times New Roman"/>
          <w:sz w:val="22"/>
          <w:szCs w:val="22"/>
          <w:lang w:val="es-ES_tradnl" w:eastAsia="es-ES"/>
        </w:rPr>
        <w:t xml:space="preserve"> millones.</w:t>
      </w:r>
      <w:r w:rsidR="00EA6C1F" w:rsidRPr="00F404D2">
        <w:rPr>
          <w:rFonts w:ascii="Times New Roman" w:eastAsia="Times New Roman" w:hAnsi="Times New Roman" w:cs="Times New Roman"/>
          <w:sz w:val="22"/>
          <w:szCs w:val="22"/>
          <w:lang w:val="es-ES_tradnl" w:eastAsia="es-ES"/>
        </w:rPr>
        <w:t xml:space="preserve"> La entidad con mayor aumento es el Ministerio de Comunicaciones con un crecimiento interanual de 46.2%, equivalente a Q119.7 millones. Seguidamente se encuentra el Ministerio de Gobernación con un crecimiento interanual de 71.8%, equivalente a Q54.0 millones.</w:t>
      </w:r>
    </w:p>
    <w:p w14:paraId="2F3741BA" w14:textId="77777777" w:rsidR="00EA6C1F" w:rsidRDefault="00EA6C1F" w:rsidP="00BB643F">
      <w:pPr>
        <w:jc w:val="both"/>
        <w:rPr>
          <w:rFonts w:ascii="Times New Roman" w:eastAsia="Times New Roman" w:hAnsi="Times New Roman" w:cs="Times New Roman"/>
          <w:sz w:val="22"/>
          <w:szCs w:val="22"/>
          <w:lang w:val="es-ES_tradnl" w:eastAsia="es-ES"/>
        </w:rPr>
      </w:pPr>
    </w:p>
    <w:p w14:paraId="223198BC" w14:textId="2BC0B2B2" w:rsidR="0039645E" w:rsidRDefault="00095BEA" w:rsidP="0039645E">
      <w:pPr>
        <w:jc w:val="both"/>
        <w:rPr>
          <w:rFonts w:ascii="Times New Roman" w:eastAsia="Times New Roman" w:hAnsi="Times New Roman" w:cs="Times New Roman"/>
          <w:sz w:val="22"/>
          <w:szCs w:val="22"/>
          <w:lang w:val="es-ES_tradnl" w:eastAsia="es-ES"/>
        </w:rPr>
      </w:pPr>
      <w:r>
        <w:rPr>
          <w:rFonts w:ascii="Times New Roman" w:eastAsia="Times New Roman" w:hAnsi="Times New Roman" w:cs="Times New Roman"/>
          <w:sz w:val="22"/>
          <w:szCs w:val="22"/>
          <w:lang w:val="es-ES_tradnl" w:eastAsia="es-ES"/>
        </w:rPr>
        <w:t>En e</w:t>
      </w:r>
      <w:r w:rsidR="0039645E" w:rsidRPr="004A66F0">
        <w:rPr>
          <w:rFonts w:ascii="Times New Roman" w:eastAsia="Times New Roman" w:hAnsi="Times New Roman" w:cs="Times New Roman"/>
          <w:sz w:val="22"/>
          <w:szCs w:val="22"/>
          <w:lang w:val="es-ES_tradnl" w:eastAsia="es-ES"/>
        </w:rPr>
        <w:t>l rubro de combustibles</w:t>
      </w:r>
      <w:r>
        <w:rPr>
          <w:rFonts w:ascii="Times New Roman" w:eastAsia="Times New Roman" w:hAnsi="Times New Roman" w:cs="Times New Roman"/>
          <w:sz w:val="22"/>
          <w:szCs w:val="22"/>
          <w:lang w:val="es-ES_tradnl" w:eastAsia="es-ES"/>
        </w:rPr>
        <w:t xml:space="preserve"> se observa que</w:t>
      </w:r>
      <w:r w:rsidR="00114650">
        <w:rPr>
          <w:rFonts w:ascii="Times New Roman" w:eastAsia="Times New Roman" w:hAnsi="Times New Roman" w:cs="Times New Roman"/>
          <w:sz w:val="22"/>
          <w:szCs w:val="22"/>
          <w:lang w:val="es-ES_tradnl" w:eastAsia="es-ES"/>
        </w:rPr>
        <w:t xml:space="preserve"> se mantuvo prácticamente en el mismo nivel que el observado en 2022, con ejecución de Q508.5 millones, </w:t>
      </w:r>
      <w:r w:rsidR="0039645E" w:rsidRPr="004A66F0">
        <w:rPr>
          <w:rFonts w:ascii="Times New Roman" w:eastAsia="Times New Roman" w:hAnsi="Times New Roman" w:cs="Times New Roman"/>
          <w:sz w:val="22"/>
          <w:szCs w:val="22"/>
          <w:lang w:val="es-ES_tradnl" w:eastAsia="es-ES"/>
        </w:rPr>
        <w:t>cuyo principal aumento se encuentra en el Ministerio de Gobernación (Q1</w:t>
      </w:r>
      <w:r w:rsidR="00114650">
        <w:rPr>
          <w:rFonts w:ascii="Times New Roman" w:eastAsia="Times New Roman" w:hAnsi="Times New Roman" w:cs="Times New Roman"/>
          <w:sz w:val="22"/>
          <w:szCs w:val="22"/>
          <w:lang w:val="es-ES_tradnl" w:eastAsia="es-ES"/>
        </w:rPr>
        <w:t>5</w:t>
      </w:r>
      <w:r w:rsidR="0039645E" w:rsidRPr="004A66F0">
        <w:rPr>
          <w:rFonts w:ascii="Times New Roman" w:eastAsia="Times New Roman" w:hAnsi="Times New Roman" w:cs="Times New Roman"/>
          <w:sz w:val="22"/>
          <w:szCs w:val="22"/>
          <w:lang w:val="es-ES_tradnl" w:eastAsia="es-ES"/>
        </w:rPr>
        <w:t>.</w:t>
      </w:r>
      <w:r w:rsidR="00114650">
        <w:rPr>
          <w:rFonts w:ascii="Times New Roman" w:eastAsia="Times New Roman" w:hAnsi="Times New Roman" w:cs="Times New Roman"/>
          <w:sz w:val="22"/>
          <w:szCs w:val="22"/>
          <w:lang w:val="es-ES_tradnl" w:eastAsia="es-ES"/>
        </w:rPr>
        <w:t>6</w:t>
      </w:r>
      <w:r w:rsidR="0039645E" w:rsidRPr="004A66F0">
        <w:rPr>
          <w:rFonts w:ascii="Times New Roman" w:eastAsia="Times New Roman" w:hAnsi="Times New Roman" w:cs="Times New Roman"/>
          <w:sz w:val="22"/>
          <w:szCs w:val="22"/>
          <w:lang w:val="es-ES_tradnl" w:eastAsia="es-ES"/>
        </w:rPr>
        <w:t xml:space="preserve"> millones)</w:t>
      </w:r>
      <w:r w:rsidR="00114650">
        <w:rPr>
          <w:rFonts w:ascii="Times New Roman" w:eastAsia="Times New Roman" w:hAnsi="Times New Roman" w:cs="Times New Roman"/>
          <w:sz w:val="22"/>
          <w:szCs w:val="22"/>
          <w:lang w:val="es-ES_tradnl" w:eastAsia="es-ES"/>
        </w:rPr>
        <w:t>, asociado a los servicios de seguridad que presta esta entidad</w:t>
      </w:r>
      <w:r w:rsidR="000134BD">
        <w:rPr>
          <w:rFonts w:ascii="Times New Roman" w:eastAsia="Times New Roman" w:hAnsi="Times New Roman" w:cs="Times New Roman"/>
          <w:sz w:val="22"/>
          <w:szCs w:val="22"/>
          <w:lang w:val="es-ES_tradnl" w:eastAsia="es-ES"/>
        </w:rPr>
        <w:t xml:space="preserve">, sin embargo, resalta que este gasto creció significativamente desde 2022 (121% crecimiento interanual) y se mantuvo en el mismo monto en 2023. </w:t>
      </w:r>
    </w:p>
    <w:p w14:paraId="61EC1991" w14:textId="399DA82B" w:rsidR="00114650" w:rsidRDefault="00114650" w:rsidP="0039645E">
      <w:pPr>
        <w:jc w:val="both"/>
        <w:rPr>
          <w:rFonts w:ascii="Times New Roman" w:eastAsia="Times New Roman" w:hAnsi="Times New Roman" w:cs="Times New Roman"/>
          <w:sz w:val="22"/>
          <w:szCs w:val="22"/>
          <w:lang w:val="es-ES_tradnl" w:eastAsia="es-ES"/>
        </w:rPr>
      </w:pPr>
    </w:p>
    <w:p w14:paraId="37A43A2A" w14:textId="5EB838CF" w:rsidR="000134BD" w:rsidRDefault="0039645E" w:rsidP="0039645E">
      <w:pPr>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 xml:space="preserve">El rubro de los viáticos en el exterior e interior da cuenta de un crecimiento de </w:t>
      </w:r>
      <w:r w:rsidR="000134BD">
        <w:rPr>
          <w:rFonts w:ascii="Times New Roman" w:eastAsia="Times New Roman" w:hAnsi="Times New Roman" w:cs="Times New Roman"/>
          <w:sz w:val="22"/>
          <w:szCs w:val="22"/>
          <w:lang w:val="es-ES_tradnl" w:eastAsia="es-ES"/>
        </w:rPr>
        <w:t>16</w:t>
      </w:r>
      <w:r w:rsidRPr="004A66F0">
        <w:rPr>
          <w:rFonts w:ascii="Times New Roman" w:eastAsia="Times New Roman" w:hAnsi="Times New Roman" w:cs="Times New Roman"/>
          <w:sz w:val="22"/>
          <w:szCs w:val="22"/>
          <w:lang w:val="es-ES_tradnl" w:eastAsia="es-ES"/>
        </w:rPr>
        <w:t>.</w:t>
      </w:r>
      <w:r w:rsidR="000134BD">
        <w:rPr>
          <w:rFonts w:ascii="Times New Roman" w:eastAsia="Times New Roman" w:hAnsi="Times New Roman" w:cs="Times New Roman"/>
          <w:sz w:val="22"/>
          <w:szCs w:val="22"/>
          <w:lang w:val="es-ES_tradnl" w:eastAsia="es-ES"/>
        </w:rPr>
        <w:t>6</w:t>
      </w:r>
      <w:r w:rsidRPr="004A66F0">
        <w:rPr>
          <w:rFonts w:ascii="Times New Roman" w:eastAsia="Times New Roman" w:hAnsi="Times New Roman" w:cs="Times New Roman"/>
          <w:sz w:val="22"/>
          <w:szCs w:val="22"/>
          <w:lang w:val="es-ES_tradnl" w:eastAsia="es-ES"/>
        </w:rPr>
        <w:t>%, equivalente a Q15</w:t>
      </w:r>
      <w:r w:rsidR="000134BD">
        <w:rPr>
          <w:rFonts w:ascii="Times New Roman" w:eastAsia="Times New Roman" w:hAnsi="Times New Roman" w:cs="Times New Roman"/>
          <w:sz w:val="22"/>
          <w:szCs w:val="22"/>
          <w:lang w:val="es-ES_tradnl" w:eastAsia="es-ES"/>
        </w:rPr>
        <w:t>.2</w:t>
      </w:r>
      <w:r w:rsidRPr="004A66F0">
        <w:rPr>
          <w:rFonts w:ascii="Times New Roman" w:eastAsia="Times New Roman" w:hAnsi="Times New Roman" w:cs="Times New Roman"/>
          <w:sz w:val="22"/>
          <w:szCs w:val="22"/>
          <w:lang w:val="es-ES_tradnl" w:eastAsia="es-ES"/>
        </w:rPr>
        <w:t xml:space="preserve"> millones, </w:t>
      </w:r>
      <w:r w:rsidR="000134BD">
        <w:rPr>
          <w:rFonts w:ascii="Times New Roman" w:eastAsia="Times New Roman" w:hAnsi="Times New Roman" w:cs="Times New Roman"/>
          <w:sz w:val="22"/>
          <w:szCs w:val="22"/>
          <w:lang w:val="es-ES_tradnl" w:eastAsia="es-ES"/>
        </w:rPr>
        <w:t xml:space="preserve">después de la caída significativa que tuvo en 2020 por la pandemia del COVID-19 y las medidas de confinamiento, este gasto ha venido recuperándose, siendo la entidad con mayor aumento el Ministerio de Salud Pública y Asistencia Social con </w:t>
      </w:r>
      <w:r w:rsidR="00E23A25">
        <w:rPr>
          <w:rFonts w:ascii="Times New Roman" w:eastAsia="Times New Roman" w:hAnsi="Times New Roman" w:cs="Times New Roman"/>
          <w:sz w:val="22"/>
          <w:szCs w:val="22"/>
          <w:lang w:val="es-ES_tradnl" w:eastAsia="es-ES"/>
        </w:rPr>
        <w:t xml:space="preserve">el </w:t>
      </w:r>
      <w:r w:rsidR="000134BD">
        <w:rPr>
          <w:rFonts w:ascii="Times New Roman" w:eastAsia="Times New Roman" w:hAnsi="Times New Roman" w:cs="Times New Roman"/>
          <w:sz w:val="22"/>
          <w:szCs w:val="22"/>
          <w:lang w:val="es-ES_tradnl" w:eastAsia="es-ES"/>
        </w:rPr>
        <w:t xml:space="preserve">aumento de Q7.7 millones. </w:t>
      </w:r>
    </w:p>
    <w:p w14:paraId="7A77EC15" w14:textId="77777777" w:rsidR="000134BD" w:rsidRDefault="000134BD" w:rsidP="0039645E">
      <w:pPr>
        <w:jc w:val="both"/>
        <w:rPr>
          <w:rFonts w:ascii="Times New Roman" w:eastAsia="Times New Roman" w:hAnsi="Times New Roman" w:cs="Times New Roman"/>
          <w:sz w:val="22"/>
          <w:szCs w:val="22"/>
          <w:lang w:val="es-ES_tradnl" w:eastAsia="es-ES"/>
        </w:rPr>
      </w:pPr>
    </w:p>
    <w:p w14:paraId="2EDF89FD" w14:textId="64588789" w:rsidR="00095E74" w:rsidRDefault="00ED345A" w:rsidP="0039645E">
      <w:pPr>
        <w:jc w:val="both"/>
        <w:rPr>
          <w:rFonts w:ascii="Times New Roman" w:eastAsia="Times New Roman" w:hAnsi="Times New Roman" w:cs="Times New Roman"/>
          <w:sz w:val="22"/>
          <w:szCs w:val="22"/>
          <w:lang w:val="es-ES_tradnl" w:eastAsia="es-ES"/>
        </w:rPr>
      </w:pPr>
      <w:r>
        <w:rPr>
          <w:rFonts w:ascii="Times New Roman" w:eastAsia="Times New Roman" w:hAnsi="Times New Roman" w:cs="Times New Roman"/>
          <w:sz w:val="22"/>
          <w:szCs w:val="22"/>
          <w:lang w:val="es-ES_tradnl" w:eastAsia="es-ES"/>
        </w:rPr>
        <w:t>Por último, en la</w:t>
      </w:r>
      <w:r w:rsidR="0039645E" w:rsidRPr="004A66F0">
        <w:rPr>
          <w:rFonts w:ascii="Times New Roman" w:eastAsia="Times New Roman" w:hAnsi="Times New Roman" w:cs="Times New Roman"/>
          <w:sz w:val="22"/>
          <w:szCs w:val="22"/>
          <w:lang w:val="es-ES_tradnl" w:eastAsia="es-ES"/>
        </w:rPr>
        <w:t xml:space="preserve"> divulgación e información, el monto ejecutado </w:t>
      </w:r>
      <w:r w:rsidR="00E23A25">
        <w:rPr>
          <w:rFonts w:ascii="Times New Roman" w:eastAsia="Times New Roman" w:hAnsi="Times New Roman" w:cs="Times New Roman"/>
          <w:sz w:val="22"/>
          <w:szCs w:val="22"/>
          <w:lang w:val="es-ES_tradnl" w:eastAsia="es-ES"/>
        </w:rPr>
        <w:t>fue</w:t>
      </w:r>
      <w:r w:rsidR="00E23A25" w:rsidRPr="004A66F0">
        <w:rPr>
          <w:rFonts w:ascii="Times New Roman" w:eastAsia="Times New Roman" w:hAnsi="Times New Roman" w:cs="Times New Roman"/>
          <w:sz w:val="22"/>
          <w:szCs w:val="22"/>
          <w:lang w:val="es-ES_tradnl" w:eastAsia="es-ES"/>
        </w:rPr>
        <w:t xml:space="preserve"> </w:t>
      </w:r>
      <w:r w:rsidR="0039645E" w:rsidRPr="004A66F0">
        <w:rPr>
          <w:rFonts w:ascii="Times New Roman" w:eastAsia="Times New Roman" w:hAnsi="Times New Roman" w:cs="Times New Roman"/>
          <w:sz w:val="22"/>
          <w:szCs w:val="22"/>
          <w:lang w:val="es-ES_tradnl" w:eastAsia="es-ES"/>
        </w:rPr>
        <w:t>de Q</w:t>
      </w:r>
      <w:r>
        <w:rPr>
          <w:rFonts w:ascii="Times New Roman" w:eastAsia="Times New Roman" w:hAnsi="Times New Roman" w:cs="Times New Roman"/>
          <w:sz w:val="22"/>
          <w:szCs w:val="22"/>
          <w:lang w:val="es-ES_tradnl" w:eastAsia="es-ES"/>
        </w:rPr>
        <w:t>61</w:t>
      </w:r>
      <w:r w:rsidR="0039645E" w:rsidRPr="004A66F0">
        <w:rPr>
          <w:rFonts w:ascii="Times New Roman" w:eastAsia="Times New Roman" w:hAnsi="Times New Roman" w:cs="Times New Roman"/>
          <w:sz w:val="22"/>
          <w:szCs w:val="22"/>
          <w:lang w:val="es-ES_tradnl" w:eastAsia="es-ES"/>
        </w:rPr>
        <w:t>.</w:t>
      </w:r>
      <w:r>
        <w:rPr>
          <w:rFonts w:ascii="Times New Roman" w:eastAsia="Times New Roman" w:hAnsi="Times New Roman" w:cs="Times New Roman"/>
          <w:sz w:val="22"/>
          <w:szCs w:val="22"/>
          <w:lang w:val="es-ES_tradnl" w:eastAsia="es-ES"/>
        </w:rPr>
        <w:t>9</w:t>
      </w:r>
      <w:r w:rsidR="0039645E" w:rsidRPr="004A66F0">
        <w:rPr>
          <w:rFonts w:ascii="Times New Roman" w:eastAsia="Times New Roman" w:hAnsi="Times New Roman" w:cs="Times New Roman"/>
          <w:sz w:val="22"/>
          <w:szCs w:val="22"/>
          <w:lang w:val="es-ES_tradnl" w:eastAsia="es-ES"/>
        </w:rPr>
        <w:t xml:space="preserve"> millones, la tasa de crecimiento fue de </w:t>
      </w:r>
      <w:r>
        <w:rPr>
          <w:rFonts w:ascii="Times New Roman" w:eastAsia="Times New Roman" w:hAnsi="Times New Roman" w:cs="Times New Roman"/>
          <w:sz w:val="22"/>
          <w:szCs w:val="22"/>
          <w:lang w:val="es-ES_tradnl" w:eastAsia="es-ES"/>
        </w:rPr>
        <w:t>5</w:t>
      </w:r>
      <w:r w:rsidR="0039645E" w:rsidRPr="004A66F0">
        <w:rPr>
          <w:rFonts w:ascii="Times New Roman" w:eastAsia="Times New Roman" w:hAnsi="Times New Roman" w:cs="Times New Roman"/>
          <w:sz w:val="22"/>
          <w:szCs w:val="22"/>
          <w:lang w:val="es-ES_tradnl" w:eastAsia="es-ES"/>
        </w:rPr>
        <w:t>.</w:t>
      </w:r>
      <w:r>
        <w:rPr>
          <w:rFonts w:ascii="Times New Roman" w:eastAsia="Times New Roman" w:hAnsi="Times New Roman" w:cs="Times New Roman"/>
          <w:sz w:val="22"/>
          <w:szCs w:val="22"/>
          <w:lang w:val="es-ES_tradnl" w:eastAsia="es-ES"/>
        </w:rPr>
        <w:t>4</w:t>
      </w:r>
      <w:r w:rsidR="0039645E" w:rsidRPr="004A66F0">
        <w:rPr>
          <w:rFonts w:ascii="Times New Roman" w:eastAsia="Times New Roman" w:hAnsi="Times New Roman" w:cs="Times New Roman"/>
          <w:sz w:val="22"/>
          <w:szCs w:val="22"/>
          <w:lang w:val="es-ES_tradnl" w:eastAsia="es-ES"/>
        </w:rPr>
        <w:t>% (equivalente a Q</w:t>
      </w:r>
      <w:r>
        <w:rPr>
          <w:rFonts w:ascii="Times New Roman" w:eastAsia="Times New Roman" w:hAnsi="Times New Roman" w:cs="Times New Roman"/>
          <w:sz w:val="22"/>
          <w:szCs w:val="22"/>
          <w:lang w:val="es-ES_tradnl" w:eastAsia="es-ES"/>
        </w:rPr>
        <w:t>3</w:t>
      </w:r>
      <w:r w:rsidR="0039645E" w:rsidRPr="004A66F0">
        <w:rPr>
          <w:rFonts w:ascii="Times New Roman" w:eastAsia="Times New Roman" w:hAnsi="Times New Roman" w:cs="Times New Roman"/>
          <w:sz w:val="22"/>
          <w:szCs w:val="22"/>
          <w:lang w:val="es-ES_tradnl" w:eastAsia="es-ES"/>
        </w:rPr>
        <w:t>.</w:t>
      </w:r>
      <w:r>
        <w:rPr>
          <w:rFonts w:ascii="Times New Roman" w:eastAsia="Times New Roman" w:hAnsi="Times New Roman" w:cs="Times New Roman"/>
          <w:sz w:val="22"/>
          <w:szCs w:val="22"/>
          <w:lang w:val="es-ES_tradnl" w:eastAsia="es-ES"/>
        </w:rPr>
        <w:t>2</w:t>
      </w:r>
      <w:r w:rsidR="0039645E" w:rsidRPr="004A66F0">
        <w:rPr>
          <w:rFonts w:ascii="Times New Roman" w:eastAsia="Times New Roman" w:hAnsi="Times New Roman" w:cs="Times New Roman"/>
          <w:sz w:val="22"/>
          <w:szCs w:val="22"/>
          <w:lang w:val="es-ES_tradnl" w:eastAsia="es-ES"/>
        </w:rPr>
        <w:t xml:space="preserve"> millones). </w:t>
      </w:r>
      <w:r w:rsidR="00095E74">
        <w:rPr>
          <w:rFonts w:ascii="Times New Roman" w:eastAsia="Times New Roman" w:hAnsi="Times New Roman" w:cs="Times New Roman"/>
          <w:sz w:val="22"/>
          <w:szCs w:val="22"/>
          <w:lang w:val="es-ES_tradnl" w:eastAsia="es-ES"/>
        </w:rPr>
        <w:t>Este gasto creció significativamente en 2020 asociado al COVID-19 por las campañas informativas que eran necesarias para comunicar las medidas implementadas y desde entonces el gasto</w:t>
      </w:r>
      <w:r w:rsidR="00095BEA">
        <w:rPr>
          <w:rFonts w:ascii="Times New Roman" w:eastAsia="Times New Roman" w:hAnsi="Times New Roman" w:cs="Times New Roman"/>
          <w:sz w:val="22"/>
          <w:szCs w:val="22"/>
          <w:lang w:val="es-ES_tradnl" w:eastAsia="es-ES"/>
        </w:rPr>
        <w:t xml:space="preserve"> en este rubro </w:t>
      </w:r>
      <w:r w:rsidR="00095E74">
        <w:rPr>
          <w:rFonts w:ascii="Times New Roman" w:eastAsia="Times New Roman" w:hAnsi="Times New Roman" w:cs="Times New Roman"/>
          <w:sz w:val="22"/>
          <w:szCs w:val="22"/>
          <w:lang w:val="es-ES_tradnl" w:eastAsia="es-ES"/>
        </w:rPr>
        <w:t xml:space="preserve">ha </w:t>
      </w:r>
      <w:r w:rsidR="00095BEA">
        <w:rPr>
          <w:rFonts w:ascii="Times New Roman" w:eastAsia="Times New Roman" w:hAnsi="Times New Roman" w:cs="Times New Roman"/>
          <w:sz w:val="22"/>
          <w:szCs w:val="22"/>
          <w:lang w:val="es-ES_tradnl" w:eastAsia="es-ES"/>
        </w:rPr>
        <w:t xml:space="preserve">ido </w:t>
      </w:r>
      <w:r w:rsidR="00095E74">
        <w:rPr>
          <w:rFonts w:ascii="Times New Roman" w:eastAsia="Times New Roman" w:hAnsi="Times New Roman" w:cs="Times New Roman"/>
          <w:sz w:val="22"/>
          <w:szCs w:val="22"/>
          <w:lang w:val="es-ES_tradnl" w:eastAsia="es-ES"/>
        </w:rPr>
        <w:t xml:space="preserve">creciendo. </w:t>
      </w:r>
      <w:r w:rsidR="0039645E" w:rsidRPr="004A66F0">
        <w:rPr>
          <w:rFonts w:ascii="Times New Roman" w:eastAsia="Times New Roman" w:hAnsi="Times New Roman" w:cs="Times New Roman"/>
          <w:sz w:val="22"/>
          <w:szCs w:val="22"/>
          <w:lang w:val="es-ES_tradnl" w:eastAsia="es-ES"/>
        </w:rPr>
        <w:t>Al analizar el gasto por entidades resalta</w:t>
      </w:r>
      <w:r w:rsidR="00095E74">
        <w:rPr>
          <w:rFonts w:ascii="Times New Roman" w:eastAsia="Times New Roman" w:hAnsi="Times New Roman" w:cs="Times New Roman"/>
          <w:sz w:val="22"/>
          <w:szCs w:val="22"/>
          <w:lang w:val="es-ES_tradnl" w:eastAsia="es-ES"/>
        </w:rPr>
        <w:t xml:space="preserve"> que el mayor aumento se encuentra en </w:t>
      </w:r>
      <w:r w:rsidR="0039645E" w:rsidRPr="004A66F0">
        <w:rPr>
          <w:rFonts w:ascii="Times New Roman" w:eastAsia="Times New Roman" w:hAnsi="Times New Roman" w:cs="Times New Roman"/>
          <w:sz w:val="22"/>
          <w:szCs w:val="22"/>
          <w:lang w:val="es-ES_tradnl" w:eastAsia="es-ES"/>
        </w:rPr>
        <w:t>el Ministerio de Salud Pública y Asistencia Social</w:t>
      </w:r>
      <w:r w:rsidR="00095E74">
        <w:rPr>
          <w:rFonts w:ascii="Times New Roman" w:eastAsia="Times New Roman" w:hAnsi="Times New Roman" w:cs="Times New Roman"/>
          <w:sz w:val="22"/>
          <w:szCs w:val="22"/>
          <w:lang w:val="es-ES_tradnl" w:eastAsia="es-ES"/>
        </w:rPr>
        <w:t xml:space="preserve"> (Q4.5 millones) </w:t>
      </w:r>
      <w:r w:rsidR="00F36450">
        <w:rPr>
          <w:rFonts w:ascii="Times New Roman" w:eastAsia="Times New Roman" w:hAnsi="Times New Roman" w:cs="Times New Roman"/>
          <w:sz w:val="22"/>
          <w:szCs w:val="22"/>
          <w:lang w:val="es-ES_tradnl" w:eastAsia="es-ES"/>
        </w:rPr>
        <w:t xml:space="preserve">en la administración institucional, en la atención por COVID-19 en los servicios de prevención y tratamiento y en el programa de mortalidad de la niñez y desnutrición crónica. </w:t>
      </w:r>
      <w:r w:rsidR="0039645E" w:rsidRPr="004A66F0">
        <w:rPr>
          <w:rFonts w:ascii="Times New Roman" w:eastAsia="Times New Roman" w:hAnsi="Times New Roman" w:cs="Times New Roman"/>
          <w:sz w:val="22"/>
          <w:szCs w:val="22"/>
          <w:lang w:val="es-ES_tradnl" w:eastAsia="es-ES"/>
        </w:rPr>
        <w:t xml:space="preserve"> </w:t>
      </w:r>
    </w:p>
    <w:p w14:paraId="104595AB" w14:textId="77777777" w:rsidR="00095E74" w:rsidRDefault="00095E74" w:rsidP="0039645E">
      <w:pPr>
        <w:jc w:val="both"/>
        <w:rPr>
          <w:rFonts w:ascii="Times New Roman" w:eastAsia="Times New Roman" w:hAnsi="Times New Roman" w:cs="Times New Roman"/>
          <w:sz w:val="22"/>
          <w:szCs w:val="22"/>
          <w:lang w:val="es-ES_tradnl" w:eastAsia="es-ES"/>
        </w:rPr>
      </w:pPr>
    </w:p>
    <w:p w14:paraId="7AF4B67C" w14:textId="33546BEF" w:rsidR="00114650" w:rsidRDefault="00114650" w:rsidP="00114650">
      <w:pPr>
        <w:jc w:val="both"/>
        <w:rPr>
          <w:rFonts w:ascii="Times New Roman" w:eastAsia="Times New Roman" w:hAnsi="Times New Roman" w:cs="Times New Roman"/>
          <w:sz w:val="22"/>
          <w:szCs w:val="22"/>
          <w:lang w:val="es-ES_tradnl" w:eastAsia="es-ES"/>
        </w:rPr>
      </w:pPr>
      <w:r>
        <w:rPr>
          <w:rFonts w:ascii="Times New Roman" w:eastAsia="Times New Roman" w:hAnsi="Times New Roman" w:cs="Times New Roman"/>
          <w:sz w:val="22"/>
          <w:szCs w:val="22"/>
          <w:lang w:val="es-ES_tradnl" w:eastAsia="es-ES"/>
        </w:rPr>
        <w:t xml:space="preserve">En el período de gobierno 2020-2023, únicamente en 2020 se observó una disminución en los gastos no esenciales, esto se encuentra asociado a que en 2020 con la pandemia del COVID-19 y las medidas adoptadas de confinamiento, se incurrió en menores gastos de contratación de personal temporal y subgrupo 18, mientras que creció el gasto en “divulgación e información” por todas las medidas sanitarias, de confinamiento y vacunas que fue necesario comunicar a la población. Fue hasta </w:t>
      </w:r>
      <w:r w:rsidRPr="004A66F0">
        <w:rPr>
          <w:rFonts w:ascii="Times New Roman" w:eastAsia="Times New Roman" w:hAnsi="Times New Roman" w:cs="Times New Roman"/>
          <w:sz w:val="22"/>
          <w:szCs w:val="22"/>
          <w:lang w:val="es-ES_tradnl" w:eastAsia="es-ES"/>
        </w:rPr>
        <w:t>2022</w:t>
      </w:r>
      <w:r>
        <w:rPr>
          <w:rFonts w:ascii="Times New Roman" w:eastAsia="Times New Roman" w:hAnsi="Times New Roman" w:cs="Times New Roman"/>
          <w:sz w:val="22"/>
          <w:szCs w:val="22"/>
          <w:lang w:val="es-ES_tradnl" w:eastAsia="es-ES"/>
        </w:rPr>
        <w:t xml:space="preserve"> que los gastos no esenciales superaron el </w:t>
      </w:r>
      <w:r w:rsidRPr="004A66F0">
        <w:rPr>
          <w:rFonts w:ascii="Times New Roman" w:eastAsia="Times New Roman" w:hAnsi="Times New Roman" w:cs="Times New Roman"/>
          <w:sz w:val="22"/>
          <w:szCs w:val="22"/>
          <w:lang w:val="es-ES_tradnl" w:eastAsia="es-ES"/>
        </w:rPr>
        <w:t xml:space="preserve">nivel alcanzado en 2019, es decir previo a la pandemia, lo cual </w:t>
      </w:r>
      <w:r>
        <w:rPr>
          <w:rFonts w:ascii="Times New Roman" w:eastAsia="Times New Roman" w:hAnsi="Times New Roman" w:cs="Times New Roman"/>
          <w:sz w:val="22"/>
          <w:szCs w:val="22"/>
          <w:lang w:val="es-ES_tradnl" w:eastAsia="es-ES"/>
        </w:rPr>
        <w:t>fue</w:t>
      </w:r>
      <w:r w:rsidRPr="004A66F0">
        <w:rPr>
          <w:rFonts w:ascii="Times New Roman" w:eastAsia="Times New Roman" w:hAnsi="Times New Roman" w:cs="Times New Roman"/>
          <w:sz w:val="22"/>
          <w:szCs w:val="22"/>
          <w:lang w:val="es-ES_tradnl" w:eastAsia="es-ES"/>
        </w:rPr>
        <w:t xml:space="preserve"> una muestra de la normalización en las actividades públicas</w:t>
      </w:r>
      <w:r>
        <w:rPr>
          <w:rFonts w:ascii="Times New Roman" w:eastAsia="Times New Roman" w:hAnsi="Times New Roman" w:cs="Times New Roman"/>
          <w:sz w:val="22"/>
          <w:szCs w:val="22"/>
          <w:lang w:val="es-ES_tradnl" w:eastAsia="es-ES"/>
        </w:rPr>
        <w:t xml:space="preserve"> a partir de ese año.</w:t>
      </w:r>
    </w:p>
    <w:p w14:paraId="41CA294A" w14:textId="77777777" w:rsidR="00114650" w:rsidRDefault="00114650" w:rsidP="005D4864">
      <w:pPr>
        <w:jc w:val="both"/>
        <w:rPr>
          <w:rFonts w:ascii="Times New Roman" w:eastAsia="Times New Roman" w:hAnsi="Times New Roman" w:cs="Times New Roman"/>
          <w:sz w:val="22"/>
          <w:szCs w:val="22"/>
          <w:lang w:val="es-ES_tradnl" w:eastAsia="es-ES"/>
        </w:rPr>
      </w:pPr>
    </w:p>
    <w:p w14:paraId="2E4C89B6" w14:textId="30A1B918" w:rsidR="005D4864" w:rsidRPr="004A66F0" w:rsidRDefault="005D4864" w:rsidP="005D4864">
      <w:pPr>
        <w:jc w:val="both"/>
        <w:rPr>
          <w:rFonts w:ascii="Times New Roman" w:eastAsia="Times New Roman" w:hAnsi="Times New Roman" w:cs="Times New Roman"/>
          <w:sz w:val="22"/>
          <w:szCs w:val="22"/>
          <w:lang w:val="es-ES_tradnl" w:eastAsia="es-ES"/>
        </w:rPr>
      </w:pPr>
      <w:r>
        <w:rPr>
          <w:rFonts w:ascii="Times New Roman" w:eastAsia="Times New Roman" w:hAnsi="Times New Roman" w:cs="Times New Roman"/>
          <w:sz w:val="22"/>
          <w:szCs w:val="22"/>
          <w:lang w:val="es-ES_tradnl" w:eastAsia="es-ES"/>
        </w:rPr>
        <w:t>E</w:t>
      </w:r>
      <w:r w:rsidRPr="004A66F0">
        <w:rPr>
          <w:rFonts w:ascii="Times New Roman" w:eastAsia="Times New Roman" w:hAnsi="Times New Roman" w:cs="Times New Roman"/>
          <w:sz w:val="22"/>
          <w:szCs w:val="22"/>
          <w:lang w:val="es-ES_tradnl" w:eastAsia="es-ES"/>
        </w:rPr>
        <w:t>n su conjunto</w:t>
      </w:r>
      <w:r>
        <w:rPr>
          <w:rFonts w:ascii="Times New Roman" w:eastAsia="Times New Roman" w:hAnsi="Times New Roman" w:cs="Times New Roman"/>
          <w:sz w:val="22"/>
          <w:szCs w:val="22"/>
          <w:lang w:val="es-ES_tradnl" w:eastAsia="es-ES"/>
        </w:rPr>
        <w:t xml:space="preserve"> los gastos no esenciales </w:t>
      </w:r>
      <w:r w:rsidR="00456444">
        <w:rPr>
          <w:rFonts w:ascii="Times New Roman" w:eastAsia="Times New Roman" w:hAnsi="Times New Roman" w:cs="Times New Roman"/>
          <w:sz w:val="22"/>
          <w:szCs w:val="22"/>
          <w:lang w:val="es-ES_tradnl" w:eastAsia="es-ES"/>
        </w:rPr>
        <w:t xml:space="preserve">en 2023 </w:t>
      </w:r>
      <w:r w:rsidRPr="004A66F0">
        <w:rPr>
          <w:rFonts w:ascii="Times New Roman" w:eastAsia="Times New Roman" w:hAnsi="Times New Roman" w:cs="Times New Roman"/>
          <w:sz w:val="22"/>
          <w:szCs w:val="22"/>
          <w:lang w:val="es-ES_tradnl" w:eastAsia="es-ES"/>
        </w:rPr>
        <w:t>reportaron un nivel de Q3,</w:t>
      </w:r>
      <w:r>
        <w:rPr>
          <w:rFonts w:ascii="Times New Roman" w:eastAsia="Times New Roman" w:hAnsi="Times New Roman" w:cs="Times New Roman"/>
          <w:sz w:val="22"/>
          <w:szCs w:val="22"/>
          <w:lang w:val="es-ES_tradnl" w:eastAsia="es-ES"/>
        </w:rPr>
        <w:t>818</w:t>
      </w:r>
      <w:r w:rsidRPr="004A66F0">
        <w:rPr>
          <w:rFonts w:ascii="Times New Roman" w:eastAsia="Times New Roman" w:hAnsi="Times New Roman" w:cs="Times New Roman"/>
          <w:sz w:val="22"/>
          <w:szCs w:val="22"/>
          <w:lang w:val="es-ES_tradnl" w:eastAsia="es-ES"/>
        </w:rPr>
        <w:t>.</w:t>
      </w:r>
      <w:r>
        <w:rPr>
          <w:rFonts w:ascii="Times New Roman" w:eastAsia="Times New Roman" w:hAnsi="Times New Roman" w:cs="Times New Roman"/>
          <w:sz w:val="22"/>
          <w:szCs w:val="22"/>
          <w:lang w:val="es-ES_tradnl" w:eastAsia="es-ES"/>
        </w:rPr>
        <w:t>3</w:t>
      </w:r>
      <w:r w:rsidRPr="004A66F0">
        <w:rPr>
          <w:rFonts w:ascii="Times New Roman" w:eastAsia="Times New Roman" w:hAnsi="Times New Roman" w:cs="Times New Roman"/>
          <w:sz w:val="22"/>
          <w:szCs w:val="22"/>
          <w:lang w:val="es-ES_tradnl" w:eastAsia="es-ES"/>
        </w:rPr>
        <w:t xml:space="preserve"> millones, con un crecimiento interanual de 9</w:t>
      </w:r>
      <w:r>
        <w:rPr>
          <w:rFonts w:ascii="Times New Roman" w:eastAsia="Times New Roman" w:hAnsi="Times New Roman" w:cs="Times New Roman"/>
          <w:sz w:val="22"/>
          <w:szCs w:val="22"/>
          <w:lang w:val="es-ES_tradnl" w:eastAsia="es-ES"/>
        </w:rPr>
        <w:t>.5</w:t>
      </w:r>
      <w:r w:rsidRPr="004A66F0">
        <w:rPr>
          <w:rFonts w:ascii="Times New Roman" w:eastAsia="Times New Roman" w:hAnsi="Times New Roman" w:cs="Times New Roman"/>
          <w:sz w:val="22"/>
          <w:szCs w:val="22"/>
          <w:lang w:val="es-ES_tradnl" w:eastAsia="es-ES"/>
        </w:rPr>
        <w:t>%, equivalente a Q</w:t>
      </w:r>
      <w:r>
        <w:rPr>
          <w:rFonts w:ascii="Times New Roman" w:eastAsia="Times New Roman" w:hAnsi="Times New Roman" w:cs="Times New Roman"/>
          <w:sz w:val="22"/>
          <w:szCs w:val="22"/>
          <w:lang w:val="es-ES_tradnl" w:eastAsia="es-ES"/>
        </w:rPr>
        <w:t>33</w:t>
      </w:r>
      <w:r w:rsidRPr="004A66F0">
        <w:rPr>
          <w:rFonts w:ascii="Times New Roman" w:eastAsia="Times New Roman" w:hAnsi="Times New Roman" w:cs="Times New Roman"/>
          <w:sz w:val="22"/>
          <w:szCs w:val="22"/>
          <w:lang w:val="es-ES_tradnl" w:eastAsia="es-ES"/>
        </w:rPr>
        <w:t>0.</w:t>
      </w:r>
      <w:r>
        <w:rPr>
          <w:rFonts w:ascii="Times New Roman" w:eastAsia="Times New Roman" w:hAnsi="Times New Roman" w:cs="Times New Roman"/>
          <w:sz w:val="22"/>
          <w:szCs w:val="22"/>
          <w:lang w:val="es-ES_tradnl" w:eastAsia="es-ES"/>
        </w:rPr>
        <w:t>8</w:t>
      </w:r>
      <w:r w:rsidRPr="004A66F0">
        <w:rPr>
          <w:rFonts w:ascii="Times New Roman" w:eastAsia="Times New Roman" w:hAnsi="Times New Roman" w:cs="Times New Roman"/>
          <w:sz w:val="22"/>
          <w:szCs w:val="22"/>
          <w:lang w:val="es-ES_tradnl" w:eastAsia="es-ES"/>
        </w:rPr>
        <w:t xml:space="preserve"> millones</w:t>
      </w:r>
      <w:r>
        <w:rPr>
          <w:rFonts w:ascii="Times New Roman" w:eastAsia="Times New Roman" w:hAnsi="Times New Roman" w:cs="Times New Roman"/>
          <w:sz w:val="22"/>
          <w:szCs w:val="22"/>
          <w:lang w:val="es-ES_tradnl" w:eastAsia="es-ES"/>
        </w:rPr>
        <w:t>, siendo el subgrupo 18 el de mayor crecimiento, seguido de los viáticos. A pesar del aumento de los gastos no esenciales, se puede mencionar que en este período (2021-2023</w:t>
      </w:r>
      <w:r w:rsidR="00456444">
        <w:rPr>
          <w:rFonts w:ascii="Times New Roman" w:eastAsia="Times New Roman" w:hAnsi="Times New Roman" w:cs="Times New Roman"/>
          <w:sz w:val="22"/>
          <w:szCs w:val="22"/>
          <w:lang w:val="es-ES_tradnl" w:eastAsia="es-ES"/>
        </w:rPr>
        <w:t xml:space="preserve">) </w:t>
      </w:r>
      <w:r>
        <w:rPr>
          <w:rFonts w:ascii="Times New Roman" w:eastAsia="Times New Roman" w:hAnsi="Times New Roman" w:cs="Times New Roman"/>
          <w:sz w:val="22"/>
          <w:szCs w:val="22"/>
          <w:lang w:val="es-ES_tradnl" w:eastAsia="es-ES"/>
        </w:rPr>
        <w:t xml:space="preserve">también existió un crecimiento importante de ingresos tributarios, es decir, que se </w:t>
      </w:r>
      <w:r w:rsidR="00907844">
        <w:rPr>
          <w:rFonts w:ascii="Times New Roman" w:eastAsia="Times New Roman" w:hAnsi="Times New Roman" w:cs="Times New Roman"/>
          <w:sz w:val="22"/>
          <w:szCs w:val="22"/>
          <w:lang w:val="es-ES_tradnl" w:eastAsia="es-ES"/>
        </w:rPr>
        <w:t>contó</w:t>
      </w:r>
      <w:r>
        <w:rPr>
          <w:rFonts w:ascii="Times New Roman" w:eastAsia="Times New Roman" w:hAnsi="Times New Roman" w:cs="Times New Roman"/>
          <w:sz w:val="22"/>
          <w:szCs w:val="22"/>
          <w:lang w:val="es-ES_tradnl" w:eastAsia="es-ES"/>
        </w:rPr>
        <w:t xml:space="preserve"> </w:t>
      </w:r>
      <w:r w:rsidR="00456444">
        <w:rPr>
          <w:rFonts w:ascii="Times New Roman" w:eastAsia="Times New Roman" w:hAnsi="Times New Roman" w:cs="Times New Roman"/>
          <w:sz w:val="22"/>
          <w:szCs w:val="22"/>
          <w:lang w:val="es-ES_tradnl" w:eastAsia="es-ES"/>
        </w:rPr>
        <w:t>con una mayor disponibilidad de recursos y esto pudo influir</w:t>
      </w:r>
      <w:r w:rsidR="00373720">
        <w:rPr>
          <w:rFonts w:ascii="Times New Roman" w:eastAsia="Times New Roman" w:hAnsi="Times New Roman" w:cs="Times New Roman"/>
          <w:sz w:val="22"/>
          <w:szCs w:val="22"/>
          <w:lang w:val="es-ES_tradnl" w:eastAsia="es-ES"/>
        </w:rPr>
        <w:t xml:space="preserve"> en </w:t>
      </w:r>
      <w:r w:rsidR="00456444">
        <w:rPr>
          <w:rFonts w:ascii="Times New Roman" w:eastAsia="Times New Roman" w:hAnsi="Times New Roman" w:cs="Times New Roman"/>
          <w:sz w:val="22"/>
          <w:szCs w:val="22"/>
          <w:lang w:val="es-ES_tradnl" w:eastAsia="es-ES"/>
        </w:rPr>
        <w:t xml:space="preserve">una mayor asignación de cuotas financieras en estos renglones solicitados por parte de las entidades, en </w:t>
      </w:r>
      <w:r w:rsidR="00456444">
        <w:rPr>
          <w:rFonts w:ascii="Times New Roman" w:eastAsia="Times New Roman" w:hAnsi="Times New Roman" w:cs="Times New Roman"/>
          <w:sz w:val="22"/>
          <w:szCs w:val="22"/>
          <w:lang w:val="es-ES_tradnl" w:eastAsia="es-ES"/>
        </w:rPr>
        <w:lastRenderedPageBreak/>
        <w:t xml:space="preserve">especial </w:t>
      </w:r>
      <w:r w:rsidRPr="004A66F0">
        <w:rPr>
          <w:rFonts w:ascii="Times New Roman" w:eastAsia="Times New Roman" w:hAnsi="Times New Roman" w:cs="Times New Roman"/>
          <w:sz w:val="22"/>
          <w:szCs w:val="22"/>
          <w:lang w:val="es-ES_tradnl" w:eastAsia="es-ES"/>
        </w:rPr>
        <w:t>en los rubros de gasto que contaban con presupuesto en las fuentes de origen tributario y que cumplían con las disposiciones legales.</w:t>
      </w:r>
    </w:p>
    <w:p w14:paraId="552602F6" w14:textId="6151C6D0" w:rsidR="005D4864" w:rsidRDefault="005D4864" w:rsidP="0039645E">
      <w:pPr>
        <w:jc w:val="both"/>
        <w:rPr>
          <w:rFonts w:ascii="Times New Roman" w:eastAsia="Times New Roman" w:hAnsi="Times New Roman" w:cs="Times New Roman"/>
          <w:sz w:val="22"/>
          <w:szCs w:val="22"/>
          <w:lang w:val="es-ES_tradnl" w:eastAsia="es-ES"/>
        </w:rPr>
      </w:pPr>
    </w:p>
    <w:p w14:paraId="79087CC7" w14:textId="70F15D10" w:rsidR="0039645E" w:rsidRPr="00DA2AB6" w:rsidRDefault="00DA2AB6" w:rsidP="00DA2AB6">
      <w:pPr>
        <w:pStyle w:val="Descripcin"/>
        <w:keepNext/>
        <w:spacing w:after="0"/>
        <w:jc w:val="center"/>
        <w:rPr>
          <w:sz w:val="22"/>
          <w:szCs w:val="22"/>
        </w:rPr>
      </w:pPr>
      <w:bookmarkStart w:id="57" w:name="_Toc125539787"/>
      <w:bookmarkStart w:id="58" w:name="_Toc158103859"/>
      <w:r w:rsidRPr="00DA2AB6">
        <w:rPr>
          <w:sz w:val="22"/>
          <w:szCs w:val="22"/>
        </w:rPr>
        <w:t xml:space="preserve">Gráfico </w:t>
      </w:r>
      <w:r w:rsidRPr="00DA2AB6">
        <w:rPr>
          <w:sz w:val="22"/>
          <w:szCs w:val="22"/>
        </w:rPr>
        <w:fldChar w:fldCharType="begin"/>
      </w:r>
      <w:r w:rsidRPr="00DA2AB6">
        <w:rPr>
          <w:sz w:val="22"/>
          <w:szCs w:val="22"/>
        </w:rPr>
        <w:instrText xml:space="preserve"> SEQ Gráfico \* ARABIC </w:instrText>
      </w:r>
      <w:r w:rsidRPr="00DA2AB6">
        <w:rPr>
          <w:sz w:val="22"/>
          <w:szCs w:val="22"/>
        </w:rPr>
        <w:fldChar w:fldCharType="separate"/>
      </w:r>
      <w:r w:rsidR="00C015DC">
        <w:rPr>
          <w:noProof/>
          <w:sz w:val="22"/>
          <w:szCs w:val="22"/>
        </w:rPr>
        <w:t>14</w:t>
      </w:r>
      <w:r w:rsidRPr="00DA2AB6">
        <w:rPr>
          <w:sz w:val="22"/>
          <w:szCs w:val="22"/>
        </w:rPr>
        <w:fldChar w:fldCharType="end"/>
      </w:r>
      <w:r w:rsidR="00B4190D" w:rsidRPr="004A66F0">
        <w:rPr>
          <w:rFonts w:ascii="Calibri" w:eastAsia="Times New Roman" w:hAnsi="Calibri" w:cs="Calibri"/>
          <w:noProof/>
          <w:sz w:val="22"/>
          <w:szCs w:val="22"/>
        </w:rPr>
        <mc:AlternateContent>
          <mc:Choice Requires="wps">
            <w:drawing>
              <wp:anchor distT="45720" distB="45720" distL="114300" distR="114300" simplePos="0" relativeHeight="251663360" behindDoc="0" locked="0" layoutInCell="1" allowOverlap="1" wp14:anchorId="56348BB8" wp14:editId="14E4AD64">
                <wp:simplePos x="0" y="0"/>
                <wp:positionH relativeFrom="column">
                  <wp:posOffset>4366260</wp:posOffset>
                </wp:positionH>
                <wp:positionV relativeFrom="paragraph">
                  <wp:posOffset>84455</wp:posOffset>
                </wp:positionV>
                <wp:extent cx="1192530" cy="461010"/>
                <wp:effectExtent l="0" t="0" r="0" b="0"/>
                <wp:wrapNone/>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461010"/>
                        </a:xfrm>
                        <a:prstGeom prst="rect">
                          <a:avLst/>
                        </a:prstGeom>
                        <a:noFill/>
                        <a:ln w="9525">
                          <a:noFill/>
                          <a:miter lim="800000"/>
                          <a:headEnd/>
                          <a:tailEnd/>
                        </a:ln>
                      </wps:spPr>
                      <wps:txbx>
                        <w:txbxContent>
                          <w:p w14:paraId="3A31B9C5" w14:textId="78B99437" w:rsidR="0039645E" w:rsidRPr="00413476" w:rsidRDefault="0039645E" w:rsidP="0039645E">
                            <w:pPr>
                              <w:jc w:val="center"/>
                              <w:rPr>
                                <w:rFonts w:ascii="Times New Roman" w:hAnsi="Times New Roman"/>
                                <w:b/>
                                <w:color w:val="C00000"/>
                                <w:sz w:val="20"/>
                                <w:lang w:val="en-US"/>
                              </w:rPr>
                            </w:pPr>
                            <w:r w:rsidRPr="00703BA9">
                              <w:rPr>
                                <w:rFonts w:ascii="Times New Roman" w:hAnsi="Times New Roman"/>
                                <w:b/>
                                <w:color w:val="C00000"/>
                                <w:sz w:val="20"/>
                                <w:lang w:val="es-ES_tradnl" w:eastAsia="es-ES"/>
                              </w:rPr>
                              <w:t>Aumento</w:t>
                            </w:r>
                            <w:r w:rsidRPr="00413476">
                              <w:rPr>
                                <w:rFonts w:ascii="Times New Roman" w:hAnsi="Times New Roman"/>
                                <w:b/>
                                <w:color w:val="C00000"/>
                                <w:sz w:val="20"/>
                              </w:rPr>
                              <w:t xml:space="preserve"> de Q</w:t>
                            </w:r>
                            <w:r w:rsidR="00EE3AF3">
                              <w:rPr>
                                <w:rFonts w:ascii="Times New Roman" w:hAnsi="Times New Roman"/>
                                <w:b/>
                                <w:color w:val="C00000"/>
                                <w:sz w:val="20"/>
                              </w:rPr>
                              <w:t>330</w:t>
                            </w:r>
                            <w:r w:rsidRPr="00413476">
                              <w:rPr>
                                <w:rFonts w:ascii="Times New Roman" w:hAnsi="Times New Roman"/>
                                <w:b/>
                                <w:color w:val="C00000"/>
                                <w:sz w:val="20"/>
                              </w:rPr>
                              <w:t>.</w:t>
                            </w:r>
                            <w:r w:rsidR="00EE3AF3">
                              <w:rPr>
                                <w:rFonts w:ascii="Times New Roman" w:hAnsi="Times New Roman"/>
                                <w:b/>
                                <w:color w:val="C00000"/>
                                <w:sz w:val="20"/>
                              </w:rPr>
                              <w:t>8</w:t>
                            </w:r>
                            <w:r w:rsidRPr="00413476">
                              <w:rPr>
                                <w:rFonts w:ascii="Times New Roman" w:hAnsi="Times New Roman"/>
                                <w:b/>
                                <w:color w:val="C00000"/>
                                <w:sz w:val="20"/>
                              </w:rPr>
                              <w:t xml:space="preserve"> millones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348BB8" id="_x0000_t202" coordsize="21600,21600" o:spt="202" path="m,l,21600r21600,l21600,xe">
                <v:stroke joinstyle="miter"/>
                <v:path gradientshapeok="t" o:connecttype="rect"/>
              </v:shapetype>
              <v:shape id="Cuadro de texto 217" o:spid="_x0000_s1029" type="#_x0000_t202" style="position:absolute;left:0;text-align:left;margin-left:343.8pt;margin-top:6.65pt;width:93.9pt;height:36.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" filled="f" stroked="f">
                <v:textbox>
                  <w:txbxContent>
                    <w:p w14:paraId="3A31B9C5" w14:textId="78B99437" w:rsidR="0039645E" w:rsidRPr="00413476" w:rsidRDefault="0039645E" w:rsidP="0039645E">
                      <w:pPr>
                        <w:jc w:val="center"/>
                        <w:rPr>
                          <w:rFonts w:ascii="Times New Roman" w:hAnsi="Times New Roman"/>
                          <w:b/>
                          <w:color w:val="C00000"/>
                          <w:sz w:val="20"/>
                          <w:lang w:val="en-US"/>
                        </w:rPr>
                      </w:pPr>
                      <w:r w:rsidRPr="00703BA9">
                        <w:rPr>
                          <w:rFonts w:ascii="Times New Roman" w:hAnsi="Times New Roman"/>
                          <w:b/>
                          <w:color w:val="C00000"/>
                          <w:sz w:val="20"/>
                          <w:lang w:val="es-ES_tradnl" w:eastAsia="es-ES"/>
                        </w:rPr>
                        <w:t>Aumento</w:t>
                      </w:r>
                      <w:r w:rsidRPr="00413476">
                        <w:rPr>
                          <w:rFonts w:ascii="Times New Roman" w:hAnsi="Times New Roman"/>
                          <w:b/>
                          <w:color w:val="C00000"/>
                          <w:sz w:val="20"/>
                        </w:rPr>
                        <w:t xml:space="preserve"> de Q</w:t>
                      </w:r>
                      <w:r w:rsidR="00EE3AF3">
                        <w:rPr>
                          <w:rFonts w:ascii="Times New Roman" w:hAnsi="Times New Roman"/>
                          <w:b/>
                          <w:color w:val="C00000"/>
                          <w:sz w:val="20"/>
                        </w:rPr>
                        <w:t>330</w:t>
                      </w:r>
                      <w:r w:rsidRPr="00413476">
                        <w:rPr>
                          <w:rFonts w:ascii="Times New Roman" w:hAnsi="Times New Roman"/>
                          <w:b/>
                          <w:color w:val="C00000"/>
                          <w:sz w:val="20"/>
                        </w:rPr>
                        <w:t>.</w:t>
                      </w:r>
                      <w:r w:rsidR="00EE3AF3">
                        <w:rPr>
                          <w:rFonts w:ascii="Times New Roman" w:hAnsi="Times New Roman"/>
                          <w:b/>
                          <w:color w:val="C00000"/>
                          <w:sz w:val="20"/>
                        </w:rPr>
                        <w:t>8</w:t>
                      </w:r>
                      <w:r w:rsidRPr="00413476">
                        <w:rPr>
                          <w:rFonts w:ascii="Times New Roman" w:hAnsi="Times New Roman"/>
                          <w:b/>
                          <w:color w:val="C00000"/>
                          <w:sz w:val="20"/>
                        </w:rPr>
                        <w:t xml:space="preserve"> millones</w:t>
                      </w:r>
                    </w:p>
                  </w:txbxContent>
                </v:textbox>
              </v:shape>
            </w:pict>
          </mc:Fallback>
        </mc:AlternateContent>
      </w:r>
      <w:r>
        <w:rPr>
          <w:sz w:val="22"/>
          <w:szCs w:val="22"/>
        </w:rPr>
        <w:t xml:space="preserve">.  </w:t>
      </w:r>
      <w:r w:rsidR="0039645E" w:rsidRPr="004A66F0">
        <w:rPr>
          <w:rFonts w:eastAsia="Times New Roman" w:cs="Times New Roman"/>
          <w:sz w:val="22"/>
          <w:szCs w:val="22"/>
        </w:rPr>
        <w:t>Gastos no esenciales 20</w:t>
      </w:r>
      <w:r w:rsidR="00EE3AF3">
        <w:rPr>
          <w:rFonts w:eastAsia="Times New Roman" w:cs="Times New Roman"/>
          <w:sz w:val="22"/>
          <w:szCs w:val="22"/>
        </w:rPr>
        <w:t>20</w:t>
      </w:r>
      <w:r w:rsidR="0039645E" w:rsidRPr="004A66F0">
        <w:rPr>
          <w:rFonts w:eastAsia="Times New Roman" w:cs="Times New Roman"/>
          <w:sz w:val="22"/>
          <w:szCs w:val="22"/>
        </w:rPr>
        <w:t>-202</w:t>
      </w:r>
      <w:bookmarkEnd w:id="57"/>
      <w:r w:rsidR="00BA097F">
        <w:rPr>
          <w:rFonts w:eastAsia="Times New Roman" w:cs="Times New Roman"/>
          <w:sz w:val="22"/>
          <w:szCs w:val="22"/>
        </w:rPr>
        <w:t>3</w:t>
      </w:r>
      <w:bookmarkEnd w:id="58"/>
      <w:r w:rsidR="0039645E" w:rsidRPr="004A66F0">
        <w:rPr>
          <w:rFonts w:eastAsia="Times New Roman" w:cs="Times New Roman"/>
          <w:sz w:val="22"/>
          <w:szCs w:val="22"/>
        </w:rPr>
        <w:t xml:space="preserve"> </w:t>
      </w:r>
      <w:r w:rsidR="0039645E" w:rsidRPr="004A66F0">
        <w:rPr>
          <w:rFonts w:eastAsia="Times New Roman" w:cs="Times New Roman"/>
          <w:sz w:val="20"/>
          <w:szCs w:val="22"/>
        </w:rPr>
        <w:t xml:space="preserve">       </w:t>
      </w:r>
    </w:p>
    <w:p w14:paraId="55A7D1FB" w14:textId="079063AF" w:rsidR="0039645E" w:rsidRPr="004A66F0" w:rsidRDefault="00EE3AF3" w:rsidP="0039645E">
      <w:pPr>
        <w:jc w:val="center"/>
        <w:rPr>
          <w:rFonts w:ascii="Times New Roman" w:eastAsia="Times New Roman" w:hAnsi="Times New Roman" w:cs="Times New Roman"/>
          <w:b/>
          <w:sz w:val="22"/>
          <w:szCs w:val="22"/>
        </w:rPr>
      </w:pPr>
      <w:r w:rsidRPr="004A66F0">
        <w:rPr>
          <w:rFonts w:ascii="Calibri" w:eastAsia="Times New Roman" w:hAnsi="Calibri" w:cs="Calibri"/>
          <w:noProof/>
          <w:sz w:val="22"/>
          <w:szCs w:val="22"/>
        </w:rPr>
        <mc:AlternateContent>
          <mc:Choice Requires="wps">
            <w:drawing>
              <wp:anchor distT="45720" distB="45720" distL="114300" distR="114300" simplePos="0" relativeHeight="251668480" behindDoc="0" locked="0" layoutInCell="1" allowOverlap="1" wp14:anchorId="494CE519" wp14:editId="3D0E26E5">
                <wp:simplePos x="0" y="0"/>
                <wp:positionH relativeFrom="column">
                  <wp:posOffset>546100</wp:posOffset>
                </wp:positionH>
                <wp:positionV relativeFrom="paragraph">
                  <wp:posOffset>502285</wp:posOffset>
                </wp:positionV>
                <wp:extent cx="1192530" cy="461010"/>
                <wp:effectExtent l="0" t="0"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461010"/>
                        </a:xfrm>
                        <a:prstGeom prst="rect">
                          <a:avLst/>
                        </a:prstGeom>
                        <a:noFill/>
                        <a:ln w="9525">
                          <a:noFill/>
                          <a:miter lim="800000"/>
                          <a:headEnd/>
                          <a:tailEnd/>
                        </a:ln>
                      </wps:spPr>
                      <wps:txbx>
                        <w:txbxContent>
                          <w:p w14:paraId="3872D26C" w14:textId="79C84562" w:rsidR="00EE3AF3" w:rsidRPr="00B4190D" w:rsidRDefault="00B4190D" w:rsidP="00EE3AF3">
                            <w:pPr>
                              <w:jc w:val="center"/>
                              <w:rPr>
                                <w:rFonts w:ascii="Times New Roman" w:hAnsi="Times New Roman"/>
                                <w:b/>
                                <w:color w:val="006600"/>
                                <w:sz w:val="14"/>
                                <w:szCs w:val="18"/>
                                <w:lang w:val="en-US"/>
                              </w:rPr>
                            </w:pPr>
                            <w:r>
                              <w:rPr>
                                <w:rFonts w:ascii="Times New Roman" w:hAnsi="Times New Roman"/>
                                <w:b/>
                                <w:color w:val="006600"/>
                                <w:sz w:val="14"/>
                                <w:szCs w:val="18"/>
                                <w:lang w:val="es-ES_tradnl" w:eastAsia="es-ES"/>
                              </w:rPr>
                              <w:t>Disminución</w:t>
                            </w:r>
                            <w:r w:rsidR="00EE3AF3" w:rsidRPr="00B4190D">
                              <w:rPr>
                                <w:rFonts w:ascii="Times New Roman" w:hAnsi="Times New Roman"/>
                                <w:b/>
                                <w:color w:val="006600"/>
                                <w:sz w:val="14"/>
                                <w:szCs w:val="18"/>
                              </w:rPr>
                              <w:t xml:space="preserve"> de Q</w:t>
                            </w:r>
                            <w:r>
                              <w:rPr>
                                <w:rFonts w:ascii="Times New Roman" w:hAnsi="Times New Roman"/>
                                <w:b/>
                                <w:color w:val="006600"/>
                                <w:sz w:val="14"/>
                                <w:szCs w:val="18"/>
                              </w:rPr>
                              <w:t>519</w:t>
                            </w:r>
                            <w:r w:rsidR="00EE3AF3" w:rsidRPr="00B4190D">
                              <w:rPr>
                                <w:rFonts w:ascii="Times New Roman" w:hAnsi="Times New Roman"/>
                                <w:b/>
                                <w:color w:val="006600"/>
                                <w:sz w:val="14"/>
                                <w:szCs w:val="18"/>
                              </w:rPr>
                              <w:t>.</w:t>
                            </w:r>
                            <w:r>
                              <w:rPr>
                                <w:rFonts w:ascii="Times New Roman" w:hAnsi="Times New Roman"/>
                                <w:b/>
                                <w:color w:val="006600"/>
                                <w:sz w:val="14"/>
                                <w:szCs w:val="18"/>
                              </w:rPr>
                              <w:t>9</w:t>
                            </w:r>
                            <w:r w:rsidR="00EE3AF3" w:rsidRPr="00B4190D">
                              <w:rPr>
                                <w:rFonts w:ascii="Times New Roman" w:hAnsi="Times New Roman"/>
                                <w:b/>
                                <w:color w:val="006600"/>
                                <w:sz w:val="14"/>
                                <w:szCs w:val="18"/>
                              </w:rPr>
                              <w:t xml:space="preserve"> millones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CE519" id="Cuadro de texto 4" o:spid="_x0000_s1030" type="#_x0000_t202" style="position:absolute;left:0;text-align:left;margin-left:43pt;margin-top:39.55pt;width:93.9pt;height:36.3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" filled="f" stroked="f">
                <v:textbox>
                  <w:txbxContent>
                    <w:p w14:paraId="3872D26C" w14:textId="79C84562" w:rsidR="00EE3AF3" w:rsidRPr="00B4190D" w:rsidRDefault="00B4190D" w:rsidP="00EE3AF3">
                      <w:pPr>
                        <w:jc w:val="center"/>
                        <w:rPr>
                          <w:rFonts w:ascii="Times New Roman" w:hAnsi="Times New Roman"/>
                          <w:b/>
                          <w:color w:val="006600"/>
                          <w:sz w:val="14"/>
                          <w:szCs w:val="18"/>
                          <w:lang w:val="en-US"/>
                        </w:rPr>
                      </w:pPr>
                      <w:r>
                        <w:rPr>
                          <w:rFonts w:ascii="Times New Roman" w:hAnsi="Times New Roman"/>
                          <w:b/>
                          <w:color w:val="006600"/>
                          <w:sz w:val="14"/>
                          <w:szCs w:val="18"/>
                          <w:lang w:val="es-ES_tradnl" w:eastAsia="es-ES"/>
                        </w:rPr>
                        <w:t>Disminución</w:t>
                      </w:r>
                      <w:r w:rsidR="00EE3AF3" w:rsidRPr="00B4190D">
                        <w:rPr>
                          <w:rFonts w:ascii="Times New Roman" w:hAnsi="Times New Roman"/>
                          <w:b/>
                          <w:color w:val="006600"/>
                          <w:sz w:val="14"/>
                          <w:szCs w:val="18"/>
                        </w:rPr>
                        <w:t xml:space="preserve"> de Q</w:t>
                      </w:r>
                      <w:r>
                        <w:rPr>
                          <w:rFonts w:ascii="Times New Roman" w:hAnsi="Times New Roman"/>
                          <w:b/>
                          <w:color w:val="006600"/>
                          <w:sz w:val="14"/>
                          <w:szCs w:val="18"/>
                        </w:rPr>
                        <w:t>519</w:t>
                      </w:r>
                      <w:r w:rsidR="00EE3AF3" w:rsidRPr="00B4190D">
                        <w:rPr>
                          <w:rFonts w:ascii="Times New Roman" w:hAnsi="Times New Roman"/>
                          <w:b/>
                          <w:color w:val="006600"/>
                          <w:sz w:val="14"/>
                          <w:szCs w:val="18"/>
                        </w:rPr>
                        <w:t>.</w:t>
                      </w:r>
                      <w:r>
                        <w:rPr>
                          <w:rFonts w:ascii="Times New Roman" w:hAnsi="Times New Roman"/>
                          <w:b/>
                          <w:color w:val="006600"/>
                          <w:sz w:val="14"/>
                          <w:szCs w:val="18"/>
                        </w:rPr>
                        <w:t>9</w:t>
                      </w:r>
                      <w:r w:rsidR="00EE3AF3" w:rsidRPr="00B4190D">
                        <w:rPr>
                          <w:rFonts w:ascii="Times New Roman" w:hAnsi="Times New Roman"/>
                          <w:b/>
                          <w:color w:val="006600"/>
                          <w:sz w:val="14"/>
                          <w:szCs w:val="18"/>
                        </w:rPr>
                        <w:t xml:space="preserve"> millones</w:t>
                      </w:r>
                    </w:p>
                  </w:txbxContent>
                </v:textbox>
              </v:shape>
            </w:pict>
          </mc:Fallback>
        </mc:AlternateContent>
      </w:r>
      <w:r w:rsidR="0039645E" w:rsidRPr="004A66F0">
        <w:rPr>
          <w:rFonts w:ascii="Calibri" w:eastAsia="Times New Roman" w:hAnsi="Calibri" w:cs="Calibri"/>
          <w:noProof/>
          <w:sz w:val="22"/>
          <w:szCs w:val="22"/>
        </w:rPr>
        <w:drawing>
          <wp:anchor distT="0" distB="0" distL="114300" distR="118872" simplePos="0" relativeHeight="251661312" behindDoc="0" locked="0" layoutInCell="1" allowOverlap="1" wp14:anchorId="2BF459C0" wp14:editId="482486A4">
            <wp:simplePos x="0" y="0"/>
            <wp:positionH relativeFrom="column">
              <wp:posOffset>149860</wp:posOffset>
            </wp:positionH>
            <wp:positionV relativeFrom="paragraph">
              <wp:posOffset>153035</wp:posOffset>
            </wp:positionV>
            <wp:extent cx="5612130" cy="2708910"/>
            <wp:effectExtent l="0" t="0" r="7620" b="0"/>
            <wp:wrapSquare wrapText="bothSides"/>
            <wp:docPr id="35" name="Gráfico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39645E" w:rsidRPr="004A66F0">
        <w:rPr>
          <w:rFonts w:ascii="Times New Roman" w:eastAsia="Times New Roman" w:hAnsi="Times New Roman" w:cs="Times New Roman"/>
          <w:sz w:val="20"/>
          <w:szCs w:val="22"/>
        </w:rPr>
        <w:t>Millones de quetzales</w:t>
      </w:r>
    </w:p>
    <w:p w14:paraId="222F7568" w14:textId="77777777" w:rsidR="0039645E" w:rsidRPr="004A66F0" w:rsidRDefault="0039645E" w:rsidP="0039645E">
      <w:pPr>
        <w:rPr>
          <w:rFonts w:ascii="Times New Roman" w:eastAsia="Times New Roman" w:hAnsi="Times New Roman" w:cs="Times New Roman"/>
          <w:sz w:val="18"/>
          <w:szCs w:val="22"/>
          <w:lang w:val="es-ES_tradnl" w:eastAsia="es-ES"/>
        </w:rPr>
      </w:pPr>
      <w:r w:rsidRPr="004A66F0">
        <w:rPr>
          <w:rFonts w:ascii="Times New Roman" w:eastAsia="Times New Roman" w:hAnsi="Times New Roman" w:cs="Times New Roman"/>
          <w:sz w:val="18"/>
          <w:szCs w:val="22"/>
          <w:lang w:val="es-ES_tradnl" w:eastAsia="es-ES"/>
        </w:rPr>
        <w:t xml:space="preserve">            Fuente: Dirección de Análisis y Política Fiscal.</w:t>
      </w:r>
    </w:p>
    <w:p w14:paraId="11B7EDDA" w14:textId="77777777" w:rsidR="0039645E" w:rsidRPr="004A66F0" w:rsidRDefault="0039645E" w:rsidP="0039645E">
      <w:pPr>
        <w:jc w:val="both"/>
        <w:rPr>
          <w:rFonts w:ascii="Times New Roman" w:eastAsia="Times New Roman" w:hAnsi="Times New Roman" w:cs="Times New Roman"/>
          <w:sz w:val="22"/>
          <w:szCs w:val="22"/>
          <w:lang w:val="es-ES_tradnl" w:eastAsia="es-ES"/>
        </w:rPr>
      </w:pPr>
    </w:p>
    <w:p w14:paraId="582C7A38" w14:textId="25090ADC" w:rsidR="0039645E" w:rsidRPr="00895C9B" w:rsidRDefault="00D6425E" w:rsidP="00DA2AB6">
      <w:pPr>
        <w:keepNext/>
        <w:keepLines/>
        <w:tabs>
          <w:tab w:val="left" w:pos="1134"/>
        </w:tabs>
        <w:ind w:left="567" w:hanging="283"/>
        <w:jc w:val="both"/>
        <w:outlineLvl w:val="1"/>
        <w:rPr>
          <w:rFonts w:ascii="Times New Roman" w:eastAsiaTheme="majorEastAsia" w:hAnsi="Times New Roman" w:cs="Times New Roman"/>
          <w:b/>
          <w:bCs/>
        </w:rPr>
      </w:pPr>
      <w:bookmarkStart w:id="59" w:name="_Toc125538992"/>
      <w:bookmarkStart w:id="60" w:name="_Toc160196851"/>
      <w:r>
        <w:rPr>
          <w:rFonts w:ascii="Times New Roman" w:eastAsiaTheme="majorEastAsia" w:hAnsi="Times New Roman" w:cs="Times New Roman"/>
          <w:b/>
          <w:bCs/>
        </w:rPr>
        <w:t xml:space="preserve">2.3 </w:t>
      </w:r>
      <w:r w:rsidR="0039645E" w:rsidRPr="00895C9B">
        <w:rPr>
          <w:rFonts w:ascii="Times New Roman" w:eastAsiaTheme="majorEastAsia" w:hAnsi="Times New Roman" w:cs="Times New Roman"/>
          <w:b/>
          <w:bCs/>
        </w:rPr>
        <w:t>Los sectores de justicia tuvieron el mayor repunte en el gasto de los Acuerdo</w:t>
      </w:r>
      <w:r w:rsidR="00095BEA">
        <w:rPr>
          <w:rFonts w:ascii="Times New Roman" w:eastAsiaTheme="majorEastAsia" w:hAnsi="Times New Roman" w:cs="Times New Roman"/>
          <w:b/>
          <w:bCs/>
        </w:rPr>
        <w:t>s</w:t>
      </w:r>
      <w:r w:rsidR="0039645E" w:rsidRPr="00895C9B">
        <w:rPr>
          <w:rFonts w:ascii="Times New Roman" w:eastAsiaTheme="majorEastAsia" w:hAnsi="Times New Roman" w:cs="Times New Roman"/>
          <w:b/>
          <w:bCs/>
        </w:rPr>
        <w:t xml:space="preserve"> de Paz durante 202</w:t>
      </w:r>
      <w:bookmarkEnd w:id="59"/>
      <w:r w:rsidR="00095BEA">
        <w:rPr>
          <w:rFonts w:ascii="Times New Roman" w:eastAsiaTheme="majorEastAsia" w:hAnsi="Times New Roman" w:cs="Times New Roman"/>
          <w:b/>
          <w:bCs/>
        </w:rPr>
        <w:t>3</w:t>
      </w:r>
      <w:bookmarkEnd w:id="60"/>
    </w:p>
    <w:p w14:paraId="3D598EC2" w14:textId="77777777" w:rsidR="0039645E" w:rsidRPr="004A66F0" w:rsidRDefault="0039645E" w:rsidP="0039645E">
      <w:pPr>
        <w:rPr>
          <w:rFonts w:ascii="Calibri" w:eastAsia="Times New Roman" w:hAnsi="Calibri" w:cs="Calibri"/>
          <w:sz w:val="22"/>
          <w:szCs w:val="22"/>
        </w:rPr>
      </w:pPr>
    </w:p>
    <w:p w14:paraId="2FC68F34" w14:textId="5E3301AF" w:rsidR="0039645E" w:rsidRPr="004A66F0" w:rsidRDefault="0039645E" w:rsidP="0039645E">
      <w:pPr>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 xml:space="preserve">El gasto social entendido como el gasto sectorial de los Acuerdos de Paz, </w:t>
      </w:r>
      <w:r w:rsidR="00BC56DC" w:rsidRPr="004A66F0">
        <w:rPr>
          <w:rFonts w:ascii="Times New Roman" w:eastAsia="Times New Roman" w:hAnsi="Times New Roman" w:cs="Calibri"/>
          <w:sz w:val="22"/>
          <w:szCs w:val="22"/>
        </w:rPr>
        <w:t xml:space="preserve">orientado </w:t>
      </w:r>
      <w:r w:rsidRPr="004A66F0">
        <w:rPr>
          <w:rFonts w:ascii="Times New Roman" w:eastAsia="Times New Roman" w:hAnsi="Times New Roman" w:cs="Calibri"/>
          <w:sz w:val="22"/>
          <w:szCs w:val="22"/>
        </w:rPr>
        <w:t>a los sectores de salud y asistencia social, educación, ciencia y cultura, y vivienda, mostraron en su conjunto, una ejecución de Q4</w:t>
      </w:r>
      <w:r w:rsidR="0057248B">
        <w:rPr>
          <w:rFonts w:ascii="Times New Roman" w:eastAsia="Times New Roman" w:hAnsi="Times New Roman" w:cs="Calibri"/>
          <w:sz w:val="22"/>
          <w:szCs w:val="22"/>
        </w:rPr>
        <w:t>4</w:t>
      </w:r>
      <w:r w:rsidRPr="004A66F0">
        <w:rPr>
          <w:rFonts w:ascii="Times New Roman" w:eastAsia="Times New Roman" w:hAnsi="Times New Roman" w:cs="Calibri"/>
          <w:sz w:val="22"/>
          <w:szCs w:val="22"/>
        </w:rPr>
        <w:t>,</w:t>
      </w:r>
      <w:r w:rsidR="0057248B">
        <w:rPr>
          <w:rFonts w:ascii="Times New Roman" w:eastAsia="Times New Roman" w:hAnsi="Times New Roman" w:cs="Calibri"/>
          <w:sz w:val="22"/>
          <w:szCs w:val="22"/>
        </w:rPr>
        <w:t>755</w:t>
      </w:r>
      <w:r w:rsidRPr="004A66F0">
        <w:rPr>
          <w:rFonts w:ascii="Times New Roman" w:eastAsia="Times New Roman" w:hAnsi="Times New Roman" w:cs="Calibri"/>
          <w:sz w:val="22"/>
          <w:szCs w:val="22"/>
        </w:rPr>
        <w:t>.</w:t>
      </w:r>
      <w:r w:rsidR="0057248B">
        <w:rPr>
          <w:rFonts w:ascii="Times New Roman" w:eastAsia="Times New Roman" w:hAnsi="Times New Roman" w:cs="Calibri"/>
          <w:sz w:val="22"/>
          <w:szCs w:val="22"/>
        </w:rPr>
        <w:t>1</w:t>
      </w:r>
      <w:r w:rsidRPr="004A66F0">
        <w:rPr>
          <w:rFonts w:ascii="Times New Roman" w:eastAsia="Times New Roman" w:hAnsi="Times New Roman" w:cs="Calibri"/>
          <w:sz w:val="22"/>
          <w:szCs w:val="22"/>
        </w:rPr>
        <w:t xml:space="preserve"> millones, con un crecimiento interanual de </w:t>
      </w:r>
      <w:r w:rsidR="0057248B">
        <w:rPr>
          <w:rFonts w:ascii="Times New Roman" w:eastAsia="Times New Roman" w:hAnsi="Times New Roman" w:cs="Calibri"/>
          <w:sz w:val="22"/>
          <w:szCs w:val="22"/>
        </w:rPr>
        <w:t>8</w:t>
      </w:r>
      <w:r w:rsidRPr="004A66F0">
        <w:rPr>
          <w:rFonts w:ascii="Times New Roman" w:eastAsia="Times New Roman" w:hAnsi="Times New Roman" w:cs="Calibri"/>
          <w:sz w:val="22"/>
          <w:szCs w:val="22"/>
        </w:rPr>
        <w:t>.</w:t>
      </w:r>
      <w:r w:rsidR="0057248B">
        <w:rPr>
          <w:rFonts w:ascii="Times New Roman" w:eastAsia="Times New Roman" w:hAnsi="Times New Roman" w:cs="Calibri"/>
          <w:sz w:val="22"/>
          <w:szCs w:val="22"/>
        </w:rPr>
        <w:t>3</w:t>
      </w:r>
      <w:r w:rsidRPr="004A66F0">
        <w:rPr>
          <w:rFonts w:ascii="Times New Roman" w:eastAsia="Times New Roman" w:hAnsi="Times New Roman" w:cs="Calibri"/>
          <w:sz w:val="22"/>
          <w:szCs w:val="22"/>
        </w:rPr>
        <w:t>%, siendo superior en Q</w:t>
      </w:r>
      <w:r w:rsidR="0057248B">
        <w:rPr>
          <w:rFonts w:ascii="Times New Roman" w:eastAsia="Times New Roman" w:hAnsi="Times New Roman" w:cs="Calibri"/>
          <w:sz w:val="22"/>
          <w:szCs w:val="22"/>
        </w:rPr>
        <w:t>3</w:t>
      </w:r>
      <w:r w:rsidRPr="004A66F0">
        <w:rPr>
          <w:rFonts w:ascii="Times New Roman" w:eastAsia="Times New Roman" w:hAnsi="Times New Roman" w:cs="Calibri"/>
          <w:sz w:val="22"/>
          <w:szCs w:val="22"/>
        </w:rPr>
        <w:t>,4</w:t>
      </w:r>
      <w:r w:rsidR="0057248B">
        <w:rPr>
          <w:rFonts w:ascii="Times New Roman" w:eastAsia="Times New Roman" w:hAnsi="Times New Roman" w:cs="Calibri"/>
          <w:sz w:val="22"/>
          <w:szCs w:val="22"/>
        </w:rPr>
        <w:t>22.0</w:t>
      </w:r>
      <w:r w:rsidRPr="004A66F0">
        <w:rPr>
          <w:rFonts w:ascii="Times New Roman" w:eastAsia="Times New Roman" w:hAnsi="Times New Roman" w:cs="Calibri"/>
          <w:sz w:val="22"/>
          <w:szCs w:val="22"/>
        </w:rPr>
        <w:t xml:space="preserve"> millones a lo observado en 202</w:t>
      </w:r>
      <w:r w:rsidR="0057248B">
        <w:rPr>
          <w:rFonts w:ascii="Times New Roman" w:eastAsia="Times New Roman" w:hAnsi="Times New Roman" w:cs="Calibri"/>
          <w:sz w:val="22"/>
          <w:szCs w:val="22"/>
        </w:rPr>
        <w:t>2</w:t>
      </w:r>
      <w:r w:rsidRPr="004A66F0">
        <w:rPr>
          <w:rFonts w:ascii="Times New Roman" w:eastAsia="Times New Roman" w:hAnsi="Times New Roman" w:cs="Calibri"/>
          <w:sz w:val="22"/>
          <w:szCs w:val="22"/>
        </w:rPr>
        <w:t xml:space="preserve">. </w:t>
      </w:r>
    </w:p>
    <w:p w14:paraId="6F7098DA" w14:textId="77777777" w:rsidR="0039645E" w:rsidRPr="004A66F0" w:rsidRDefault="0039645E" w:rsidP="0039645E">
      <w:pPr>
        <w:jc w:val="both"/>
        <w:rPr>
          <w:rFonts w:ascii="Times New Roman" w:eastAsia="Times New Roman" w:hAnsi="Times New Roman" w:cs="Calibri"/>
          <w:sz w:val="22"/>
          <w:szCs w:val="22"/>
        </w:rPr>
      </w:pPr>
    </w:p>
    <w:p w14:paraId="4DA4D0AA" w14:textId="24050C00" w:rsidR="0039645E" w:rsidRPr="004A66F0" w:rsidRDefault="0039645E" w:rsidP="0039645E">
      <w:pPr>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En lo que respecta a los otros componentes que hacen parte del gasto de los Acuerdos de Paz, que comprende el gasto en seguridad interna y las transferencias al Organismo Judicial, Corte de Constitucionalidad y Ministerio Público, en su conjunto mostraron una ejecución de Q1</w:t>
      </w:r>
      <w:r w:rsidR="0057248B">
        <w:rPr>
          <w:rFonts w:ascii="Times New Roman" w:eastAsia="Times New Roman" w:hAnsi="Times New Roman" w:cs="Calibri"/>
          <w:sz w:val="22"/>
          <w:szCs w:val="22"/>
        </w:rPr>
        <w:t>3</w:t>
      </w:r>
      <w:r w:rsidRPr="004A66F0">
        <w:rPr>
          <w:rFonts w:ascii="Times New Roman" w:eastAsia="Times New Roman" w:hAnsi="Times New Roman" w:cs="Calibri"/>
          <w:sz w:val="22"/>
          <w:szCs w:val="22"/>
        </w:rPr>
        <w:t>,3</w:t>
      </w:r>
      <w:r w:rsidR="0057248B">
        <w:rPr>
          <w:rFonts w:ascii="Times New Roman" w:eastAsia="Times New Roman" w:hAnsi="Times New Roman" w:cs="Calibri"/>
          <w:sz w:val="22"/>
          <w:szCs w:val="22"/>
        </w:rPr>
        <w:t>20</w:t>
      </w:r>
      <w:r w:rsidRPr="004A66F0">
        <w:rPr>
          <w:rFonts w:ascii="Times New Roman" w:eastAsia="Times New Roman" w:hAnsi="Times New Roman" w:cs="Calibri"/>
          <w:sz w:val="22"/>
          <w:szCs w:val="22"/>
        </w:rPr>
        <w:t>.</w:t>
      </w:r>
      <w:r w:rsidR="0057248B">
        <w:rPr>
          <w:rFonts w:ascii="Times New Roman" w:eastAsia="Times New Roman" w:hAnsi="Times New Roman" w:cs="Calibri"/>
          <w:sz w:val="22"/>
          <w:szCs w:val="22"/>
        </w:rPr>
        <w:t>7</w:t>
      </w:r>
      <w:r w:rsidRPr="004A66F0">
        <w:rPr>
          <w:rFonts w:ascii="Times New Roman" w:eastAsia="Times New Roman" w:hAnsi="Times New Roman" w:cs="Calibri"/>
          <w:sz w:val="22"/>
          <w:szCs w:val="22"/>
        </w:rPr>
        <w:t xml:space="preserve"> millones, la cual muestra una variación interanual de 1</w:t>
      </w:r>
      <w:r w:rsidR="0057248B">
        <w:rPr>
          <w:rFonts w:ascii="Times New Roman" w:eastAsia="Times New Roman" w:hAnsi="Times New Roman" w:cs="Calibri"/>
          <w:sz w:val="22"/>
          <w:szCs w:val="22"/>
        </w:rPr>
        <w:t>5</w:t>
      </w:r>
      <w:r w:rsidRPr="004A66F0">
        <w:rPr>
          <w:rFonts w:ascii="Times New Roman" w:eastAsia="Times New Roman" w:hAnsi="Times New Roman" w:cs="Calibri"/>
          <w:sz w:val="22"/>
          <w:szCs w:val="22"/>
        </w:rPr>
        <w:t>.</w:t>
      </w:r>
      <w:r w:rsidR="0057248B">
        <w:rPr>
          <w:rFonts w:ascii="Times New Roman" w:eastAsia="Times New Roman" w:hAnsi="Times New Roman" w:cs="Calibri"/>
          <w:sz w:val="22"/>
          <w:szCs w:val="22"/>
        </w:rPr>
        <w:t>4</w:t>
      </w:r>
      <w:r w:rsidRPr="004A66F0">
        <w:rPr>
          <w:rFonts w:ascii="Times New Roman" w:eastAsia="Times New Roman" w:hAnsi="Times New Roman" w:cs="Calibri"/>
          <w:sz w:val="22"/>
          <w:szCs w:val="22"/>
        </w:rPr>
        <w:t>%, equivalente a Q1,</w:t>
      </w:r>
      <w:r w:rsidR="0057248B">
        <w:rPr>
          <w:rFonts w:ascii="Times New Roman" w:eastAsia="Times New Roman" w:hAnsi="Times New Roman" w:cs="Calibri"/>
          <w:sz w:val="22"/>
          <w:szCs w:val="22"/>
        </w:rPr>
        <w:t>777.0</w:t>
      </w:r>
      <w:r w:rsidRPr="004A66F0">
        <w:rPr>
          <w:rFonts w:ascii="Times New Roman" w:eastAsia="Times New Roman" w:hAnsi="Times New Roman" w:cs="Calibri"/>
          <w:sz w:val="22"/>
          <w:szCs w:val="22"/>
        </w:rPr>
        <w:t xml:space="preserve"> millones.</w:t>
      </w:r>
    </w:p>
    <w:p w14:paraId="46E5F222" w14:textId="77777777" w:rsidR="0039645E" w:rsidRPr="004A66F0" w:rsidRDefault="0039645E" w:rsidP="0039645E">
      <w:pPr>
        <w:jc w:val="both"/>
        <w:rPr>
          <w:rFonts w:ascii="Times New Roman" w:eastAsia="Times New Roman" w:hAnsi="Times New Roman" w:cs="Calibri"/>
          <w:sz w:val="22"/>
          <w:szCs w:val="22"/>
        </w:rPr>
      </w:pPr>
    </w:p>
    <w:p w14:paraId="7E86DD29" w14:textId="45B70D34" w:rsidR="0039645E" w:rsidRDefault="0039645E" w:rsidP="0039645E">
      <w:pPr>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 xml:space="preserve">Al agregar todos los sectores que conforman el gasto social, este se encuentra creciendo en </w:t>
      </w:r>
      <w:r w:rsidR="0057248B">
        <w:rPr>
          <w:rFonts w:ascii="Times New Roman" w:eastAsia="Times New Roman" w:hAnsi="Times New Roman" w:cs="Calibri"/>
          <w:sz w:val="22"/>
          <w:szCs w:val="22"/>
        </w:rPr>
        <w:t>9</w:t>
      </w:r>
      <w:r w:rsidRPr="004A66F0">
        <w:rPr>
          <w:rFonts w:ascii="Times New Roman" w:eastAsia="Times New Roman" w:hAnsi="Times New Roman" w:cs="Calibri"/>
          <w:sz w:val="22"/>
          <w:szCs w:val="22"/>
        </w:rPr>
        <w:t>.</w:t>
      </w:r>
      <w:r w:rsidR="0057248B">
        <w:rPr>
          <w:rFonts w:ascii="Times New Roman" w:eastAsia="Times New Roman" w:hAnsi="Times New Roman" w:cs="Calibri"/>
          <w:sz w:val="22"/>
          <w:szCs w:val="22"/>
        </w:rPr>
        <w:t>8</w:t>
      </w:r>
      <w:r w:rsidRPr="004A66F0">
        <w:rPr>
          <w:rFonts w:ascii="Times New Roman" w:eastAsia="Times New Roman" w:hAnsi="Times New Roman" w:cs="Calibri"/>
          <w:sz w:val="22"/>
          <w:szCs w:val="22"/>
        </w:rPr>
        <w:t>%, equivalente a Q</w:t>
      </w:r>
      <w:r w:rsidR="0057248B">
        <w:rPr>
          <w:rFonts w:ascii="Times New Roman" w:eastAsia="Times New Roman" w:hAnsi="Times New Roman" w:cs="Calibri"/>
          <w:sz w:val="22"/>
          <w:szCs w:val="22"/>
        </w:rPr>
        <w:t>5</w:t>
      </w:r>
      <w:r w:rsidRPr="004A66F0">
        <w:rPr>
          <w:rFonts w:ascii="Times New Roman" w:eastAsia="Times New Roman" w:hAnsi="Times New Roman" w:cs="Calibri"/>
          <w:sz w:val="22"/>
          <w:szCs w:val="22"/>
        </w:rPr>
        <w:t>,1</w:t>
      </w:r>
      <w:r w:rsidR="0057248B">
        <w:rPr>
          <w:rFonts w:ascii="Times New Roman" w:eastAsia="Times New Roman" w:hAnsi="Times New Roman" w:cs="Calibri"/>
          <w:sz w:val="22"/>
          <w:szCs w:val="22"/>
        </w:rPr>
        <w:t>99</w:t>
      </w:r>
      <w:r w:rsidRPr="004A66F0">
        <w:rPr>
          <w:rFonts w:ascii="Times New Roman" w:eastAsia="Times New Roman" w:hAnsi="Times New Roman" w:cs="Calibri"/>
          <w:sz w:val="22"/>
          <w:szCs w:val="22"/>
        </w:rPr>
        <w:t>.</w:t>
      </w:r>
      <w:r w:rsidR="0057248B">
        <w:rPr>
          <w:rFonts w:ascii="Times New Roman" w:eastAsia="Times New Roman" w:hAnsi="Times New Roman" w:cs="Calibri"/>
          <w:sz w:val="22"/>
          <w:szCs w:val="22"/>
        </w:rPr>
        <w:t>0</w:t>
      </w:r>
      <w:r w:rsidRPr="004A66F0">
        <w:rPr>
          <w:rFonts w:ascii="Times New Roman" w:eastAsia="Times New Roman" w:hAnsi="Times New Roman" w:cs="Calibri"/>
          <w:sz w:val="22"/>
          <w:szCs w:val="22"/>
        </w:rPr>
        <w:t xml:space="preserve"> millones.</w:t>
      </w:r>
    </w:p>
    <w:p w14:paraId="1A825FFB" w14:textId="16A8DCBA" w:rsidR="0057248B" w:rsidRDefault="0057248B" w:rsidP="0039645E">
      <w:pPr>
        <w:jc w:val="both"/>
        <w:rPr>
          <w:rFonts w:ascii="Times New Roman" w:eastAsia="Times New Roman" w:hAnsi="Times New Roman" w:cs="Calibri"/>
          <w:sz w:val="22"/>
          <w:szCs w:val="22"/>
        </w:rPr>
      </w:pPr>
    </w:p>
    <w:p w14:paraId="67289C6A" w14:textId="1485D7AF" w:rsidR="0057248B" w:rsidRPr="004A66F0" w:rsidRDefault="0057248B" w:rsidP="0039645E">
      <w:pPr>
        <w:jc w:val="both"/>
        <w:rPr>
          <w:rFonts w:ascii="Times New Roman" w:eastAsia="Times New Roman" w:hAnsi="Times New Roman" w:cs="Calibri"/>
          <w:sz w:val="22"/>
          <w:szCs w:val="22"/>
        </w:rPr>
      </w:pPr>
      <w:r>
        <w:rPr>
          <w:rFonts w:ascii="Times New Roman" w:eastAsia="Times New Roman" w:hAnsi="Times New Roman" w:cs="Calibri"/>
          <w:sz w:val="22"/>
          <w:szCs w:val="22"/>
        </w:rPr>
        <w:t>El sector vivienda es el rubro del gasto con mayor crecimiento interanual, siendo de 89.0%</w:t>
      </w:r>
      <w:r w:rsidR="00665558">
        <w:rPr>
          <w:rFonts w:ascii="Times New Roman" w:eastAsia="Times New Roman" w:hAnsi="Times New Roman" w:cs="Calibri"/>
          <w:sz w:val="22"/>
          <w:szCs w:val="22"/>
        </w:rPr>
        <w:t xml:space="preserve"> derivado de los proyectos habitacionales que ejecuta el Fondo para la Vivienda (</w:t>
      </w:r>
      <w:proofErr w:type="spellStart"/>
      <w:r w:rsidR="00665558">
        <w:rPr>
          <w:rFonts w:ascii="Times New Roman" w:eastAsia="Times New Roman" w:hAnsi="Times New Roman" w:cs="Calibri"/>
          <w:sz w:val="22"/>
          <w:szCs w:val="22"/>
        </w:rPr>
        <w:t>Fopavi</w:t>
      </w:r>
      <w:proofErr w:type="spellEnd"/>
      <w:r w:rsidR="00665558">
        <w:rPr>
          <w:rFonts w:ascii="Times New Roman" w:eastAsia="Times New Roman" w:hAnsi="Times New Roman" w:cs="Calibri"/>
          <w:sz w:val="22"/>
          <w:szCs w:val="22"/>
        </w:rPr>
        <w:t>) del Ministerio de Comunicaciones, Infraestructura y Vivienda</w:t>
      </w:r>
      <w:r w:rsidR="00BC56DC">
        <w:rPr>
          <w:rFonts w:ascii="Times New Roman" w:eastAsia="Times New Roman" w:hAnsi="Times New Roman" w:cs="Calibri"/>
          <w:sz w:val="22"/>
          <w:szCs w:val="22"/>
        </w:rPr>
        <w:t xml:space="preserve">; </w:t>
      </w:r>
      <w:r w:rsidR="00665558">
        <w:rPr>
          <w:rFonts w:ascii="Times New Roman" w:eastAsia="Times New Roman" w:hAnsi="Times New Roman" w:cs="Calibri"/>
          <w:sz w:val="22"/>
          <w:szCs w:val="22"/>
        </w:rPr>
        <w:t>asimismo el Fondo de Desarrollo Social del Ministerio de Desarrollo Social también reporta intervenciones, aunque en menor cuantía.</w:t>
      </w:r>
      <w:r w:rsidR="00203829">
        <w:rPr>
          <w:rFonts w:ascii="Times New Roman" w:eastAsia="Times New Roman" w:hAnsi="Times New Roman" w:cs="Calibri"/>
          <w:sz w:val="22"/>
          <w:szCs w:val="22"/>
        </w:rPr>
        <w:t xml:space="preserve"> Estos esfuerzos ofrecen una solución habitacional a familias en situación de vulnerabilidad.</w:t>
      </w:r>
    </w:p>
    <w:p w14:paraId="16DF73CB" w14:textId="77777777" w:rsidR="0039645E" w:rsidRPr="004A66F0" w:rsidRDefault="0039645E" w:rsidP="0039645E">
      <w:pPr>
        <w:jc w:val="both"/>
        <w:rPr>
          <w:rFonts w:ascii="Times New Roman" w:eastAsia="Times New Roman" w:hAnsi="Times New Roman" w:cs="Calibri"/>
          <w:sz w:val="22"/>
          <w:szCs w:val="22"/>
        </w:rPr>
      </w:pPr>
    </w:p>
    <w:p w14:paraId="0C08C6AC" w14:textId="6C51FAD1" w:rsidR="006910F4" w:rsidRDefault="00C32A09" w:rsidP="0039645E">
      <w:pPr>
        <w:jc w:val="both"/>
        <w:rPr>
          <w:rFonts w:ascii="Times New Roman" w:eastAsia="Times New Roman" w:hAnsi="Times New Roman" w:cs="Calibri"/>
          <w:sz w:val="22"/>
          <w:szCs w:val="22"/>
        </w:rPr>
      </w:pPr>
      <w:r>
        <w:rPr>
          <w:rFonts w:ascii="Times New Roman" w:eastAsia="Times New Roman" w:hAnsi="Times New Roman" w:cs="Calibri"/>
          <w:sz w:val="22"/>
          <w:szCs w:val="22"/>
        </w:rPr>
        <w:t>Seguidamente l</w:t>
      </w:r>
      <w:r w:rsidR="0057248B">
        <w:rPr>
          <w:rFonts w:ascii="Times New Roman" w:eastAsia="Times New Roman" w:hAnsi="Times New Roman" w:cs="Calibri"/>
          <w:sz w:val="22"/>
          <w:szCs w:val="22"/>
        </w:rPr>
        <w:t>a transferencia hacia los sectores de justicia</w:t>
      </w:r>
      <w:r w:rsidR="001E28D7">
        <w:rPr>
          <w:rFonts w:ascii="Times New Roman" w:eastAsia="Times New Roman" w:hAnsi="Times New Roman" w:cs="Calibri"/>
          <w:sz w:val="22"/>
          <w:szCs w:val="22"/>
        </w:rPr>
        <w:t>,</w:t>
      </w:r>
      <w:r w:rsidR="0057248B">
        <w:rPr>
          <w:rFonts w:ascii="Times New Roman" w:eastAsia="Times New Roman" w:hAnsi="Times New Roman" w:cs="Calibri"/>
          <w:sz w:val="22"/>
          <w:szCs w:val="22"/>
        </w:rPr>
        <w:t xml:space="preserve"> como el Organismo Judicial y la Corte de Constitucionalidad, reporta un crecimiento interanual de 17.2%, equivalente a </w:t>
      </w:r>
      <w:r>
        <w:rPr>
          <w:rFonts w:ascii="Times New Roman" w:eastAsia="Times New Roman" w:hAnsi="Times New Roman" w:cs="Calibri"/>
          <w:sz w:val="22"/>
          <w:szCs w:val="22"/>
        </w:rPr>
        <w:t>Q471.7 millones, derivado de la prioridad del Ejecutivo por fortalecer sectores de justicia. Por su parte, la transferencia hacia el Ministerio Público también reportó un crecimiento interanual alto, siendo de 15.8%, equivalente a Q441.9 millones, aunque ha sido una institución</w:t>
      </w:r>
      <w:r w:rsidR="006910F4">
        <w:rPr>
          <w:rFonts w:ascii="Times New Roman" w:eastAsia="Times New Roman" w:hAnsi="Times New Roman" w:cs="Calibri"/>
          <w:sz w:val="22"/>
          <w:szCs w:val="22"/>
        </w:rPr>
        <w:t xml:space="preserve"> fuertemente</w:t>
      </w:r>
      <w:r>
        <w:rPr>
          <w:rFonts w:ascii="Times New Roman" w:eastAsia="Times New Roman" w:hAnsi="Times New Roman" w:cs="Calibri"/>
          <w:sz w:val="22"/>
          <w:szCs w:val="22"/>
        </w:rPr>
        <w:t xml:space="preserve"> cuestionada en </w:t>
      </w:r>
      <w:r w:rsidR="006910F4">
        <w:rPr>
          <w:rFonts w:ascii="Times New Roman" w:eastAsia="Times New Roman" w:hAnsi="Times New Roman" w:cs="Calibri"/>
          <w:sz w:val="22"/>
          <w:szCs w:val="22"/>
        </w:rPr>
        <w:t xml:space="preserve">este </w:t>
      </w:r>
      <w:r w:rsidR="006910F4">
        <w:rPr>
          <w:rFonts w:ascii="Times New Roman" w:eastAsia="Times New Roman" w:hAnsi="Times New Roman" w:cs="Calibri"/>
          <w:sz w:val="22"/>
          <w:szCs w:val="22"/>
        </w:rPr>
        <w:lastRenderedPageBreak/>
        <w:t>período de gobierno, se puede resaltar como hecho positivo que se cuente con fiscalías operando en los 340 municipios del paí</w:t>
      </w:r>
      <w:r w:rsidR="0070295D">
        <w:rPr>
          <w:rFonts w:ascii="Times New Roman" w:eastAsia="Times New Roman" w:hAnsi="Times New Roman" w:cs="Calibri"/>
          <w:sz w:val="22"/>
          <w:szCs w:val="22"/>
        </w:rPr>
        <w:t>s</w:t>
      </w:r>
      <w:r w:rsidR="006910F4">
        <w:rPr>
          <w:rFonts w:ascii="Times New Roman" w:eastAsia="Times New Roman" w:hAnsi="Times New Roman" w:cs="Calibri"/>
          <w:sz w:val="22"/>
          <w:szCs w:val="22"/>
        </w:rPr>
        <w:t>, una meta alcanzada en 2021</w:t>
      </w:r>
      <w:r w:rsidR="001E28D7">
        <w:rPr>
          <w:rFonts w:ascii="Times New Roman" w:eastAsia="Times New Roman" w:hAnsi="Times New Roman" w:cs="Calibri"/>
          <w:sz w:val="22"/>
          <w:szCs w:val="22"/>
        </w:rPr>
        <w:t>.</w:t>
      </w:r>
      <w:r w:rsidR="006910F4">
        <w:rPr>
          <w:rFonts w:ascii="Times New Roman" w:eastAsia="Times New Roman" w:hAnsi="Times New Roman" w:cs="Calibri"/>
          <w:sz w:val="22"/>
          <w:szCs w:val="22"/>
        </w:rPr>
        <w:t xml:space="preserve"> </w:t>
      </w:r>
      <w:r w:rsidR="001E28D7">
        <w:rPr>
          <w:rFonts w:ascii="Times New Roman" w:eastAsia="Times New Roman" w:hAnsi="Times New Roman" w:cs="Calibri"/>
          <w:sz w:val="22"/>
          <w:szCs w:val="22"/>
        </w:rPr>
        <w:t>E</w:t>
      </w:r>
      <w:r w:rsidR="006910F4">
        <w:rPr>
          <w:rFonts w:ascii="Times New Roman" w:eastAsia="Times New Roman" w:hAnsi="Times New Roman" w:cs="Calibri"/>
          <w:sz w:val="22"/>
          <w:szCs w:val="22"/>
        </w:rPr>
        <w:t xml:space="preserve">stos esfuerzos permiten acercar la justicia a las comunidades frente a los delitos contra la vida, las extorsiones, la criminalidad organizada, entre otros. </w:t>
      </w:r>
    </w:p>
    <w:p w14:paraId="69279DEE" w14:textId="1A17A646" w:rsidR="006910F4" w:rsidRDefault="006910F4" w:rsidP="0039645E">
      <w:pPr>
        <w:jc w:val="both"/>
        <w:rPr>
          <w:rFonts w:ascii="Times New Roman" w:eastAsia="Times New Roman" w:hAnsi="Times New Roman" w:cs="Calibri"/>
          <w:sz w:val="22"/>
          <w:szCs w:val="22"/>
        </w:rPr>
      </w:pPr>
    </w:p>
    <w:p w14:paraId="18527AB6" w14:textId="71AD6A8E" w:rsidR="0070295D" w:rsidRDefault="0070295D" w:rsidP="0039645E">
      <w:pPr>
        <w:jc w:val="both"/>
        <w:rPr>
          <w:rFonts w:ascii="Times New Roman" w:eastAsia="Times New Roman" w:hAnsi="Times New Roman" w:cs="Calibri"/>
          <w:sz w:val="22"/>
          <w:szCs w:val="22"/>
        </w:rPr>
      </w:pPr>
      <w:r>
        <w:rPr>
          <w:rFonts w:ascii="Times New Roman" w:eastAsia="Times New Roman" w:hAnsi="Times New Roman" w:cs="Calibri"/>
          <w:sz w:val="22"/>
          <w:szCs w:val="22"/>
        </w:rPr>
        <w:t xml:space="preserve">Luego se encuentra el sector de seguridad interna con un crecimiento interanual de </w:t>
      </w:r>
      <w:r w:rsidR="00486FB8">
        <w:rPr>
          <w:rFonts w:ascii="Times New Roman" w:eastAsia="Times New Roman" w:hAnsi="Times New Roman" w:cs="Calibri"/>
          <w:sz w:val="22"/>
          <w:szCs w:val="22"/>
        </w:rPr>
        <w:t>14.4%, equivalente a Q863.5 millones, las funciones de servicios de policía y seguridad ciudadana, asuntos penitenciarios, investigación y desarrollo relacionados con el orden público, entre otros, reportan ejecuciones superiores al 95%.</w:t>
      </w:r>
    </w:p>
    <w:p w14:paraId="3D2AEADB" w14:textId="3280A528" w:rsidR="0057248B" w:rsidRDefault="0057248B" w:rsidP="0039645E">
      <w:pPr>
        <w:jc w:val="both"/>
        <w:rPr>
          <w:rFonts w:ascii="Times New Roman" w:eastAsia="Times New Roman" w:hAnsi="Times New Roman" w:cs="Calibri"/>
          <w:sz w:val="22"/>
          <w:szCs w:val="22"/>
        </w:rPr>
      </w:pPr>
    </w:p>
    <w:p w14:paraId="1E1BC311" w14:textId="3091F586" w:rsidR="0039645E" w:rsidRDefault="00486FB8" w:rsidP="0039645E">
      <w:pPr>
        <w:jc w:val="both"/>
        <w:rPr>
          <w:rFonts w:ascii="Times New Roman" w:eastAsia="Times New Roman" w:hAnsi="Times New Roman" w:cs="Calibri"/>
          <w:sz w:val="22"/>
          <w:szCs w:val="22"/>
        </w:rPr>
      </w:pPr>
      <w:r>
        <w:rPr>
          <w:rFonts w:ascii="Times New Roman" w:eastAsia="Times New Roman" w:hAnsi="Times New Roman" w:cs="Calibri"/>
          <w:sz w:val="22"/>
          <w:szCs w:val="22"/>
        </w:rPr>
        <w:t>Respecto a</w:t>
      </w:r>
      <w:r w:rsidR="0039645E" w:rsidRPr="004A66F0">
        <w:rPr>
          <w:rFonts w:ascii="Times New Roman" w:eastAsia="Times New Roman" w:hAnsi="Times New Roman" w:cs="Calibri"/>
          <w:sz w:val="22"/>
          <w:szCs w:val="22"/>
        </w:rPr>
        <w:t>l sector Educación, Ciencia y Cultura</w:t>
      </w:r>
      <w:r>
        <w:rPr>
          <w:rFonts w:ascii="Times New Roman" w:eastAsia="Times New Roman" w:hAnsi="Times New Roman" w:cs="Calibri"/>
          <w:sz w:val="22"/>
          <w:szCs w:val="22"/>
        </w:rPr>
        <w:t xml:space="preserve">, tuvo </w:t>
      </w:r>
      <w:r w:rsidR="0039645E" w:rsidRPr="004A66F0">
        <w:rPr>
          <w:rFonts w:ascii="Times New Roman" w:eastAsia="Times New Roman" w:hAnsi="Times New Roman" w:cs="Calibri"/>
          <w:sz w:val="22"/>
          <w:szCs w:val="22"/>
        </w:rPr>
        <w:t>un crecimiento interanual de 1</w:t>
      </w:r>
      <w:r>
        <w:rPr>
          <w:rFonts w:ascii="Times New Roman" w:eastAsia="Times New Roman" w:hAnsi="Times New Roman" w:cs="Calibri"/>
          <w:sz w:val="22"/>
          <w:szCs w:val="22"/>
        </w:rPr>
        <w:t>1</w:t>
      </w:r>
      <w:r w:rsidR="0039645E" w:rsidRPr="004A66F0">
        <w:rPr>
          <w:rFonts w:ascii="Times New Roman" w:eastAsia="Times New Roman" w:hAnsi="Times New Roman" w:cs="Calibri"/>
          <w:sz w:val="22"/>
          <w:szCs w:val="22"/>
        </w:rPr>
        <w:t>.</w:t>
      </w:r>
      <w:r>
        <w:rPr>
          <w:rFonts w:ascii="Times New Roman" w:eastAsia="Times New Roman" w:hAnsi="Times New Roman" w:cs="Calibri"/>
          <w:sz w:val="22"/>
          <w:szCs w:val="22"/>
        </w:rPr>
        <w:t>9</w:t>
      </w:r>
      <w:r w:rsidR="0039645E" w:rsidRPr="004A66F0">
        <w:rPr>
          <w:rFonts w:ascii="Times New Roman" w:eastAsia="Times New Roman" w:hAnsi="Times New Roman" w:cs="Calibri"/>
          <w:sz w:val="22"/>
          <w:szCs w:val="22"/>
        </w:rPr>
        <w:t>%</w:t>
      </w:r>
      <w:r>
        <w:rPr>
          <w:rFonts w:ascii="Times New Roman" w:eastAsia="Times New Roman" w:hAnsi="Times New Roman" w:cs="Calibri"/>
          <w:sz w:val="22"/>
          <w:szCs w:val="22"/>
        </w:rPr>
        <w:t>,</w:t>
      </w:r>
      <w:r w:rsidR="0039645E" w:rsidRPr="004A66F0">
        <w:rPr>
          <w:rFonts w:ascii="Times New Roman" w:eastAsia="Times New Roman" w:hAnsi="Times New Roman" w:cs="Calibri"/>
          <w:sz w:val="22"/>
          <w:szCs w:val="22"/>
        </w:rPr>
        <w:t xml:space="preserve"> equivalente a Q</w:t>
      </w:r>
      <w:r>
        <w:rPr>
          <w:rFonts w:ascii="Times New Roman" w:eastAsia="Times New Roman" w:hAnsi="Times New Roman" w:cs="Calibri"/>
          <w:sz w:val="22"/>
          <w:szCs w:val="22"/>
        </w:rPr>
        <w:t>2</w:t>
      </w:r>
      <w:r w:rsidR="0039645E" w:rsidRPr="004A66F0">
        <w:rPr>
          <w:rFonts w:ascii="Times New Roman" w:eastAsia="Times New Roman" w:hAnsi="Times New Roman" w:cs="Calibri"/>
          <w:sz w:val="22"/>
          <w:szCs w:val="22"/>
        </w:rPr>
        <w:t>,</w:t>
      </w:r>
      <w:r>
        <w:rPr>
          <w:rFonts w:ascii="Times New Roman" w:eastAsia="Times New Roman" w:hAnsi="Times New Roman" w:cs="Calibri"/>
          <w:sz w:val="22"/>
          <w:szCs w:val="22"/>
        </w:rPr>
        <w:t>9</w:t>
      </w:r>
      <w:r w:rsidR="0007436C">
        <w:rPr>
          <w:rFonts w:ascii="Times New Roman" w:eastAsia="Times New Roman" w:hAnsi="Times New Roman" w:cs="Calibri"/>
          <w:sz w:val="22"/>
          <w:szCs w:val="22"/>
        </w:rPr>
        <w:t>50</w:t>
      </w:r>
      <w:r w:rsidR="0039645E" w:rsidRPr="004A66F0">
        <w:rPr>
          <w:rFonts w:ascii="Times New Roman" w:eastAsia="Times New Roman" w:hAnsi="Times New Roman" w:cs="Calibri"/>
          <w:sz w:val="22"/>
          <w:szCs w:val="22"/>
        </w:rPr>
        <w:t>.1 millones,</w:t>
      </w:r>
      <w:r w:rsidR="0007436C">
        <w:rPr>
          <w:rFonts w:ascii="Times New Roman" w:eastAsia="Times New Roman" w:hAnsi="Times New Roman" w:cs="Calibri"/>
          <w:sz w:val="22"/>
          <w:szCs w:val="22"/>
        </w:rPr>
        <w:t xml:space="preserve"> </w:t>
      </w:r>
      <w:r w:rsidR="0039645E" w:rsidRPr="004A66F0">
        <w:rPr>
          <w:rFonts w:ascii="Times New Roman" w:eastAsia="Times New Roman" w:hAnsi="Times New Roman" w:cs="Calibri"/>
          <w:sz w:val="22"/>
          <w:szCs w:val="22"/>
        </w:rPr>
        <w:t xml:space="preserve">siendo la Educación Preprimaria y Primaria la que tuvo la mayor asignación de recursos y </w:t>
      </w:r>
      <w:r w:rsidR="0007436C">
        <w:rPr>
          <w:rFonts w:ascii="Times New Roman" w:eastAsia="Times New Roman" w:hAnsi="Times New Roman" w:cs="Calibri"/>
          <w:sz w:val="22"/>
          <w:szCs w:val="22"/>
        </w:rPr>
        <w:t>un alto</w:t>
      </w:r>
      <w:r w:rsidR="0039645E" w:rsidRPr="004A66F0">
        <w:rPr>
          <w:rFonts w:ascii="Times New Roman" w:eastAsia="Times New Roman" w:hAnsi="Times New Roman" w:cs="Calibri"/>
          <w:sz w:val="22"/>
          <w:szCs w:val="22"/>
        </w:rPr>
        <w:t xml:space="preserve"> nivel de ejecución, </w:t>
      </w:r>
      <w:r w:rsidR="0007436C">
        <w:rPr>
          <w:rFonts w:ascii="Times New Roman" w:eastAsia="Times New Roman" w:hAnsi="Times New Roman" w:cs="Calibri"/>
          <w:sz w:val="22"/>
          <w:szCs w:val="22"/>
        </w:rPr>
        <w:t>99</w:t>
      </w:r>
      <w:r w:rsidR="0039645E" w:rsidRPr="004A66F0">
        <w:rPr>
          <w:rFonts w:ascii="Times New Roman" w:eastAsia="Times New Roman" w:hAnsi="Times New Roman" w:cs="Calibri"/>
          <w:sz w:val="22"/>
          <w:szCs w:val="22"/>
        </w:rPr>
        <w:t>.</w:t>
      </w:r>
      <w:r w:rsidR="0007436C">
        <w:rPr>
          <w:rFonts w:ascii="Times New Roman" w:eastAsia="Times New Roman" w:hAnsi="Times New Roman" w:cs="Calibri"/>
          <w:sz w:val="22"/>
          <w:szCs w:val="22"/>
        </w:rPr>
        <w:t>2</w:t>
      </w:r>
      <w:r w:rsidR="0039645E" w:rsidRPr="004A66F0">
        <w:rPr>
          <w:rFonts w:ascii="Times New Roman" w:eastAsia="Times New Roman" w:hAnsi="Times New Roman" w:cs="Calibri"/>
          <w:sz w:val="22"/>
          <w:szCs w:val="22"/>
        </w:rPr>
        <w:t xml:space="preserve">%. </w:t>
      </w:r>
    </w:p>
    <w:p w14:paraId="07B1657F" w14:textId="77777777" w:rsidR="00A66EAC" w:rsidRPr="004A66F0" w:rsidRDefault="00A66EAC" w:rsidP="0039645E">
      <w:pPr>
        <w:jc w:val="both"/>
        <w:rPr>
          <w:rFonts w:ascii="Times New Roman" w:eastAsia="Times New Roman" w:hAnsi="Times New Roman" w:cs="Calibri"/>
          <w:sz w:val="22"/>
          <w:szCs w:val="22"/>
        </w:rPr>
      </w:pPr>
    </w:p>
    <w:p w14:paraId="5209F268" w14:textId="2010100D" w:rsidR="0039645E" w:rsidRDefault="0039645E" w:rsidP="0039645E">
      <w:pPr>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 xml:space="preserve">Por </w:t>
      </w:r>
      <w:r w:rsidR="00A66EAC">
        <w:rPr>
          <w:rFonts w:ascii="Times New Roman" w:eastAsia="Times New Roman" w:hAnsi="Times New Roman" w:cs="Calibri"/>
          <w:sz w:val="22"/>
          <w:szCs w:val="22"/>
        </w:rPr>
        <w:t>último</w:t>
      </w:r>
      <w:r w:rsidRPr="004A66F0">
        <w:rPr>
          <w:rFonts w:ascii="Times New Roman" w:eastAsia="Times New Roman" w:hAnsi="Times New Roman" w:cs="Calibri"/>
          <w:sz w:val="22"/>
          <w:szCs w:val="22"/>
        </w:rPr>
        <w:t>,</w:t>
      </w:r>
      <w:r w:rsidR="00A66EAC">
        <w:rPr>
          <w:rFonts w:ascii="Times New Roman" w:eastAsia="Times New Roman" w:hAnsi="Times New Roman" w:cs="Calibri"/>
          <w:sz w:val="22"/>
          <w:szCs w:val="22"/>
        </w:rPr>
        <w:t xml:space="preserve"> el sector</w:t>
      </w:r>
      <w:r w:rsidRPr="004A66F0">
        <w:rPr>
          <w:rFonts w:ascii="Times New Roman" w:eastAsia="Times New Roman" w:hAnsi="Times New Roman" w:cs="Calibri"/>
          <w:sz w:val="22"/>
          <w:szCs w:val="22"/>
        </w:rPr>
        <w:t xml:space="preserve"> Salud y Asistencia Social </w:t>
      </w:r>
      <w:r w:rsidR="001E28D7">
        <w:rPr>
          <w:rFonts w:ascii="Times New Roman" w:eastAsia="Times New Roman" w:hAnsi="Times New Roman" w:cs="Calibri"/>
          <w:sz w:val="22"/>
          <w:szCs w:val="22"/>
        </w:rPr>
        <w:t xml:space="preserve">mostró </w:t>
      </w:r>
      <w:r w:rsidRPr="004A66F0">
        <w:rPr>
          <w:rFonts w:ascii="Times New Roman" w:eastAsia="Times New Roman" w:hAnsi="Times New Roman" w:cs="Calibri"/>
          <w:sz w:val="22"/>
          <w:szCs w:val="22"/>
        </w:rPr>
        <w:t>crecimiento de 1</w:t>
      </w:r>
      <w:r w:rsidR="00A66EAC">
        <w:rPr>
          <w:rFonts w:ascii="Times New Roman" w:eastAsia="Times New Roman" w:hAnsi="Times New Roman" w:cs="Calibri"/>
          <w:sz w:val="22"/>
          <w:szCs w:val="22"/>
        </w:rPr>
        <w:t>.</w:t>
      </w:r>
      <w:r w:rsidRPr="004A66F0">
        <w:rPr>
          <w:rFonts w:ascii="Times New Roman" w:eastAsia="Times New Roman" w:hAnsi="Times New Roman" w:cs="Calibri"/>
          <w:sz w:val="22"/>
          <w:szCs w:val="22"/>
        </w:rPr>
        <w:t>2%, equivalente a Q188.</w:t>
      </w:r>
      <w:r w:rsidR="00A66EAC">
        <w:rPr>
          <w:rFonts w:ascii="Times New Roman" w:eastAsia="Times New Roman" w:hAnsi="Times New Roman" w:cs="Calibri"/>
          <w:sz w:val="22"/>
          <w:szCs w:val="22"/>
        </w:rPr>
        <w:t>3</w:t>
      </w:r>
      <w:r w:rsidRPr="004A66F0">
        <w:rPr>
          <w:rFonts w:ascii="Times New Roman" w:eastAsia="Times New Roman" w:hAnsi="Times New Roman" w:cs="Calibri"/>
          <w:sz w:val="22"/>
          <w:szCs w:val="22"/>
        </w:rPr>
        <w:t xml:space="preserve"> millones</w:t>
      </w:r>
      <w:r w:rsidR="00A66EAC">
        <w:rPr>
          <w:rFonts w:ascii="Times New Roman" w:eastAsia="Times New Roman" w:hAnsi="Times New Roman" w:cs="Calibri"/>
          <w:sz w:val="22"/>
          <w:szCs w:val="22"/>
        </w:rPr>
        <w:t xml:space="preserve">, siendo el sector con menor crecimiento en el período. </w:t>
      </w:r>
      <w:r w:rsidR="00EE7944">
        <w:rPr>
          <w:rFonts w:ascii="Times New Roman" w:eastAsia="Times New Roman" w:hAnsi="Times New Roman" w:cs="Calibri"/>
          <w:sz w:val="22"/>
          <w:szCs w:val="22"/>
        </w:rPr>
        <w:t xml:space="preserve">La ejecución en productos medicinales y farmacéuticos y suministros e instrumental médico quirúrgico, de laboratorio y cuidado de la salud ha disminuido, así como </w:t>
      </w:r>
      <w:r w:rsidR="00EE7944" w:rsidRPr="00490250">
        <w:rPr>
          <w:rFonts w:ascii="Times New Roman" w:eastAsia="Times New Roman" w:hAnsi="Times New Roman" w:cs="Calibri"/>
          <w:sz w:val="22"/>
          <w:szCs w:val="22"/>
        </w:rPr>
        <w:t>los servicios médico sanitarios</w:t>
      </w:r>
      <w:r w:rsidR="00B94D89" w:rsidRPr="00490250">
        <w:rPr>
          <w:rFonts w:ascii="Times New Roman" w:eastAsia="Times New Roman" w:hAnsi="Times New Roman" w:cs="Calibri"/>
          <w:sz w:val="22"/>
          <w:szCs w:val="22"/>
        </w:rPr>
        <w:t>,</w:t>
      </w:r>
      <w:r w:rsidR="00EE7944" w:rsidRPr="00490250">
        <w:rPr>
          <w:rFonts w:ascii="Times New Roman" w:eastAsia="Times New Roman" w:hAnsi="Times New Roman" w:cs="Calibri"/>
          <w:sz w:val="22"/>
          <w:szCs w:val="22"/>
        </w:rPr>
        <w:t xml:space="preserve"> ante una menor necesidad una vez superada la crisis provocada por la pandemia COVID-19.</w:t>
      </w:r>
      <w:r w:rsidR="00EE7944">
        <w:rPr>
          <w:rFonts w:ascii="Times New Roman" w:eastAsia="Times New Roman" w:hAnsi="Times New Roman" w:cs="Calibri"/>
          <w:sz w:val="22"/>
          <w:szCs w:val="22"/>
        </w:rPr>
        <w:t xml:space="preserve"> </w:t>
      </w:r>
      <w:r w:rsidRPr="004A66F0">
        <w:rPr>
          <w:rFonts w:ascii="Times New Roman" w:eastAsia="Times New Roman" w:hAnsi="Times New Roman" w:cs="Calibri"/>
          <w:sz w:val="22"/>
          <w:szCs w:val="22"/>
        </w:rPr>
        <w:t xml:space="preserve"> </w:t>
      </w:r>
    </w:p>
    <w:p w14:paraId="3BEEEF7A" w14:textId="1EDEED51" w:rsidR="00761981" w:rsidRDefault="00761981" w:rsidP="0039645E">
      <w:pPr>
        <w:jc w:val="both"/>
        <w:rPr>
          <w:rFonts w:ascii="Times New Roman" w:eastAsia="Times New Roman" w:hAnsi="Times New Roman" w:cs="Calibri"/>
          <w:sz w:val="22"/>
          <w:szCs w:val="22"/>
        </w:rPr>
      </w:pPr>
    </w:p>
    <w:p w14:paraId="7E7A02C3" w14:textId="32CA582D" w:rsidR="0039645E" w:rsidRPr="00DA2AB6" w:rsidRDefault="00DA2AB6" w:rsidP="00DA2AB6">
      <w:pPr>
        <w:pStyle w:val="Descripcin"/>
        <w:keepNext/>
        <w:spacing w:after="0"/>
        <w:jc w:val="center"/>
        <w:rPr>
          <w:sz w:val="22"/>
          <w:szCs w:val="22"/>
        </w:rPr>
      </w:pPr>
      <w:bookmarkStart w:id="61" w:name="_Toc125534810"/>
      <w:bookmarkStart w:id="62" w:name="_Hlk124840342"/>
      <w:bookmarkStart w:id="63" w:name="_Toc160196917"/>
      <w:r w:rsidRPr="00DA2AB6">
        <w:rPr>
          <w:sz w:val="22"/>
          <w:szCs w:val="22"/>
        </w:rPr>
        <w:t xml:space="preserve">Tabla </w:t>
      </w:r>
      <w:r w:rsidRPr="00DA2AB6">
        <w:rPr>
          <w:sz w:val="22"/>
          <w:szCs w:val="22"/>
        </w:rPr>
        <w:fldChar w:fldCharType="begin"/>
      </w:r>
      <w:r w:rsidRPr="00DA2AB6">
        <w:rPr>
          <w:sz w:val="22"/>
          <w:szCs w:val="22"/>
        </w:rPr>
        <w:instrText xml:space="preserve"> SEQ Tabla \* ARABIC </w:instrText>
      </w:r>
      <w:r w:rsidRPr="00DA2AB6">
        <w:rPr>
          <w:sz w:val="22"/>
          <w:szCs w:val="22"/>
        </w:rPr>
        <w:fldChar w:fldCharType="separate"/>
      </w:r>
      <w:r w:rsidR="00C015DC">
        <w:rPr>
          <w:noProof/>
          <w:sz w:val="22"/>
          <w:szCs w:val="22"/>
        </w:rPr>
        <w:t>2</w:t>
      </w:r>
      <w:r w:rsidRPr="00DA2AB6">
        <w:rPr>
          <w:sz w:val="22"/>
          <w:szCs w:val="22"/>
        </w:rPr>
        <w:fldChar w:fldCharType="end"/>
      </w:r>
      <w:r>
        <w:rPr>
          <w:sz w:val="22"/>
          <w:szCs w:val="22"/>
        </w:rPr>
        <w:t xml:space="preserve">.  </w:t>
      </w:r>
      <w:r w:rsidR="0039645E" w:rsidRPr="0014283B">
        <w:rPr>
          <w:rFonts w:eastAsia="Times New Roman" w:cs="Times New Roman"/>
          <w:sz w:val="22"/>
          <w:szCs w:val="22"/>
        </w:rPr>
        <w:t>Ejecución del Gasto social y de los Acuerdos de Paz</w:t>
      </w:r>
      <w:bookmarkEnd w:id="61"/>
      <w:bookmarkEnd w:id="63"/>
    </w:p>
    <w:p w14:paraId="29C8FFB5" w14:textId="566D868E" w:rsidR="0039645E" w:rsidRPr="0014283B" w:rsidRDefault="0039645E" w:rsidP="0039645E">
      <w:pPr>
        <w:jc w:val="center"/>
        <w:rPr>
          <w:rFonts w:ascii="Times New Roman" w:eastAsia="Times New Roman" w:hAnsi="Times New Roman" w:cs="Times New Roman"/>
          <w:b/>
          <w:sz w:val="22"/>
          <w:szCs w:val="22"/>
        </w:rPr>
      </w:pPr>
      <w:r w:rsidRPr="0014283B">
        <w:rPr>
          <w:rFonts w:ascii="Times New Roman" w:eastAsia="Times New Roman" w:hAnsi="Times New Roman" w:cs="Times New Roman"/>
          <w:b/>
          <w:sz w:val="22"/>
          <w:szCs w:val="22"/>
        </w:rPr>
        <w:t>202</w:t>
      </w:r>
      <w:r w:rsidR="00A61E53">
        <w:rPr>
          <w:rFonts w:ascii="Times New Roman" w:eastAsia="Times New Roman" w:hAnsi="Times New Roman" w:cs="Times New Roman"/>
          <w:b/>
          <w:sz w:val="22"/>
          <w:szCs w:val="22"/>
        </w:rPr>
        <w:t>2</w:t>
      </w:r>
      <w:r w:rsidRPr="0014283B">
        <w:rPr>
          <w:rFonts w:ascii="Times New Roman" w:eastAsia="Times New Roman" w:hAnsi="Times New Roman" w:cs="Times New Roman"/>
          <w:b/>
          <w:sz w:val="22"/>
          <w:szCs w:val="22"/>
        </w:rPr>
        <w:t xml:space="preserve"> – 202</w:t>
      </w:r>
      <w:r w:rsidR="00A61E53">
        <w:rPr>
          <w:rFonts w:ascii="Times New Roman" w:eastAsia="Times New Roman" w:hAnsi="Times New Roman" w:cs="Times New Roman"/>
          <w:b/>
          <w:sz w:val="22"/>
          <w:szCs w:val="22"/>
        </w:rPr>
        <w:t>3</w:t>
      </w:r>
    </w:p>
    <w:p w14:paraId="1F0688D0" w14:textId="77777777" w:rsidR="0039645E" w:rsidRPr="0014283B" w:rsidRDefault="0039645E" w:rsidP="0039645E">
      <w:pPr>
        <w:jc w:val="center"/>
        <w:rPr>
          <w:rFonts w:ascii="Times New Roman" w:eastAsia="Times New Roman" w:hAnsi="Times New Roman" w:cs="Times New Roman"/>
          <w:sz w:val="22"/>
          <w:szCs w:val="22"/>
        </w:rPr>
      </w:pPr>
      <w:r w:rsidRPr="0014283B">
        <w:rPr>
          <w:rFonts w:ascii="Times New Roman" w:eastAsia="Times New Roman" w:hAnsi="Times New Roman" w:cs="Times New Roman"/>
          <w:sz w:val="22"/>
          <w:szCs w:val="22"/>
        </w:rPr>
        <w:t>-Millones de quetzales y porcentajes-</w:t>
      </w:r>
    </w:p>
    <w:tbl>
      <w:tblPr>
        <w:tblW w:w="7520" w:type="dxa"/>
        <w:jc w:val="center"/>
        <w:tblCellMar>
          <w:left w:w="70" w:type="dxa"/>
          <w:right w:w="70" w:type="dxa"/>
        </w:tblCellMar>
        <w:tblLook w:val="04A0" w:firstRow="1" w:lastRow="0" w:firstColumn="1" w:lastColumn="0" w:noHBand="0" w:noVBand="1"/>
      </w:tblPr>
      <w:tblGrid>
        <w:gridCol w:w="2860"/>
        <w:gridCol w:w="1280"/>
        <w:gridCol w:w="1060"/>
        <w:gridCol w:w="1140"/>
        <w:gridCol w:w="1180"/>
      </w:tblGrid>
      <w:tr w:rsidR="0039645E" w:rsidRPr="004A66F0" w14:paraId="4F558E6C" w14:textId="77777777" w:rsidTr="00B63682">
        <w:trPr>
          <w:trHeight w:val="300"/>
          <w:jc w:val="center"/>
        </w:trPr>
        <w:tc>
          <w:tcPr>
            <w:tcW w:w="2860"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bookmarkEnd w:id="62"/>
          <w:p w14:paraId="286C8516" w14:textId="77777777" w:rsidR="0039645E" w:rsidRPr="004A66F0" w:rsidRDefault="0039645E" w:rsidP="00B63682">
            <w:pPr>
              <w:jc w:val="center"/>
              <w:rPr>
                <w:rFonts w:ascii="Times New Roman" w:eastAsia="Times New Roman" w:hAnsi="Times New Roman" w:cs="Times New Roman"/>
                <w:b/>
                <w:bCs/>
                <w:color w:val="000000"/>
                <w:sz w:val="22"/>
                <w:szCs w:val="22"/>
                <w:lang w:eastAsia="es-GT"/>
              </w:rPr>
            </w:pPr>
            <w:r w:rsidRPr="004A66F0">
              <w:rPr>
                <w:rFonts w:ascii="Times New Roman" w:eastAsia="Times New Roman" w:hAnsi="Times New Roman" w:cs="Times New Roman"/>
                <w:b/>
                <w:bCs/>
                <w:color w:val="000000"/>
                <w:sz w:val="22"/>
                <w:szCs w:val="22"/>
                <w:lang w:eastAsia="es-GT"/>
              </w:rPr>
              <w:t>Sector</w:t>
            </w:r>
          </w:p>
        </w:tc>
        <w:tc>
          <w:tcPr>
            <w:tcW w:w="2340" w:type="dxa"/>
            <w:gridSpan w:val="2"/>
            <w:tcBorders>
              <w:top w:val="single" w:sz="4" w:space="0" w:color="auto"/>
              <w:left w:val="nil"/>
              <w:bottom w:val="single" w:sz="4" w:space="0" w:color="auto"/>
              <w:right w:val="single" w:sz="4" w:space="0" w:color="auto"/>
            </w:tcBorders>
            <w:shd w:val="clear" w:color="000000" w:fill="D9E1F2"/>
            <w:vAlign w:val="center"/>
            <w:hideMark/>
          </w:tcPr>
          <w:p w14:paraId="663A5509" w14:textId="77777777" w:rsidR="0039645E" w:rsidRPr="004A66F0" w:rsidRDefault="0039645E" w:rsidP="00B63682">
            <w:pPr>
              <w:jc w:val="center"/>
              <w:rPr>
                <w:rFonts w:ascii="Times New Roman" w:eastAsia="Times New Roman" w:hAnsi="Times New Roman" w:cs="Times New Roman"/>
                <w:b/>
                <w:bCs/>
                <w:color w:val="000000"/>
                <w:sz w:val="22"/>
                <w:szCs w:val="22"/>
                <w:lang w:eastAsia="es-GT"/>
              </w:rPr>
            </w:pPr>
            <w:r w:rsidRPr="004A66F0">
              <w:rPr>
                <w:rFonts w:ascii="Times New Roman" w:eastAsia="Times New Roman" w:hAnsi="Times New Roman" w:cs="Times New Roman"/>
                <w:b/>
                <w:bCs/>
                <w:color w:val="000000"/>
                <w:sz w:val="22"/>
                <w:szCs w:val="22"/>
                <w:lang w:eastAsia="es-GT"/>
              </w:rPr>
              <w:t>Ejecutado</w:t>
            </w:r>
          </w:p>
        </w:tc>
        <w:tc>
          <w:tcPr>
            <w:tcW w:w="2320" w:type="dxa"/>
            <w:gridSpan w:val="2"/>
            <w:tcBorders>
              <w:top w:val="single" w:sz="4" w:space="0" w:color="auto"/>
              <w:left w:val="nil"/>
              <w:bottom w:val="single" w:sz="4" w:space="0" w:color="auto"/>
              <w:right w:val="single" w:sz="4" w:space="0" w:color="auto"/>
            </w:tcBorders>
            <w:shd w:val="clear" w:color="000000" w:fill="D9E1F2"/>
            <w:vAlign w:val="center"/>
            <w:hideMark/>
          </w:tcPr>
          <w:p w14:paraId="66DD3560" w14:textId="03098818" w:rsidR="0039645E" w:rsidRPr="004A66F0" w:rsidRDefault="0039645E" w:rsidP="00B63682">
            <w:pPr>
              <w:jc w:val="center"/>
              <w:rPr>
                <w:rFonts w:ascii="Times New Roman" w:eastAsia="Times New Roman" w:hAnsi="Times New Roman" w:cs="Times New Roman"/>
                <w:b/>
                <w:bCs/>
                <w:color w:val="000000"/>
                <w:sz w:val="22"/>
                <w:szCs w:val="22"/>
                <w:lang w:eastAsia="es-GT"/>
              </w:rPr>
            </w:pPr>
            <w:r w:rsidRPr="004A66F0">
              <w:rPr>
                <w:rFonts w:ascii="Times New Roman" w:eastAsia="Times New Roman" w:hAnsi="Times New Roman" w:cs="Times New Roman"/>
                <w:b/>
                <w:bCs/>
                <w:color w:val="000000"/>
                <w:sz w:val="22"/>
                <w:szCs w:val="22"/>
                <w:lang w:eastAsia="es-GT"/>
              </w:rPr>
              <w:t>Diferencias 202</w:t>
            </w:r>
            <w:r w:rsidR="00A61E53">
              <w:rPr>
                <w:rFonts w:ascii="Times New Roman" w:eastAsia="Times New Roman" w:hAnsi="Times New Roman" w:cs="Times New Roman"/>
                <w:b/>
                <w:bCs/>
                <w:color w:val="000000"/>
                <w:sz w:val="22"/>
                <w:szCs w:val="22"/>
                <w:lang w:eastAsia="es-GT"/>
              </w:rPr>
              <w:t>3</w:t>
            </w:r>
            <w:r w:rsidRPr="004A66F0">
              <w:rPr>
                <w:rFonts w:ascii="Times New Roman" w:eastAsia="Times New Roman" w:hAnsi="Times New Roman" w:cs="Times New Roman"/>
                <w:b/>
                <w:bCs/>
                <w:color w:val="000000"/>
                <w:sz w:val="22"/>
                <w:szCs w:val="22"/>
                <w:lang w:eastAsia="es-GT"/>
              </w:rPr>
              <w:t>-202</w:t>
            </w:r>
            <w:r w:rsidR="00A61E53">
              <w:rPr>
                <w:rFonts w:ascii="Times New Roman" w:eastAsia="Times New Roman" w:hAnsi="Times New Roman" w:cs="Times New Roman"/>
                <w:b/>
                <w:bCs/>
                <w:color w:val="000000"/>
                <w:sz w:val="22"/>
                <w:szCs w:val="22"/>
                <w:lang w:eastAsia="es-GT"/>
              </w:rPr>
              <w:t>2</w:t>
            </w:r>
          </w:p>
        </w:tc>
      </w:tr>
      <w:tr w:rsidR="0039645E" w:rsidRPr="004A66F0" w14:paraId="3C776190" w14:textId="77777777" w:rsidTr="00B63682">
        <w:trPr>
          <w:trHeight w:val="510"/>
          <w:jc w:val="center"/>
        </w:trPr>
        <w:tc>
          <w:tcPr>
            <w:tcW w:w="2860" w:type="dxa"/>
            <w:vMerge/>
            <w:tcBorders>
              <w:top w:val="single" w:sz="4" w:space="0" w:color="auto"/>
              <w:left w:val="single" w:sz="4" w:space="0" w:color="auto"/>
              <w:bottom w:val="single" w:sz="4" w:space="0" w:color="auto"/>
              <w:right w:val="single" w:sz="4" w:space="0" w:color="auto"/>
            </w:tcBorders>
            <w:vAlign w:val="center"/>
            <w:hideMark/>
          </w:tcPr>
          <w:p w14:paraId="2045AA51" w14:textId="77777777" w:rsidR="0039645E" w:rsidRPr="004A66F0" w:rsidRDefault="0039645E" w:rsidP="00B63682">
            <w:pPr>
              <w:rPr>
                <w:rFonts w:ascii="Times New Roman" w:eastAsia="Times New Roman" w:hAnsi="Times New Roman" w:cs="Times New Roman"/>
                <w:b/>
                <w:bCs/>
                <w:color w:val="000000"/>
                <w:sz w:val="22"/>
                <w:szCs w:val="22"/>
                <w:lang w:eastAsia="es-GT"/>
              </w:rPr>
            </w:pPr>
          </w:p>
        </w:tc>
        <w:tc>
          <w:tcPr>
            <w:tcW w:w="1280" w:type="dxa"/>
            <w:tcBorders>
              <w:top w:val="nil"/>
              <w:left w:val="nil"/>
              <w:bottom w:val="single" w:sz="4" w:space="0" w:color="auto"/>
              <w:right w:val="nil"/>
            </w:tcBorders>
            <w:shd w:val="clear" w:color="000000" w:fill="D9E1F2"/>
            <w:vAlign w:val="center"/>
            <w:hideMark/>
          </w:tcPr>
          <w:p w14:paraId="2BA39A2D" w14:textId="3B664279" w:rsidR="0039645E" w:rsidRPr="004A66F0" w:rsidRDefault="0039645E" w:rsidP="00B63682">
            <w:pPr>
              <w:jc w:val="center"/>
              <w:rPr>
                <w:rFonts w:ascii="Times New Roman" w:eastAsia="Times New Roman" w:hAnsi="Times New Roman" w:cs="Times New Roman"/>
                <w:b/>
                <w:bCs/>
                <w:color w:val="000000"/>
                <w:sz w:val="22"/>
                <w:szCs w:val="22"/>
                <w:lang w:eastAsia="es-GT"/>
              </w:rPr>
            </w:pPr>
            <w:r w:rsidRPr="004A66F0">
              <w:rPr>
                <w:rFonts w:ascii="Times New Roman" w:eastAsia="Times New Roman" w:hAnsi="Times New Roman" w:cs="Times New Roman"/>
                <w:b/>
                <w:bCs/>
                <w:color w:val="000000"/>
                <w:sz w:val="22"/>
                <w:szCs w:val="22"/>
                <w:lang w:eastAsia="es-GT"/>
              </w:rPr>
              <w:t>202</w:t>
            </w:r>
            <w:r w:rsidR="00A61E53">
              <w:rPr>
                <w:rFonts w:ascii="Times New Roman" w:eastAsia="Times New Roman" w:hAnsi="Times New Roman" w:cs="Times New Roman"/>
                <w:b/>
                <w:bCs/>
                <w:color w:val="000000"/>
                <w:sz w:val="22"/>
                <w:szCs w:val="22"/>
                <w:lang w:eastAsia="es-GT"/>
              </w:rPr>
              <w:t>2</w:t>
            </w:r>
          </w:p>
        </w:tc>
        <w:tc>
          <w:tcPr>
            <w:tcW w:w="1060" w:type="dxa"/>
            <w:tcBorders>
              <w:top w:val="nil"/>
              <w:left w:val="single" w:sz="4" w:space="0" w:color="auto"/>
              <w:bottom w:val="single" w:sz="4" w:space="0" w:color="auto"/>
              <w:right w:val="single" w:sz="4" w:space="0" w:color="auto"/>
            </w:tcBorders>
            <w:shd w:val="clear" w:color="000000" w:fill="D9E1F2"/>
            <w:vAlign w:val="center"/>
            <w:hideMark/>
          </w:tcPr>
          <w:p w14:paraId="3E5E8564" w14:textId="6FFA1609" w:rsidR="0039645E" w:rsidRPr="004A66F0" w:rsidRDefault="0039645E" w:rsidP="00B63682">
            <w:pPr>
              <w:jc w:val="center"/>
              <w:rPr>
                <w:rFonts w:ascii="Times New Roman" w:eastAsia="Times New Roman" w:hAnsi="Times New Roman" w:cs="Times New Roman"/>
                <w:b/>
                <w:bCs/>
                <w:color w:val="000000"/>
                <w:sz w:val="22"/>
                <w:szCs w:val="22"/>
                <w:lang w:eastAsia="es-GT"/>
              </w:rPr>
            </w:pPr>
            <w:r w:rsidRPr="004A66F0">
              <w:rPr>
                <w:rFonts w:ascii="Times New Roman" w:eastAsia="Times New Roman" w:hAnsi="Times New Roman" w:cs="Times New Roman"/>
                <w:b/>
                <w:bCs/>
                <w:color w:val="000000"/>
                <w:sz w:val="22"/>
                <w:szCs w:val="22"/>
                <w:lang w:eastAsia="es-GT"/>
              </w:rPr>
              <w:t>202</w:t>
            </w:r>
            <w:r w:rsidR="00A61E53">
              <w:rPr>
                <w:rFonts w:ascii="Times New Roman" w:eastAsia="Times New Roman" w:hAnsi="Times New Roman" w:cs="Times New Roman"/>
                <w:b/>
                <w:bCs/>
                <w:color w:val="000000"/>
                <w:sz w:val="22"/>
                <w:szCs w:val="22"/>
                <w:lang w:eastAsia="es-GT"/>
              </w:rPr>
              <w:t>3</w:t>
            </w:r>
          </w:p>
        </w:tc>
        <w:tc>
          <w:tcPr>
            <w:tcW w:w="1140" w:type="dxa"/>
            <w:tcBorders>
              <w:top w:val="nil"/>
              <w:left w:val="nil"/>
              <w:bottom w:val="single" w:sz="4" w:space="0" w:color="auto"/>
              <w:right w:val="nil"/>
            </w:tcBorders>
            <w:shd w:val="clear" w:color="000000" w:fill="D9E1F2"/>
            <w:vAlign w:val="center"/>
            <w:hideMark/>
          </w:tcPr>
          <w:p w14:paraId="4B302D63" w14:textId="77777777" w:rsidR="0039645E" w:rsidRPr="004A66F0" w:rsidRDefault="0039645E" w:rsidP="00B63682">
            <w:pPr>
              <w:jc w:val="center"/>
              <w:rPr>
                <w:rFonts w:ascii="Times New Roman" w:eastAsia="Times New Roman" w:hAnsi="Times New Roman" w:cs="Times New Roman"/>
                <w:b/>
                <w:bCs/>
                <w:color w:val="000000"/>
                <w:sz w:val="22"/>
                <w:szCs w:val="22"/>
                <w:lang w:eastAsia="es-GT"/>
              </w:rPr>
            </w:pPr>
            <w:r w:rsidRPr="004A66F0">
              <w:rPr>
                <w:rFonts w:ascii="Times New Roman" w:eastAsia="Times New Roman" w:hAnsi="Times New Roman" w:cs="Times New Roman"/>
                <w:b/>
                <w:bCs/>
                <w:color w:val="000000"/>
                <w:sz w:val="22"/>
                <w:szCs w:val="22"/>
                <w:lang w:eastAsia="es-GT"/>
              </w:rPr>
              <w:t>Absoluta</w:t>
            </w:r>
          </w:p>
        </w:tc>
        <w:tc>
          <w:tcPr>
            <w:tcW w:w="1180" w:type="dxa"/>
            <w:tcBorders>
              <w:top w:val="nil"/>
              <w:left w:val="single" w:sz="4" w:space="0" w:color="auto"/>
              <w:bottom w:val="single" w:sz="4" w:space="0" w:color="auto"/>
              <w:right w:val="single" w:sz="4" w:space="0" w:color="auto"/>
            </w:tcBorders>
            <w:shd w:val="clear" w:color="000000" w:fill="D9E1F2"/>
            <w:vAlign w:val="center"/>
            <w:hideMark/>
          </w:tcPr>
          <w:p w14:paraId="124A0390" w14:textId="77777777" w:rsidR="0039645E" w:rsidRPr="004A66F0" w:rsidRDefault="0039645E" w:rsidP="00B63682">
            <w:pPr>
              <w:jc w:val="center"/>
              <w:rPr>
                <w:rFonts w:ascii="Times New Roman" w:eastAsia="Times New Roman" w:hAnsi="Times New Roman" w:cs="Times New Roman"/>
                <w:b/>
                <w:bCs/>
                <w:color w:val="000000"/>
                <w:sz w:val="22"/>
                <w:szCs w:val="22"/>
                <w:lang w:eastAsia="es-GT"/>
              </w:rPr>
            </w:pPr>
            <w:r w:rsidRPr="004A66F0">
              <w:rPr>
                <w:rFonts w:ascii="Times New Roman" w:eastAsia="Times New Roman" w:hAnsi="Times New Roman" w:cs="Times New Roman"/>
                <w:b/>
                <w:bCs/>
                <w:color w:val="000000"/>
                <w:sz w:val="22"/>
                <w:szCs w:val="22"/>
                <w:lang w:eastAsia="es-GT"/>
              </w:rPr>
              <w:t>Relativa</w:t>
            </w:r>
          </w:p>
        </w:tc>
      </w:tr>
      <w:tr w:rsidR="00A61E53" w:rsidRPr="004A66F0" w14:paraId="11712FB1" w14:textId="77777777" w:rsidTr="00A61E53">
        <w:trPr>
          <w:trHeight w:val="405"/>
          <w:jc w:val="center"/>
        </w:trPr>
        <w:tc>
          <w:tcPr>
            <w:tcW w:w="2860" w:type="dxa"/>
            <w:tcBorders>
              <w:top w:val="nil"/>
              <w:left w:val="single" w:sz="4" w:space="0" w:color="auto"/>
              <w:bottom w:val="nil"/>
              <w:right w:val="single" w:sz="4" w:space="0" w:color="auto"/>
            </w:tcBorders>
            <w:noWrap/>
            <w:vAlign w:val="bottom"/>
            <w:hideMark/>
          </w:tcPr>
          <w:p w14:paraId="4AE69845" w14:textId="77777777" w:rsidR="00A61E53" w:rsidRPr="004A66F0" w:rsidRDefault="00A61E53" w:rsidP="00A61E53">
            <w:pPr>
              <w:rPr>
                <w:rFonts w:ascii="Times New Roman" w:eastAsia="Times New Roman" w:hAnsi="Times New Roman" w:cs="Times New Roman"/>
                <w:color w:val="000000"/>
                <w:sz w:val="22"/>
                <w:szCs w:val="22"/>
                <w:lang w:eastAsia="es-GT"/>
              </w:rPr>
            </w:pPr>
            <w:r w:rsidRPr="004A66F0">
              <w:rPr>
                <w:rFonts w:ascii="Times New Roman" w:eastAsia="Times New Roman" w:hAnsi="Times New Roman" w:cs="Times New Roman"/>
                <w:color w:val="000000"/>
                <w:sz w:val="22"/>
                <w:szCs w:val="22"/>
                <w:lang w:eastAsia="es-GT"/>
              </w:rPr>
              <w:t>Salud y Asistencia Social</w:t>
            </w:r>
          </w:p>
        </w:tc>
        <w:tc>
          <w:tcPr>
            <w:tcW w:w="1280" w:type="dxa"/>
            <w:tcBorders>
              <w:top w:val="nil"/>
              <w:left w:val="nil"/>
              <w:bottom w:val="nil"/>
              <w:right w:val="nil"/>
            </w:tcBorders>
            <w:noWrap/>
            <w:vAlign w:val="center"/>
            <w:hideMark/>
          </w:tcPr>
          <w:p w14:paraId="0B6C696F" w14:textId="53B697D4" w:rsidR="00A61E53" w:rsidRPr="00A61E53" w:rsidRDefault="00A61E53" w:rsidP="00A61E53">
            <w:pPr>
              <w:jc w:val="center"/>
              <w:rPr>
                <w:rFonts w:ascii="Times New Roman" w:eastAsia="Times New Roman" w:hAnsi="Times New Roman" w:cs="Times New Roman"/>
                <w:color w:val="000000"/>
                <w:sz w:val="22"/>
                <w:szCs w:val="22"/>
                <w:lang w:eastAsia="es-GT"/>
              </w:rPr>
            </w:pPr>
            <w:r w:rsidRPr="00A61E53">
              <w:rPr>
                <w:rFonts w:ascii="Times New Roman" w:hAnsi="Times New Roman" w:cs="Times New Roman"/>
                <w:sz w:val="22"/>
                <w:szCs w:val="22"/>
              </w:rPr>
              <w:t>16,220.1</w:t>
            </w:r>
          </w:p>
        </w:tc>
        <w:tc>
          <w:tcPr>
            <w:tcW w:w="1060" w:type="dxa"/>
            <w:tcBorders>
              <w:top w:val="nil"/>
              <w:left w:val="single" w:sz="4" w:space="0" w:color="auto"/>
              <w:bottom w:val="nil"/>
              <w:right w:val="single" w:sz="4" w:space="0" w:color="auto"/>
            </w:tcBorders>
            <w:noWrap/>
            <w:vAlign w:val="center"/>
            <w:hideMark/>
          </w:tcPr>
          <w:p w14:paraId="59157D0C" w14:textId="4A6F5B13" w:rsidR="00A61E53" w:rsidRPr="00A61E53" w:rsidRDefault="00A61E53" w:rsidP="00A61E53">
            <w:pPr>
              <w:jc w:val="center"/>
              <w:rPr>
                <w:rFonts w:ascii="Times New Roman" w:eastAsia="Times New Roman" w:hAnsi="Times New Roman" w:cs="Times New Roman"/>
                <w:color w:val="000000"/>
                <w:sz w:val="22"/>
                <w:szCs w:val="22"/>
                <w:lang w:eastAsia="es-GT"/>
              </w:rPr>
            </w:pPr>
            <w:r w:rsidRPr="00A61E53">
              <w:rPr>
                <w:rFonts w:ascii="Times New Roman" w:hAnsi="Times New Roman" w:cs="Times New Roman"/>
                <w:sz w:val="22"/>
                <w:szCs w:val="22"/>
              </w:rPr>
              <w:t>16,408.4</w:t>
            </w:r>
          </w:p>
        </w:tc>
        <w:tc>
          <w:tcPr>
            <w:tcW w:w="1140" w:type="dxa"/>
            <w:tcBorders>
              <w:top w:val="nil"/>
              <w:left w:val="nil"/>
              <w:bottom w:val="nil"/>
              <w:right w:val="nil"/>
            </w:tcBorders>
            <w:noWrap/>
            <w:vAlign w:val="center"/>
            <w:hideMark/>
          </w:tcPr>
          <w:p w14:paraId="286B1844" w14:textId="52EBD06A" w:rsidR="00A61E53" w:rsidRPr="00A61E53" w:rsidRDefault="00A61E53" w:rsidP="00A61E53">
            <w:pPr>
              <w:jc w:val="center"/>
              <w:rPr>
                <w:rFonts w:ascii="Times New Roman" w:eastAsia="Times New Roman" w:hAnsi="Times New Roman" w:cs="Times New Roman"/>
                <w:color w:val="000000"/>
                <w:sz w:val="22"/>
                <w:szCs w:val="22"/>
                <w:lang w:eastAsia="es-GT"/>
              </w:rPr>
            </w:pPr>
            <w:r w:rsidRPr="00A61E53">
              <w:rPr>
                <w:rFonts w:ascii="Times New Roman" w:hAnsi="Times New Roman" w:cs="Times New Roman"/>
                <w:sz w:val="22"/>
                <w:szCs w:val="22"/>
              </w:rPr>
              <w:t>188.3</w:t>
            </w:r>
          </w:p>
        </w:tc>
        <w:tc>
          <w:tcPr>
            <w:tcW w:w="1180" w:type="dxa"/>
            <w:tcBorders>
              <w:top w:val="nil"/>
              <w:left w:val="single" w:sz="4" w:space="0" w:color="auto"/>
              <w:bottom w:val="nil"/>
              <w:right w:val="single" w:sz="4" w:space="0" w:color="auto"/>
            </w:tcBorders>
            <w:noWrap/>
            <w:vAlign w:val="center"/>
            <w:hideMark/>
          </w:tcPr>
          <w:p w14:paraId="2F8EB98D" w14:textId="1FE8D8D0" w:rsidR="00A61E53" w:rsidRPr="00A61E53" w:rsidRDefault="00A61E53" w:rsidP="00A61E53">
            <w:pPr>
              <w:jc w:val="center"/>
              <w:rPr>
                <w:rFonts w:ascii="Times New Roman" w:eastAsia="Times New Roman" w:hAnsi="Times New Roman" w:cs="Times New Roman"/>
                <w:color w:val="000000"/>
                <w:sz w:val="22"/>
                <w:szCs w:val="22"/>
                <w:lang w:eastAsia="es-GT"/>
              </w:rPr>
            </w:pPr>
            <w:r w:rsidRPr="00A61E53">
              <w:rPr>
                <w:rFonts w:ascii="Times New Roman" w:hAnsi="Times New Roman" w:cs="Times New Roman"/>
                <w:sz w:val="22"/>
                <w:szCs w:val="22"/>
              </w:rPr>
              <w:t>1.2%</w:t>
            </w:r>
          </w:p>
        </w:tc>
      </w:tr>
      <w:tr w:rsidR="00A61E53" w:rsidRPr="004A66F0" w14:paraId="27D5F90A" w14:textId="77777777" w:rsidTr="00A61E53">
        <w:trPr>
          <w:trHeight w:val="405"/>
          <w:jc w:val="center"/>
        </w:trPr>
        <w:tc>
          <w:tcPr>
            <w:tcW w:w="2860" w:type="dxa"/>
            <w:tcBorders>
              <w:top w:val="nil"/>
              <w:left w:val="single" w:sz="4" w:space="0" w:color="auto"/>
              <w:bottom w:val="nil"/>
              <w:right w:val="single" w:sz="4" w:space="0" w:color="auto"/>
            </w:tcBorders>
            <w:noWrap/>
            <w:vAlign w:val="bottom"/>
            <w:hideMark/>
          </w:tcPr>
          <w:p w14:paraId="3E3F4822" w14:textId="77777777" w:rsidR="00A61E53" w:rsidRPr="004A66F0" w:rsidRDefault="00A61E53" w:rsidP="00A61E53">
            <w:pPr>
              <w:rPr>
                <w:rFonts w:ascii="Times New Roman" w:eastAsia="Times New Roman" w:hAnsi="Times New Roman" w:cs="Times New Roman"/>
                <w:color w:val="000000"/>
                <w:sz w:val="22"/>
                <w:szCs w:val="22"/>
                <w:lang w:eastAsia="es-GT"/>
              </w:rPr>
            </w:pPr>
            <w:r w:rsidRPr="004A66F0">
              <w:rPr>
                <w:rFonts w:ascii="Times New Roman" w:eastAsia="Times New Roman" w:hAnsi="Times New Roman" w:cs="Times New Roman"/>
                <w:color w:val="000000"/>
                <w:sz w:val="22"/>
                <w:szCs w:val="22"/>
                <w:lang w:eastAsia="es-GT"/>
              </w:rPr>
              <w:t>Educación, Ciencia y Cultura</w:t>
            </w:r>
          </w:p>
        </w:tc>
        <w:tc>
          <w:tcPr>
            <w:tcW w:w="1280" w:type="dxa"/>
            <w:tcBorders>
              <w:top w:val="nil"/>
              <w:left w:val="nil"/>
              <w:bottom w:val="nil"/>
              <w:right w:val="nil"/>
            </w:tcBorders>
            <w:noWrap/>
            <w:vAlign w:val="center"/>
            <w:hideMark/>
          </w:tcPr>
          <w:p w14:paraId="1CBF07FC" w14:textId="1B02E511" w:rsidR="00A61E53" w:rsidRPr="00A61E53" w:rsidRDefault="00A61E53" w:rsidP="00A61E53">
            <w:pPr>
              <w:jc w:val="center"/>
              <w:rPr>
                <w:rFonts w:ascii="Times New Roman" w:eastAsia="Times New Roman" w:hAnsi="Times New Roman" w:cs="Times New Roman"/>
                <w:color w:val="000000"/>
                <w:sz w:val="22"/>
                <w:szCs w:val="22"/>
                <w:lang w:eastAsia="es-GT"/>
              </w:rPr>
            </w:pPr>
            <w:r w:rsidRPr="00A61E53">
              <w:rPr>
                <w:rFonts w:ascii="Times New Roman" w:hAnsi="Times New Roman" w:cs="Times New Roman"/>
                <w:sz w:val="22"/>
                <w:szCs w:val="22"/>
              </w:rPr>
              <w:t>24,794.4</w:t>
            </w:r>
          </w:p>
        </w:tc>
        <w:tc>
          <w:tcPr>
            <w:tcW w:w="1060" w:type="dxa"/>
            <w:tcBorders>
              <w:top w:val="nil"/>
              <w:left w:val="single" w:sz="4" w:space="0" w:color="auto"/>
              <w:bottom w:val="nil"/>
              <w:right w:val="single" w:sz="4" w:space="0" w:color="auto"/>
            </w:tcBorders>
            <w:noWrap/>
            <w:vAlign w:val="center"/>
            <w:hideMark/>
          </w:tcPr>
          <w:p w14:paraId="67A21AE6" w14:textId="66384A26" w:rsidR="00A61E53" w:rsidRPr="00A61E53" w:rsidRDefault="00A61E53" w:rsidP="00A61E53">
            <w:pPr>
              <w:jc w:val="center"/>
              <w:rPr>
                <w:rFonts w:ascii="Times New Roman" w:eastAsia="Times New Roman" w:hAnsi="Times New Roman" w:cs="Times New Roman"/>
                <w:color w:val="000000"/>
                <w:sz w:val="22"/>
                <w:szCs w:val="22"/>
                <w:lang w:eastAsia="es-GT"/>
              </w:rPr>
            </w:pPr>
            <w:r w:rsidRPr="00A61E53">
              <w:rPr>
                <w:rFonts w:ascii="Times New Roman" w:hAnsi="Times New Roman" w:cs="Times New Roman"/>
                <w:sz w:val="22"/>
                <w:szCs w:val="22"/>
              </w:rPr>
              <w:t>27,744.5</w:t>
            </w:r>
          </w:p>
        </w:tc>
        <w:tc>
          <w:tcPr>
            <w:tcW w:w="1140" w:type="dxa"/>
            <w:tcBorders>
              <w:top w:val="nil"/>
              <w:left w:val="nil"/>
              <w:bottom w:val="nil"/>
              <w:right w:val="nil"/>
            </w:tcBorders>
            <w:noWrap/>
            <w:vAlign w:val="center"/>
            <w:hideMark/>
          </w:tcPr>
          <w:p w14:paraId="50EEC6EA" w14:textId="3B2C8406" w:rsidR="00A61E53" w:rsidRPr="00A61E53" w:rsidRDefault="00A61E53" w:rsidP="00A61E53">
            <w:pPr>
              <w:jc w:val="center"/>
              <w:rPr>
                <w:rFonts w:ascii="Times New Roman" w:eastAsia="Times New Roman" w:hAnsi="Times New Roman" w:cs="Times New Roman"/>
                <w:color w:val="000000"/>
                <w:sz w:val="22"/>
                <w:szCs w:val="22"/>
                <w:lang w:eastAsia="es-GT"/>
              </w:rPr>
            </w:pPr>
            <w:r w:rsidRPr="00A61E53">
              <w:rPr>
                <w:rFonts w:ascii="Times New Roman" w:hAnsi="Times New Roman" w:cs="Times New Roman"/>
                <w:sz w:val="22"/>
                <w:szCs w:val="22"/>
              </w:rPr>
              <w:t>2,950.1</w:t>
            </w:r>
          </w:p>
        </w:tc>
        <w:tc>
          <w:tcPr>
            <w:tcW w:w="1180" w:type="dxa"/>
            <w:tcBorders>
              <w:top w:val="nil"/>
              <w:left w:val="single" w:sz="4" w:space="0" w:color="auto"/>
              <w:bottom w:val="nil"/>
              <w:right w:val="single" w:sz="4" w:space="0" w:color="auto"/>
            </w:tcBorders>
            <w:noWrap/>
            <w:vAlign w:val="center"/>
            <w:hideMark/>
          </w:tcPr>
          <w:p w14:paraId="7351E548" w14:textId="487B3AEB" w:rsidR="00A61E53" w:rsidRPr="00A61E53" w:rsidRDefault="00A61E53" w:rsidP="00A61E53">
            <w:pPr>
              <w:jc w:val="center"/>
              <w:rPr>
                <w:rFonts w:ascii="Times New Roman" w:eastAsia="Times New Roman" w:hAnsi="Times New Roman" w:cs="Times New Roman"/>
                <w:color w:val="000000"/>
                <w:sz w:val="22"/>
                <w:szCs w:val="22"/>
                <w:lang w:eastAsia="es-GT"/>
              </w:rPr>
            </w:pPr>
            <w:r w:rsidRPr="00A61E53">
              <w:rPr>
                <w:rFonts w:ascii="Times New Roman" w:hAnsi="Times New Roman" w:cs="Times New Roman"/>
                <w:sz w:val="22"/>
                <w:szCs w:val="22"/>
              </w:rPr>
              <w:t>11.9%</w:t>
            </w:r>
          </w:p>
        </w:tc>
      </w:tr>
      <w:tr w:rsidR="00A61E53" w:rsidRPr="004A66F0" w14:paraId="6B3C0F71" w14:textId="77777777" w:rsidTr="00A61E53">
        <w:trPr>
          <w:trHeight w:val="405"/>
          <w:jc w:val="center"/>
        </w:trPr>
        <w:tc>
          <w:tcPr>
            <w:tcW w:w="2860" w:type="dxa"/>
            <w:tcBorders>
              <w:top w:val="nil"/>
              <w:left w:val="single" w:sz="4" w:space="0" w:color="auto"/>
              <w:bottom w:val="nil"/>
              <w:right w:val="single" w:sz="4" w:space="0" w:color="auto"/>
            </w:tcBorders>
            <w:noWrap/>
            <w:vAlign w:val="bottom"/>
            <w:hideMark/>
          </w:tcPr>
          <w:p w14:paraId="56BFAE1A" w14:textId="77777777" w:rsidR="00A61E53" w:rsidRPr="004A66F0" w:rsidRDefault="00A61E53" w:rsidP="00A61E53">
            <w:pPr>
              <w:rPr>
                <w:rFonts w:ascii="Times New Roman" w:eastAsia="Times New Roman" w:hAnsi="Times New Roman" w:cs="Times New Roman"/>
                <w:color w:val="000000"/>
                <w:sz w:val="22"/>
                <w:szCs w:val="22"/>
                <w:lang w:eastAsia="es-GT"/>
              </w:rPr>
            </w:pPr>
            <w:r w:rsidRPr="004A66F0">
              <w:rPr>
                <w:rFonts w:ascii="Times New Roman" w:eastAsia="Times New Roman" w:hAnsi="Times New Roman" w:cs="Times New Roman"/>
                <w:color w:val="000000"/>
                <w:sz w:val="22"/>
                <w:szCs w:val="22"/>
                <w:lang w:eastAsia="es-GT"/>
              </w:rPr>
              <w:t>Vivienda</w:t>
            </w:r>
          </w:p>
        </w:tc>
        <w:tc>
          <w:tcPr>
            <w:tcW w:w="1280" w:type="dxa"/>
            <w:tcBorders>
              <w:top w:val="nil"/>
              <w:left w:val="nil"/>
              <w:bottom w:val="nil"/>
              <w:right w:val="nil"/>
            </w:tcBorders>
            <w:noWrap/>
            <w:vAlign w:val="center"/>
            <w:hideMark/>
          </w:tcPr>
          <w:p w14:paraId="12870180" w14:textId="49837F2E" w:rsidR="00A61E53" w:rsidRPr="00A61E53" w:rsidRDefault="00A61E53" w:rsidP="00A61E53">
            <w:pPr>
              <w:jc w:val="center"/>
              <w:rPr>
                <w:rFonts w:ascii="Times New Roman" w:eastAsia="Times New Roman" w:hAnsi="Times New Roman" w:cs="Times New Roman"/>
                <w:color w:val="000000"/>
                <w:sz w:val="22"/>
                <w:szCs w:val="22"/>
                <w:lang w:eastAsia="es-GT"/>
              </w:rPr>
            </w:pPr>
            <w:r w:rsidRPr="00A61E53">
              <w:rPr>
                <w:rFonts w:ascii="Times New Roman" w:hAnsi="Times New Roman" w:cs="Times New Roman"/>
                <w:sz w:val="22"/>
                <w:szCs w:val="22"/>
              </w:rPr>
              <w:t>318.6</w:t>
            </w:r>
          </w:p>
        </w:tc>
        <w:tc>
          <w:tcPr>
            <w:tcW w:w="1060" w:type="dxa"/>
            <w:tcBorders>
              <w:top w:val="nil"/>
              <w:left w:val="single" w:sz="4" w:space="0" w:color="auto"/>
              <w:bottom w:val="nil"/>
              <w:right w:val="single" w:sz="4" w:space="0" w:color="auto"/>
            </w:tcBorders>
            <w:noWrap/>
            <w:vAlign w:val="center"/>
            <w:hideMark/>
          </w:tcPr>
          <w:p w14:paraId="60514E1C" w14:textId="70524F8F" w:rsidR="00A61E53" w:rsidRPr="00A61E53" w:rsidRDefault="00A61E53" w:rsidP="00A61E53">
            <w:pPr>
              <w:jc w:val="center"/>
              <w:rPr>
                <w:rFonts w:ascii="Times New Roman" w:eastAsia="Times New Roman" w:hAnsi="Times New Roman" w:cs="Times New Roman"/>
                <w:color w:val="000000"/>
                <w:sz w:val="22"/>
                <w:szCs w:val="22"/>
                <w:lang w:eastAsia="es-GT"/>
              </w:rPr>
            </w:pPr>
            <w:r w:rsidRPr="00A61E53">
              <w:rPr>
                <w:rFonts w:ascii="Times New Roman" w:hAnsi="Times New Roman" w:cs="Times New Roman"/>
                <w:sz w:val="22"/>
                <w:szCs w:val="22"/>
              </w:rPr>
              <w:t>602.2</w:t>
            </w:r>
          </w:p>
        </w:tc>
        <w:tc>
          <w:tcPr>
            <w:tcW w:w="1140" w:type="dxa"/>
            <w:tcBorders>
              <w:top w:val="nil"/>
              <w:left w:val="nil"/>
              <w:bottom w:val="nil"/>
              <w:right w:val="nil"/>
            </w:tcBorders>
            <w:noWrap/>
            <w:vAlign w:val="center"/>
            <w:hideMark/>
          </w:tcPr>
          <w:p w14:paraId="2A2E745F" w14:textId="799F1E1E" w:rsidR="00A61E53" w:rsidRPr="00A61E53" w:rsidRDefault="00A61E53" w:rsidP="00A61E53">
            <w:pPr>
              <w:jc w:val="center"/>
              <w:rPr>
                <w:rFonts w:ascii="Times New Roman" w:eastAsia="Times New Roman" w:hAnsi="Times New Roman" w:cs="Times New Roman"/>
                <w:color w:val="000000"/>
                <w:sz w:val="22"/>
                <w:szCs w:val="22"/>
                <w:lang w:eastAsia="es-GT"/>
              </w:rPr>
            </w:pPr>
            <w:r w:rsidRPr="00A61E53">
              <w:rPr>
                <w:rFonts w:ascii="Times New Roman" w:hAnsi="Times New Roman" w:cs="Times New Roman"/>
                <w:sz w:val="22"/>
                <w:szCs w:val="22"/>
              </w:rPr>
              <w:t>283.6</w:t>
            </w:r>
          </w:p>
        </w:tc>
        <w:tc>
          <w:tcPr>
            <w:tcW w:w="1180" w:type="dxa"/>
            <w:tcBorders>
              <w:top w:val="nil"/>
              <w:left w:val="single" w:sz="4" w:space="0" w:color="auto"/>
              <w:bottom w:val="nil"/>
              <w:right w:val="single" w:sz="4" w:space="0" w:color="auto"/>
            </w:tcBorders>
            <w:noWrap/>
            <w:vAlign w:val="center"/>
            <w:hideMark/>
          </w:tcPr>
          <w:p w14:paraId="53331F13" w14:textId="61941130" w:rsidR="00A61E53" w:rsidRPr="00A61E53" w:rsidRDefault="00A61E53" w:rsidP="00A61E53">
            <w:pPr>
              <w:jc w:val="center"/>
              <w:rPr>
                <w:rFonts w:ascii="Times New Roman" w:eastAsia="Times New Roman" w:hAnsi="Times New Roman" w:cs="Times New Roman"/>
                <w:color w:val="000000"/>
                <w:sz w:val="22"/>
                <w:szCs w:val="22"/>
                <w:lang w:eastAsia="es-GT"/>
              </w:rPr>
            </w:pPr>
            <w:r w:rsidRPr="00A61E53">
              <w:rPr>
                <w:rFonts w:ascii="Times New Roman" w:hAnsi="Times New Roman" w:cs="Times New Roman"/>
                <w:sz w:val="22"/>
                <w:szCs w:val="22"/>
              </w:rPr>
              <w:t>89.0%</w:t>
            </w:r>
          </w:p>
        </w:tc>
      </w:tr>
      <w:tr w:rsidR="00A61E53" w:rsidRPr="004A66F0" w14:paraId="62C9045A" w14:textId="77777777" w:rsidTr="00A61E53">
        <w:trPr>
          <w:trHeight w:val="405"/>
          <w:jc w:val="center"/>
        </w:trPr>
        <w:tc>
          <w:tcPr>
            <w:tcW w:w="286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7A293F55" w14:textId="77777777" w:rsidR="00A61E53" w:rsidRPr="004A66F0" w:rsidRDefault="00A61E53" w:rsidP="00A61E53">
            <w:pPr>
              <w:jc w:val="center"/>
              <w:rPr>
                <w:rFonts w:ascii="Times New Roman" w:eastAsia="Times New Roman" w:hAnsi="Times New Roman" w:cs="Times New Roman"/>
                <w:color w:val="000000"/>
                <w:sz w:val="22"/>
                <w:szCs w:val="22"/>
                <w:lang w:eastAsia="es-GT"/>
              </w:rPr>
            </w:pPr>
            <w:r w:rsidRPr="004A66F0">
              <w:rPr>
                <w:rFonts w:ascii="Times New Roman" w:eastAsia="Times New Roman" w:hAnsi="Times New Roman" w:cs="Times New Roman"/>
                <w:color w:val="000000"/>
                <w:sz w:val="22"/>
                <w:szCs w:val="22"/>
                <w:lang w:eastAsia="es-GT"/>
              </w:rPr>
              <w:t>Sub total Gasto Social</w:t>
            </w:r>
          </w:p>
        </w:tc>
        <w:tc>
          <w:tcPr>
            <w:tcW w:w="1280" w:type="dxa"/>
            <w:tcBorders>
              <w:top w:val="single" w:sz="4" w:space="0" w:color="auto"/>
              <w:left w:val="nil"/>
              <w:bottom w:val="single" w:sz="4" w:space="0" w:color="auto"/>
              <w:right w:val="nil"/>
            </w:tcBorders>
            <w:shd w:val="clear" w:color="000000" w:fill="D9E1F2"/>
            <w:noWrap/>
            <w:vAlign w:val="center"/>
            <w:hideMark/>
          </w:tcPr>
          <w:p w14:paraId="1B6FA5A1" w14:textId="0C33BAE7" w:rsidR="00A61E53" w:rsidRPr="00A61E53" w:rsidRDefault="00A61E53" w:rsidP="00A61E53">
            <w:pPr>
              <w:jc w:val="center"/>
              <w:rPr>
                <w:rFonts w:ascii="Times New Roman" w:eastAsia="Times New Roman" w:hAnsi="Times New Roman" w:cs="Times New Roman"/>
                <w:color w:val="000000"/>
                <w:sz w:val="22"/>
                <w:szCs w:val="22"/>
                <w:lang w:eastAsia="es-GT"/>
              </w:rPr>
            </w:pPr>
            <w:r w:rsidRPr="00A61E53">
              <w:rPr>
                <w:rFonts w:ascii="Times New Roman" w:hAnsi="Times New Roman" w:cs="Times New Roman"/>
                <w:sz w:val="22"/>
                <w:szCs w:val="22"/>
              </w:rPr>
              <w:t>41,333.1</w:t>
            </w:r>
          </w:p>
        </w:tc>
        <w:tc>
          <w:tcPr>
            <w:tcW w:w="106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2531CDCF" w14:textId="0C2D4C46" w:rsidR="00A61E53" w:rsidRPr="00A61E53" w:rsidRDefault="00A61E53" w:rsidP="00A61E53">
            <w:pPr>
              <w:jc w:val="center"/>
              <w:rPr>
                <w:rFonts w:ascii="Times New Roman" w:eastAsia="Times New Roman" w:hAnsi="Times New Roman" w:cs="Times New Roman"/>
                <w:color w:val="000000"/>
                <w:sz w:val="22"/>
                <w:szCs w:val="22"/>
                <w:lang w:eastAsia="es-GT"/>
              </w:rPr>
            </w:pPr>
            <w:r w:rsidRPr="00A61E53">
              <w:rPr>
                <w:rFonts w:ascii="Times New Roman" w:hAnsi="Times New Roman" w:cs="Times New Roman"/>
                <w:sz w:val="22"/>
                <w:szCs w:val="22"/>
              </w:rPr>
              <w:t>44,755.1</w:t>
            </w:r>
          </w:p>
        </w:tc>
        <w:tc>
          <w:tcPr>
            <w:tcW w:w="1140" w:type="dxa"/>
            <w:tcBorders>
              <w:top w:val="single" w:sz="4" w:space="0" w:color="auto"/>
              <w:left w:val="nil"/>
              <w:bottom w:val="single" w:sz="4" w:space="0" w:color="auto"/>
              <w:right w:val="nil"/>
            </w:tcBorders>
            <w:shd w:val="clear" w:color="000000" w:fill="D9E1F2"/>
            <w:noWrap/>
            <w:vAlign w:val="center"/>
            <w:hideMark/>
          </w:tcPr>
          <w:p w14:paraId="02B13A25" w14:textId="16EA6328" w:rsidR="00A61E53" w:rsidRPr="00A61E53" w:rsidRDefault="00A61E53" w:rsidP="00A61E53">
            <w:pPr>
              <w:jc w:val="center"/>
              <w:rPr>
                <w:rFonts w:ascii="Times New Roman" w:eastAsia="Times New Roman" w:hAnsi="Times New Roman" w:cs="Times New Roman"/>
                <w:color w:val="000000"/>
                <w:sz w:val="22"/>
                <w:szCs w:val="22"/>
                <w:lang w:eastAsia="es-GT"/>
              </w:rPr>
            </w:pPr>
            <w:r w:rsidRPr="00A61E53">
              <w:rPr>
                <w:rFonts w:ascii="Times New Roman" w:hAnsi="Times New Roman" w:cs="Times New Roman"/>
                <w:sz w:val="22"/>
                <w:szCs w:val="22"/>
              </w:rPr>
              <w:t>3,422.0</w:t>
            </w:r>
          </w:p>
        </w:tc>
        <w:tc>
          <w:tcPr>
            <w:tcW w:w="118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64105CE7" w14:textId="1EF7D12A" w:rsidR="00A61E53" w:rsidRPr="00A61E53" w:rsidRDefault="00A61E53" w:rsidP="00A61E53">
            <w:pPr>
              <w:jc w:val="center"/>
              <w:rPr>
                <w:rFonts w:ascii="Times New Roman" w:eastAsia="Times New Roman" w:hAnsi="Times New Roman" w:cs="Times New Roman"/>
                <w:color w:val="000000"/>
                <w:sz w:val="22"/>
                <w:szCs w:val="22"/>
                <w:lang w:eastAsia="es-GT"/>
              </w:rPr>
            </w:pPr>
            <w:r w:rsidRPr="00A61E53">
              <w:rPr>
                <w:rFonts w:ascii="Times New Roman" w:hAnsi="Times New Roman" w:cs="Times New Roman"/>
                <w:sz w:val="22"/>
                <w:szCs w:val="22"/>
              </w:rPr>
              <w:t>8.3%</w:t>
            </w:r>
          </w:p>
        </w:tc>
      </w:tr>
      <w:tr w:rsidR="00A61E53" w:rsidRPr="004A66F0" w14:paraId="6D2DA5A8" w14:textId="77777777" w:rsidTr="00A61E53">
        <w:trPr>
          <w:trHeight w:val="405"/>
          <w:jc w:val="center"/>
        </w:trPr>
        <w:tc>
          <w:tcPr>
            <w:tcW w:w="2860" w:type="dxa"/>
            <w:tcBorders>
              <w:top w:val="nil"/>
              <w:left w:val="single" w:sz="4" w:space="0" w:color="auto"/>
              <w:bottom w:val="nil"/>
              <w:right w:val="single" w:sz="4" w:space="0" w:color="auto"/>
            </w:tcBorders>
            <w:noWrap/>
            <w:vAlign w:val="bottom"/>
            <w:hideMark/>
          </w:tcPr>
          <w:p w14:paraId="54B8D9E5" w14:textId="77777777" w:rsidR="00A61E53" w:rsidRPr="004A66F0" w:rsidRDefault="00A61E53" w:rsidP="00A61E53">
            <w:pPr>
              <w:rPr>
                <w:rFonts w:ascii="Times New Roman" w:eastAsia="Times New Roman" w:hAnsi="Times New Roman" w:cs="Times New Roman"/>
                <w:color w:val="000000"/>
                <w:sz w:val="22"/>
                <w:szCs w:val="22"/>
                <w:lang w:eastAsia="es-GT"/>
              </w:rPr>
            </w:pPr>
            <w:r w:rsidRPr="004A66F0">
              <w:rPr>
                <w:rFonts w:ascii="Times New Roman" w:eastAsia="Times New Roman" w:hAnsi="Times New Roman" w:cs="Times New Roman"/>
                <w:color w:val="000000"/>
                <w:sz w:val="22"/>
                <w:szCs w:val="22"/>
                <w:lang w:eastAsia="es-GT"/>
              </w:rPr>
              <w:t>Seguridad Interna</w:t>
            </w:r>
          </w:p>
        </w:tc>
        <w:tc>
          <w:tcPr>
            <w:tcW w:w="1280" w:type="dxa"/>
            <w:tcBorders>
              <w:top w:val="nil"/>
              <w:left w:val="nil"/>
              <w:bottom w:val="nil"/>
              <w:right w:val="nil"/>
            </w:tcBorders>
            <w:noWrap/>
            <w:vAlign w:val="center"/>
            <w:hideMark/>
          </w:tcPr>
          <w:p w14:paraId="528C00EE" w14:textId="7C7A453A" w:rsidR="00A61E53" w:rsidRPr="00A61E53" w:rsidRDefault="00A61E53" w:rsidP="00A61E53">
            <w:pPr>
              <w:jc w:val="center"/>
              <w:rPr>
                <w:rFonts w:ascii="Times New Roman" w:eastAsia="Times New Roman" w:hAnsi="Times New Roman" w:cs="Times New Roman"/>
                <w:color w:val="000000"/>
                <w:sz w:val="22"/>
                <w:szCs w:val="22"/>
                <w:lang w:eastAsia="es-GT"/>
              </w:rPr>
            </w:pPr>
            <w:r w:rsidRPr="00A61E53">
              <w:rPr>
                <w:rFonts w:ascii="Times New Roman" w:hAnsi="Times New Roman" w:cs="Times New Roman"/>
                <w:sz w:val="22"/>
                <w:szCs w:val="22"/>
              </w:rPr>
              <w:t>6,013.7</w:t>
            </w:r>
          </w:p>
        </w:tc>
        <w:tc>
          <w:tcPr>
            <w:tcW w:w="1060" w:type="dxa"/>
            <w:tcBorders>
              <w:top w:val="nil"/>
              <w:left w:val="single" w:sz="4" w:space="0" w:color="auto"/>
              <w:bottom w:val="nil"/>
              <w:right w:val="single" w:sz="4" w:space="0" w:color="auto"/>
            </w:tcBorders>
            <w:noWrap/>
            <w:vAlign w:val="center"/>
            <w:hideMark/>
          </w:tcPr>
          <w:p w14:paraId="600C8306" w14:textId="2466BDAB" w:rsidR="00A61E53" w:rsidRPr="00A61E53" w:rsidRDefault="00A61E53" w:rsidP="00A61E53">
            <w:pPr>
              <w:jc w:val="center"/>
              <w:rPr>
                <w:rFonts w:ascii="Times New Roman" w:eastAsia="Times New Roman" w:hAnsi="Times New Roman" w:cs="Times New Roman"/>
                <w:color w:val="000000"/>
                <w:sz w:val="22"/>
                <w:szCs w:val="22"/>
                <w:lang w:eastAsia="es-GT"/>
              </w:rPr>
            </w:pPr>
            <w:r w:rsidRPr="00A61E53">
              <w:rPr>
                <w:rFonts w:ascii="Times New Roman" w:hAnsi="Times New Roman" w:cs="Times New Roman"/>
                <w:sz w:val="22"/>
                <w:szCs w:val="22"/>
              </w:rPr>
              <w:t>6,877.1</w:t>
            </w:r>
          </w:p>
        </w:tc>
        <w:tc>
          <w:tcPr>
            <w:tcW w:w="1140" w:type="dxa"/>
            <w:tcBorders>
              <w:top w:val="nil"/>
              <w:left w:val="nil"/>
              <w:bottom w:val="nil"/>
              <w:right w:val="nil"/>
            </w:tcBorders>
            <w:noWrap/>
            <w:vAlign w:val="center"/>
            <w:hideMark/>
          </w:tcPr>
          <w:p w14:paraId="5B0B71D7" w14:textId="19FCC69A" w:rsidR="00A61E53" w:rsidRPr="00A61E53" w:rsidRDefault="00A61E53" w:rsidP="00A61E53">
            <w:pPr>
              <w:jc w:val="center"/>
              <w:rPr>
                <w:rFonts w:ascii="Times New Roman" w:eastAsia="Times New Roman" w:hAnsi="Times New Roman" w:cs="Times New Roman"/>
                <w:color w:val="000000"/>
                <w:sz w:val="22"/>
                <w:szCs w:val="22"/>
                <w:lang w:eastAsia="es-GT"/>
              </w:rPr>
            </w:pPr>
            <w:r w:rsidRPr="00A61E53">
              <w:rPr>
                <w:rFonts w:ascii="Times New Roman" w:hAnsi="Times New Roman" w:cs="Times New Roman"/>
                <w:sz w:val="22"/>
                <w:szCs w:val="22"/>
              </w:rPr>
              <w:t>863.5</w:t>
            </w:r>
          </w:p>
        </w:tc>
        <w:tc>
          <w:tcPr>
            <w:tcW w:w="1180" w:type="dxa"/>
            <w:tcBorders>
              <w:top w:val="nil"/>
              <w:left w:val="single" w:sz="4" w:space="0" w:color="auto"/>
              <w:bottom w:val="nil"/>
              <w:right w:val="single" w:sz="4" w:space="0" w:color="auto"/>
            </w:tcBorders>
            <w:noWrap/>
            <w:vAlign w:val="center"/>
            <w:hideMark/>
          </w:tcPr>
          <w:p w14:paraId="611B3E30" w14:textId="06FDF9E4" w:rsidR="00A61E53" w:rsidRPr="00A61E53" w:rsidRDefault="00A61E53" w:rsidP="00A61E53">
            <w:pPr>
              <w:jc w:val="center"/>
              <w:rPr>
                <w:rFonts w:ascii="Times New Roman" w:eastAsia="Times New Roman" w:hAnsi="Times New Roman" w:cs="Times New Roman"/>
                <w:color w:val="000000"/>
                <w:sz w:val="22"/>
                <w:szCs w:val="22"/>
                <w:lang w:eastAsia="es-GT"/>
              </w:rPr>
            </w:pPr>
            <w:r w:rsidRPr="00A61E53">
              <w:rPr>
                <w:rFonts w:ascii="Times New Roman" w:hAnsi="Times New Roman" w:cs="Times New Roman"/>
                <w:sz w:val="22"/>
                <w:szCs w:val="22"/>
              </w:rPr>
              <w:t>14.4%</w:t>
            </w:r>
          </w:p>
        </w:tc>
      </w:tr>
      <w:tr w:rsidR="00A61E53" w:rsidRPr="004A66F0" w14:paraId="3C80C0EE" w14:textId="77777777" w:rsidTr="00A61E53">
        <w:trPr>
          <w:trHeight w:val="405"/>
          <w:jc w:val="center"/>
        </w:trPr>
        <w:tc>
          <w:tcPr>
            <w:tcW w:w="2860" w:type="dxa"/>
            <w:tcBorders>
              <w:top w:val="nil"/>
              <w:left w:val="single" w:sz="4" w:space="0" w:color="auto"/>
              <w:bottom w:val="nil"/>
              <w:right w:val="single" w:sz="4" w:space="0" w:color="auto"/>
            </w:tcBorders>
            <w:noWrap/>
            <w:vAlign w:val="bottom"/>
            <w:hideMark/>
          </w:tcPr>
          <w:p w14:paraId="0B38FF4B" w14:textId="77777777" w:rsidR="00A61E53" w:rsidRPr="004A66F0" w:rsidRDefault="00A61E53" w:rsidP="00A61E53">
            <w:pPr>
              <w:rPr>
                <w:rFonts w:ascii="Times New Roman" w:eastAsia="Times New Roman" w:hAnsi="Times New Roman" w:cs="Times New Roman"/>
                <w:color w:val="000000"/>
                <w:sz w:val="22"/>
                <w:szCs w:val="22"/>
                <w:lang w:eastAsia="es-GT"/>
              </w:rPr>
            </w:pPr>
            <w:r w:rsidRPr="004A66F0">
              <w:rPr>
                <w:rFonts w:ascii="Times New Roman" w:eastAsia="Times New Roman" w:hAnsi="Times New Roman" w:cs="Times New Roman"/>
                <w:color w:val="000000"/>
                <w:sz w:val="22"/>
                <w:szCs w:val="22"/>
                <w:lang w:eastAsia="es-GT"/>
              </w:rPr>
              <w:t>Organismo Judicial y CC</w:t>
            </w:r>
          </w:p>
        </w:tc>
        <w:tc>
          <w:tcPr>
            <w:tcW w:w="1280" w:type="dxa"/>
            <w:tcBorders>
              <w:top w:val="nil"/>
              <w:left w:val="nil"/>
              <w:bottom w:val="nil"/>
              <w:right w:val="nil"/>
            </w:tcBorders>
            <w:noWrap/>
            <w:vAlign w:val="center"/>
            <w:hideMark/>
          </w:tcPr>
          <w:p w14:paraId="24A68B08" w14:textId="37339348" w:rsidR="00A61E53" w:rsidRPr="00A61E53" w:rsidRDefault="00A61E53" w:rsidP="00A61E53">
            <w:pPr>
              <w:jc w:val="center"/>
              <w:rPr>
                <w:rFonts w:ascii="Times New Roman" w:eastAsia="Times New Roman" w:hAnsi="Times New Roman" w:cs="Times New Roman"/>
                <w:color w:val="000000"/>
                <w:sz w:val="22"/>
                <w:szCs w:val="22"/>
                <w:lang w:eastAsia="es-GT"/>
              </w:rPr>
            </w:pPr>
            <w:r w:rsidRPr="00A61E53">
              <w:rPr>
                <w:rFonts w:ascii="Times New Roman" w:hAnsi="Times New Roman" w:cs="Times New Roman"/>
                <w:sz w:val="22"/>
                <w:szCs w:val="22"/>
              </w:rPr>
              <w:t>2,736.1</w:t>
            </w:r>
          </w:p>
        </w:tc>
        <w:tc>
          <w:tcPr>
            <w:tcW w:w="1060" w:type="dxa"/>
            <w:tcBorders>
              <w:top w:val="nil"/>
              <w:left w:val="single" w:sz="4" w:space="0" w:color="auto"/>
              <w:bottom w:val="nil"/>
              <w:right w:val="single" w:sz="4" w:space="0" w:color="auto"/>
            </w:tcBorders>
            <w:noWrap/>
            <w:vAlign w:val="center"/>
            <w:hideMark/>
          </w:tcPr>
          <w:p w14:paraId="243080E2" w14:textId="0CAA6E31" w:rsidR="00A61E53" w:rsidRPr="00A61E53" w:rsidRDefault="00A61E53" w:rsidP="00A61E53">
            <w:pPr>
              <w:jc w:val="center"/>
              <w:rPr>
                <w:rFonts w:ascii="Times New Roman" w:eastAsia="Times New Roman" w:hAnsi="Times New Roman" w:cs="Times New Roman"/>
                <w:color w:val="000000"/>
                <w:sz w:val="22"/>
                <w:szCs w:val="22"/>
                <w:lang w:eastAsia="es-GT"/>
              </w:rPr>
            </w:pPr>
            <w:r w:rsidRPr="00A61E53">
              <w:rPr>
                <w:rFonts w:ascii="Times New Roman" w:hAnsi="Times New Roman" w:cs="Times New Roman"/>
                <w:sz w:val="22"/>
                <w:szCs w:val="22"/>
              </w:rPr>
              <w:t>3,207.8</w:t>
            </w:r>
          </w:p>
        </w:tc>
        <w:tc>
          <w:tcPr>
            <w:tcW w:w="1140" w:type="dxa"/>
            <w:tcBorders>
              <w:top w:val="nil"/>
              <w:left w:val="nil"/>
              <w:bottom w:val="nil"/>
              <w:right w:val="nil"/>
            </w:tcBorders>
            <w:noWrap/>
            <w:vAlign w:val="center"/>
            <w:hideMark/>
          </w:tcPr>
          <w:p w14:paraId="73CD22CF" w14:textId="433E447F" w:rsidR="00A61E53" w:rsidRPr="00A61E53" w:rsidRDefault="00A61E53" w:rsidP="00A61E53">
            <w:pPr>
              <w:jc w:val="center"/>
              <w:rPr>
                <w:rFonts w:ascii="Times New Roman" w:eastAsia="Times New Roman" w:hAnsi="Times New Roman" w:cs="Times New Roman"/>
                <w:color w:val="000000"/>
                <w:sz w:val="22"/>
                <w:szCs w:val="22"/>
                <w:lang w:eastAsia="es-GT"/>
              </w:rPr>
            </w:pPr>
            <w:r w:rsidRPr="00A61E53">
              <w:rPr>
                <w:rFonts w:ascii="Times New Roman" w:hAnsi="Times New Roman" w:cs="Times New Roman"/>
                <w:sz w:val="22"/>
                <w:szCs w:val="22"/>
              </w:rPr>
              <w:t>471.7</w:t>
            </w:r>
          </w:p>
        </w:tc>
        <w:tc>
          <w:tcPr>
            <w:tcW w:w="1180" w:type="dxa"/>
            <w:tcBorders>
              <w:top w:val="nil"/>
              <w:left w:val="single" w:sz="4" w:space="0" w:color="auto"/>
              <w:bottom w:val="nil"/>
              <w:right w:val="single" w:sz="4" w:space="0" w:color="auto"/>
            </w:tcBorders>
            <w:noWrap/>
            <w:vAlign w:val="center"/>
            <w:hideMark/>
          </w:tcPr>
          <w:p w14:paraId="1FBD4EB2" w14:textId="337D9B5A" w:rsidR="00A61E53" w:rsidRPr="00A61E53" w:rsidRDefault="00A61E53" w:rsidP="00A61E53">
            <w:pPr>
              <w:jc w:val="center"/>
              <w:rPr>
                <w:rFonts w:ascii="Times New Roman" w:eastAsia="Times New Roman" w:hAnsi="Times New Roman" w:cs="Times New Roman"/>
                <w:color w:val="000000"/>
                <w:sz w:val="22"/>
                <w:szCs w:val="22"/>
                <w:lang w:eastAsia="es-GT"/>
              </w:rPr>
            </w:pPr>
            <w:r w:rsidRPr="00A61E53">
              <w:rPr>
                <w:rFonts w:ascii="Times New Roman" w:hAnsi="Times New Roman" w:cs="Times New Roman"/>
                <w:sz w:val="22"/>
                <w:szCs w:val="22"/>
              </w:rPr>
              <w:t>17.2%</w:t>
            </w:r>
          </w:p>
        </w:tc>
      </w:tr>
      <w:tr w:rsidR="00A61E53" w:rsidRPr="004A66F0" w14:paraId="34C22801" w14:textId="77777777" w:rsidTr="00A61E53">
        <w:trPr>
          <w:trHeight w:val="405"/>
          <w:jc w:val="center"/>
        </w:trPr>
        <w:tc>
          <w:tcPr>
            <w:tcW w:w="2860" w:type="dxa"/>
            <w:tcBorders>
              <w:top w:val="nil"/>
              <w:left w:val="single" w:sz="4" w:space="0" w:color="auto"/>
              <w:bottom w:val="nil"/>
              <w:right w:val="single" w:sz="4" w:space="0" w:color="auto"/>
            </w:tcBorders>
            <w:noWrap/>
            <w:vAlign w:val="bottom"/>
            <w:hideMark/>
          </w:tcPr>
          <w:p w14:paraId="32764221" w14:textId="77777777" w:rsidR="00A61E53" w:rsidRPr="004A66F0" w:rsidRDefault="00A61E53" w:rsidP="00A61E53">
            <w:pPr>
              <w:rPr>
                <w:rFonts w:ascii="Times New Roman" w:eastAsia="Times New Roman" w:hAnsi="Times New Roman" w:cs="Times New Roman"/>
                <w:color w:val="000000"/>
                <w:sz w:val="22"/>
                <w:szCs w:val="22"/>
                <w:lang w:eastAsia="es-GT"/>
              </w:rPr>
            </w:pPr>
            <w:r w:rsidRPr="004A66F0">
              <w:rPr>
                <w:rFonts w:ascii="Times New Roman" w:eastAsia="Times New Roman" w:hAnsi="Times New Roman" w:cs="Times New Roman"/>
                <w:color w:val="000000"/>
                <w:sz w:val="22"/>
                <w:szCs w:val="22"/>
                <w:lang w:eastAsia="es-GT"/>
              </w:rPr>
              <w:t>Ministerio Público</w:t>
            </w:r>
          </w:p>
        </w:tc>
        <w:tc>
          <w:tcPr>
            <w:tcW w:w="1280" w:type="dxa"/>
            <w:tcBorders>
              <w:top w:val="nil"/>
              <w:left w:val="nil"/>
              <w:bottom w:val="nil"/>
              <w:right w:val="nil"/>
            </w:tcBorders>
            <w:noWrap/>
            <w:vAlign w:val="center"/>
            <w:hideMark/>
          </w:tcPr>
          <w:p w14:paraId="7DD3B364" w14:textId="27B2CAE7" w:rsidR="00A61E53" w:rsidRPr="00A61E53" w:rsidRDefault="00A61E53" w:rsidP="00A61E53">
            <w:pPr>
              <w:jc w:val="center"/>
              <w:rPr>
                <w:rFonts w:ascii="Times New Roman" w:eastAsia="Times New Roman" w:hAnsi="Times New Roman" w:cs="Times New Roman"/>
                <w:color w:val="000000"/>
                <w:sz w:val="22"/>
                <w:szCs w:val="22"/>
                <w:lang w:eastAsia="es-GT"/>
              </w:rPr>
            </w:pPr>
            <w:r w:rsidRPr="00A61E53">
              <w:rPr>
                <w:rFonts w:ascii="Times New Roman" w:hAnsi="Times New Roman" w:cs="Times New Roman"/>
                <w:sz w:val="22"/>
                <w:szCs w:val="22"/>
              </w:rPr>
              <w:t>2,793.9</w:t>
            </w:r>
          </w:p>
        </w:tc>
        <w:tc>
          <w:tcPr>
            <w:tcW w:w="1060" w:type="dxa"/>
            <w:tcBorders>
              <w:top w:val="nil"/>
              <w:left w:val="single" w:sz="4" w:space="0" w:color="auto"/>
              <w:bottom w:val="nil"/>
              <w:right w:val="single" w:sz="4" w:space="0" w:color="auto"/>
            </w:tcBorders>
            <w:noWrap/>
            <w:vAlign w:val="center"/>
            <w:hideMark/>
          </w:tcPr>
          <w:p w14:paraId="3D960781" w14:textId="674FBC40" w:rsidR="00A61E53" w:rsidRPr="00A61E53" w:rsidRDefault="00A61E53" w:rsidP="00A61E53">
            <w:pPr>
              <w:jc w:val="center"/>
              <w:rPr>
                <w:rFonts w:ascii="Times New Roman" w:eastAsia="Times New Roman" w:hAnsi="Times New Roman" w:cs="Times New Roman"/>
                <w:color w:val="000000"/>
                <w:sz w:val="22"/>
                <w:szCs w:val="22"/>
                <w:lang w:eastAsia="es-GT"/>
              </w:rPr>
            </w:pPr>
            <w:r w:rsidRPr="00A61E53">
              <w:rPr>
                <w:rFonts w:ascii="Times New Roman" w:hAnsi="Times New Roman" w:cs="Times New Roman"/>
                <w:sz w:val="22"/>
                <w:szCs w:val="22"/>
              </w:rPr>
              <w:t>3,235.7</w:t>
            </w:r>
          </w:p>
        </w:tc>
        <w:tc>
          <w:tcPr>
            <w:tcW w:w="1140" w:type="dxa"/>
            <w:tcBorders>
              <w:top w:val="nil"/>
              <w:left w:val="nil"/>
              <w:bottom w:val="nil"/>
              <w:right w:val="nil"/>
            </w:tcBorders>
            <w:noWrap/>
            <w:vAlign w:val="center"/>
            <w:hideMark/>
          </w:tcPr>
          <w:p w14:paraId="3FAAA339" w14:textId="09A58787" w:rsidR="00A61E53" w:rsidRPr="00A61E53" w:rsidRDefault="00A61E53" w:rsidP="00A61E53">
            <w:pPr>
              <w:jc w:val="center"/>
              <w:rPr>
                <w:rFonts w:ascii="Times New Roman" w:eastAsia="Times New Roman" w:hAnsi="Times New Roman" w:cs="Times New Roman"/>
                <w:color w:val="000000"/>
                <w:sz w:val="22"/>
                <w:szCs w:val="22"/>
                <w:lang w:eastAsia="es-GT"/>
              </w:rPr>
            </w:pPr>
            <w:r w:rsidRPr="00A61E53">
              <w:rPr>
                <w:rFonts w:ascii="Times New Roman" w:hAnsi="Times New Roman" w:cs="Times New Roman"/>
                <w:sz w:val="22"/>
                <w:szCs w:val="22"/>
              </w:rPr>
              <w:t>441.9</w:t>
            </w:r>
          </w:p>
        </w:tc>
        <w:tc>
          <w:tcPr>
            <w:tcW w:w="1180" w:type="dxa"/>
            <w:tcBorders>
              <w:top w:val="nil"/>
              <w:left w:val="single" w:sz="4" w:space="0" w:color="auto"/>
              <w:bottom w:val="nil"/>
              <w:right w:val="single" w:sz="4" w:space="0" w:color="auto"/>
            </w:tcBorders>
            <w:noWrap/>
            <w:vAlign w:val="center"/>
            <w:hideMark/>
          </w:tcPr>
          <w:p w14:paraId="1044A6DD" w14:textId="591BBFDA" w:rsidR="00A61E53" w:rsidRPr="00A61E53" w:rsidRDefault="00A61E53" w:rsidP="00A61E53">
            <w:pPr>
              <w:jc w:val="center"/>
              <w:rPr>
                <w:rFonts w:ascii="Times New Roman" w:eastAsia="Times New Roman" w:hAnsi="Times New Roman" w:cs="Times New Roman"/>
                <w:color w:val="000000"/>
                <w:sz w:val="22"/>
                <w:szCs w:val="22"/>
                <w:lang w:eastAsia="es-GT"/>
              </w:rPr>
            </w:pPr>
            <w:r w:rsidRPr="00A61E53">
              <w:rPr>
                <w:rFonts w:ascii="Times New Roman" w:hAnsi="Times New Roman" w:cs="Times New Roman"/>
                <w:sz w:val="22"/>
                <w:szCs w:val="22"/>
              </w:rPr>
              <w:t>15.8%</w:t>
            </w:r>
          </w:p>
        </w:tc>
      </w:tr>
      <w:tr w:rsidR="00A61E53" w:rsidRPr="004A66F0" w14:paraId="305CF710" w14:textId="77777777" w:rsidTr="00A61E53">
        <w:trPr>
          <w:trHeight w:val="405"/>
          <w:jc w:val="center"/>
        </w:trPr>
        <w:tc>
          <w:tcPr>
            <w:tcW w:w="286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17857F4A" w14:textId="77777777" w:rsidR="00A61E53" w:rsidRPr="004A66F0" w:rsidRDefault="00A61E53" w:rsidP="00A61E53">
            <w:pPr>
              <w:jc w:val="center"/>
              <w:rPr>
                <w:rFonts w:ascii="Times New Roman" w:eastAsia="Times New Roman" w:hAnsi="Times New Roman" w:cs="Times New Roman"/>
                <w:b/>
                <w:bCs/>
                <w:color w:val="000000"/>
                <w:sz w:val="22"/>
                <w:szCs w:val="22"/>
                <w:lang w:eastAsia="es-GT"/>
              </w:rPr>
            </w:pPr>
            <w:proofErr w:type="gramStart"/>
            <w:r w:rsidRPr="004A66F0">
              <w:rPr>
                <w:rFonts w:ascii="Times New Roman" w:eastAsia="Times New Roman" w:hAnsi="Times New Roman" w:cs="Times New Roman"/>
                <w:b/>
                <w:bCs/>
                <w:color w:val="000000"/>
                <w:sz w:val="22"/>
                <w:szCs w:val="22"/>
                <w:lang w:eastAsia="es-GT"/>
              </w:rPr>
              <w:t>Total</w:t>
            </w:r>
            <w:proofErr w:type="gramEnd"/>
            <w:r w:rsidRPr="004A66F0">
              <w:rPr>
                <w:rFonts w:ascii="Times New Roman" w:eastAsia="Times New Roman" w:hAnsi="Times New Roman" w:cs="Times New Roman"/>
                <w:b/>
                <w:bCs/>
                <w:color w:val="000000"/>
                <w:sz w:val="22"/>
                <w:szCs w:val="22"/>
                <w:lang w:eastAsia="es-GT"/>
              </w:rPr>
              <w:t xml:space="preserve"> con Acuerdos de Paz</w:t>
            </w:r>
          </w:p>
        </w:tc>
        <w:tc>
          <w:tcPr>
            <w:tcW w:w="1280" w:type="dxa"/>
            <w:tcBorders>
              <w:top w:val="single" w:sz="4" w:space="0" w:color="auto"/>
              <w:left w:val="nil"/>
              <w:bottom w:val="single" w:sz="4" w:space="0" w:color="auto"/>
              <w:right w:val="nil"/>
            </w:tcBorders>
            <w:shd w:val="clear" w:color="000000" w:fill="D9E1F2"/>
            <w:noWrap/>
            <w:vAlign w:val="center"/>
            <w:hideMark/>
          </w:tcPr>
          <w:p w14:paraId="7770F3F3" w14:textId="3032B22B" w:rsidR="00A61E53" w:rsidRPr="00A61E53" w:rsidRDefault="00A61E53" w:rsidP="00A61E53">
            <w:pPr>
              <w:jc w:val="center"/>
              <w:rPr>
                <w:rFonts w:ascii="Times New Roman" w:eastAsia="Times New Roman" w:hAnsi="Times New Roman" w:cs="Times New Roman"/>
                <w:b/>
                <w:bCs/>
                <w:color w:val="000000"/>
                <w:sz w:val="22"/>
                <w:szCs w:val="22"/>
                <w:lang w:eastAsia="es-GT"/>
              </w:rPr>
            </w:pPr>
            <w:r w:rsidRPr="00A61E53">
              <w:rPr>
                <w:rFonts w:ascii="Times New Roman" w:hAnsi="Times New Roman" w:cs="Times New Roman"/>
                <w:b/>
                <w:bCs/>
                <w:sz w:val="22"/>
                <w:szCs w:val="22"/>
              </w:rPr>
              <w:t>52,876.7</w:t>
            </w:r>
          </w:p>
        </w:tc>
        <w:tc>
          <w:tcPr>
            <w:tcW w:w="106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434BA8B7" w14:textId="5DB4ACFE" w:rsidR="00A61E53" w:rsidRPr="00A61E53" w:rsidRDefault="00A61E53" w:rsidP="00A61E53">
            <w:pPr>
              <w:jc w:val="center"/>
              <w:rPr>
                <w:rFonts w:ascii="Times New Roman" w:eastAsia="Times New Roman" w:hAnsi="Times New Roman" w:cs="Times New Roman"/>
                <w:b/>
                <w:bCs/>
                <w:sz w:val="22"/>
                <w:szCs w:val="22"/>
                <w:lang w:eastAsia="es-GT"/>
              </w:rPr>
            </w:pPr>
            <w:r w:rsidRPr="00A61E53">
              <w:rPr>
                <w:rFonts w:ascii="Times New Roman" w:hAnsi="Times New Roman" w:cs="Times New Roman"/>
                <w:b/>
                <w:bCs/>
                <w:sz w:val="22"/>
                <w:szCs w:val="22"/>
              </w:rPr>
              <w:t>58,075.7</w:t>
            </w:r>
          </w:p>
        </w:tc>
        <w:tc>
          <w:tcPr>
            <w:tcW w:w="1140" w:type="dxa"/>
            <w:tcBorders>
              <w:top w:val="single" w:sz="4" w:space="0" w:color="auto"/>
              <w:left w:val="nil"/>
              <w:bottom w:val="single" w:sz="4" w:space="0" w:color="auto"/>
              <w:right w:val="nil"/>
            </w:tcBorders>
            <w:shd w:val="clear" w:color="000000" w:fill="D9E1F2"/>
            <w:noWrap/>
            <w:vAlign w:val="center"/>
            <w:hideMark/>
          </w:tcPr>
          <w:p w14:paraId="48943CA3" w14:textId="559BF2C6" w:rsidR="00A61E53" w:rsidRPr="00A61E53" w:rsidRDefault="00A61E53" w:rsidP="00A61E53">
            <w:pPr>
              <w:jc w:val="center"/>
              <w:rPr>
                <w:rFonts w:ascii="Times New Roman" w:eastAsia="Times New Roman" w:hAnsi="Times New Roman" w:cs="Times New Roman"/>
                <w:b/>
                <w:bCs/>
                <w:color w:val="000000"/>
                <w:sz w:val="22"/>
                <w:szCs w:val="22"/>
                <w:lang w:eastAsia="es-GT"/>
              </w:rPr>
            </w:pPr>
            <w:r w:rsidRPr="00A61E53">
              <w:rPr>
                <w:rFonts w:ascii="Times New Roman" w:hAnsi="Times New Roman" w:cs="Times New Roman"/>
                <w:b/>
                <w:bCs/>
                <w:sz w:val="22"/>
                <w:szCs w:val="22"/>
              </w:rPr>
              <w:t>5,199.0</w:t>
            </w:r>
          </w:p>
        </w:tc>
        <w:tc>
          <w:tcPr>
            <w:tcW w:w="118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79E70FFB" w14:textId="33330AAF" w:rsidR="00A61E53" w:rsidRPr="00A61E53" w:rsidRDefault="00A61E53" w:rsidP="00A61E53">
            <w:pPr>
              <w:jc w:val="center"/>
              <w:rPr>
                <w:rFonts w:ascii="Times New Roman" w:eastAsia="Times New Roman" w:hAnsi="Times New Roman" w:cs="Times New Roman"/>
                <w:b/>
                <w:bCs/>
                <w:sz w:val="22"/>
                <w:szCs w:val="22"/>
                <w:lang w:eastAsia="es-GT"/>
              </w:rPr>
            </w:pPr>
            <w:r w:rsidRPr="00A61E53">
              <w:rPr>
                <w:rFonts w:ascii="Times New Roman" w:hAnsi="Times New Roman" w:cs="Times New Roman"/>
                <w:b/>
                <w:bCs/>
                <w:sz w:val="22"/>
                <w:szCs w:val="22"/>
              </w:rPr>
              <w:t>9.8%</w:t>
            </w:r>
          </w:p>
        </w:tc>
      </w:tr>
    </w:tbl>
    <w:p w14:paraId="797EE36C" w14:textId="77777777" w:rsidR="0039645E" w:rsidRPr="004A66F0" w:rsidRDefault="0039645E" w:rsidP="0039645E">
      <w:pPr>
        <w:rPr>
          <w:rFonts w:ascii="Times New Roman" w:eastAsia="Times New Roman" w:hAnsi="Times New Roman" w:cs="Calibri"/>
          <w:sz w:val="18"/>
          <w:szCs w:val="22"/>
        </w:rPr>
      </w:pPr>
      <w:r w:rsidRPr="004A66F0">
        <w:rPr>
          <w:rFonts w:ascii="Times New Roman" w:eastAsia="Times New Roman" w:hAnsi="Times New Roman" w:cs="Calibri"/>
          <w:sz w:val="18"/>
          <w:szCs w:val="22"/>
        </w:rPr>
        <w:t xml:space="preserve">                            Fuente: Dirección de Análisis y Política Fiscal</w:t>
      </w:r>
    </w:p>
    <w:p w14:paraId="13E7926F" w14:textId="77777777" w:rsidR="0039645E" w:rsidRPr="004A66F0" w:rsidRDefault="0039645E" w:rsidP="0039645E">
      <w:pPr>
        <w:rPr>
          <w:rFonts w:ascii="Times New Roman" w:eastAsia="Times New Roman" w:hAnsi="Times New Roman" w:cs="Times New Roman"/>
          <w:sz w:val="22"/>
          <w:szCs w:val="22"/>
        </w:rPr>
      </w:pPr>
    </w:p>
    <w:p w14:paraId="35E96AE4" w14:textId="77777777" w:rsidR="0039645E" w:rsidRPr="004A66F0" w:rsidRDefault="0039645E" w:rsidP="0039645E">
      <w:pPr>
        <w:jc w:val="both"/>
        <w:rPr>
          <w:rFonts w:ascii="Times New Roman" w:eastAsia="Times New Roman" w:hAnsi="Times New Roman" w:cs="Times New Roman"/>
          <w:sz w:val="22"/>
          <w:szCs w:val="22"/>
        </w:rPr>
      </w:pPr>
      <w:r w:rsidRPr="004A66F0">
        <w:rPr>
          <w:rFonts w:ascii="Times New Roman" w:eastAsia="Times New Roman" w:hAnsi="Times New Roman" w:cs="Times New Roman"/>
          <w:sz w:val="22"/>
          <w:szCs w:val="22"/>
        </w:rPr>
        <w:t xml:space="preserve">Dentro de los Acuerdos de Paz firmados por el Gobierno de la República de Guatemala y la Unidad Revolucionaria Nacional Guatemalteca (URNG), el gobierno se comprometió a reestructurar el presupuesto en beneficio del gasto social. Dentro del Plan Nacional de Desarrollo </w:t>
      </w:r>
      <w:proofErr w:type="spellStart"/>
      <w:r w:rsidRPr="004A66F0">
        <w:rPr>
          <w:rFonts w:ascii="Times New Roman" w:eastAsia="Times New Roman" w:hAnsi="Times New Roman" w:cs="Times New Roman"/>
          <w:sz w:val="22"/>
          <w:szCs w:val="22"/>
        </w:rPr>
        <w:t>K’aktun</w:t>
      </w:r>
      <w:proofErr w:type="spellEnd"/>
      <w:r w:rsidRPr="004A66F0">
        <w:rPr>
          <w:rFonts w:ascii="Times New Roman" w:eastAsia="Times New Roman" w:hAnsi="Times New Roman" w:cs="Times New Roman"/>
          <w:sz w:val="22"/>
          <w:szCs w:val="22"/>
        </w:rPr>
        <w:t xml:space="preserve"> Nuestra Guatemala 2032, prioridad “Política fiscal como motor de la estabilidad y el crecimiento económico inclusivo” se establece como meta 1 que el gasto social ha superado el nivel de 7% del PIB, obtenido en 2010. </w:t>
      </w:r>
    </w:p>
    <w:p w14:paraId="56B67A01" w14:textId="77777777" w:rsidR="0039645E" w:rsidRPr="004A66F0" w:rsidRDefault="0039645E" w:rsidP="0039645E">
      <w:pPr>
        <w:jc w:val="both"/>
        <w:rPr>
          <w:rFonts w:ascii="Times New Roman" w:eastAsia="Times New Roman" w:hAnsi="Times New Roman" w:cs="Times New Roman"/>
          <w:sz w:val="22"/>
          <w:szCs w:val="22"/>
        </w:rPr>
      </w:pPr>
    </w:p>
    <w:p w14:paraId="317355A6" w14:textId="23447A65" w:rsidR="0039645E" w:rsidRPr="004A66F0" w:rsidRDefault="0039645E" w:rsidP="0039645E">
      <w:pPr>
        <w:jc w:val="both"/>
        <w:rPr>
          <w:rFonts w:ascii="Times New Roman" w:eastAsia="Times New Roman" w:hAnsi="Times New Roman" w:cs="Times New Roman"/>
          <w:sz w:val="22"/>
          <w:szCs w:val="22"/>
        </w:rPr>
      </w:pPr>
      <w:r w:rsidRPr="004A66F0">
        <w:rPr>
          <w:rFonts w:ascii="Times New Roman" w:eastAsia="Times New Roman" w:hAnsi="Times New Roman" w:cs="Times New Roman"/>
          <w:sz w:val="22"/>
          <w:szCs w:val="22"/>
        </w:rPr>
        <w:t>Al tomar el gasto social según la clasificación de los Acuerdos de Paz, es decir incluyendo a los sectores de seguridad y justicia, se puede ver que la meta establecida en el Plan Nacional de Desarrollo fue superada en 202</w:t>
      </w:r>
      <w:r w:rsidR="00874510">
        <w:rPr>
          <w:rFonts w:ascii="Times New Roman" w:eastAsia="Times New Roman" w:hAnsi="Times New Roman" w:cs="Times New Roman"/>
          <w:sz w:val="22"/>
          <w:szCs w:val="22"/>
        </w:rPr>
        <w:t>2 y 2023, siendo el segundo año consecutivo en el cual se logra superar la meta</w:t>
      </w:r>
      <w:r w:rsidRPr="004A66F0">
        <w:rPr>
          <w:rFonts w:ascii="Times New Roman" w:eastAsia="Times New Roman" w:hAnsi="Times New Roman" w:cs="Times New Roman"/>
          <w:sz w:val="22"/>
          <w:szCs w:val="22"/>
        </w:rPr>
        <w:t xml:space="preserve">. </w:t>
      </w:r>
    </w:p>
    <w:p w14:paraId="1B872CF6" w14:textId="64242888" w:rsidR="0039645E" w:rsidRPr="00DA2AB6" w:rsidRDefault="00DA2AB6" w:rsidP="00DA2AB6">
      <w:pPr>
        <w:pStyle w:val="Descripcin"/>
        <w:keepNext/>
        <w:spacing w:after="0"/>
        <w:jc w:val="center"/>
        <w:rPr>
          <w:sz w:val="28"/>
          <w:szCs w:val="28"/>
        </w:rPr>
      </w:pPr>
      <w:bookmarkStart w:id="64" w:name="_Toc125539788"/>
      <w:bookmarkStart w:id="65" w:name="_Toc158103860"/>
      <w:r w:rsidRPr="00DA2AB6">
        <w:rPr>
          <w:sz w:val="22"/>
          <w:szCs w:val="22"/>
        </w:rPr>
        <w:lastRenderedPageBreak/>
        <w:t xml:space="preserve">Gráfico </w:t>
      </w:r>
      <w:r w:rsidRPr="00DA2AB6">
        <w:rPr>
          <w:sz w:val="22"/>
          <w:szCs w:val="22"/>
        </w:rPr>
        <w:fldChar w:fldCharType="begin"/>
      </w:r>
      <w:r w:rsidRPr="00DA2AB6">
        <w:rPr>
          <w:sz w:val="22"/>
          <w:szCs w:val="22"/>
        </w:rPr>
        <w:instrText xml:space="preserve"> SEQ Gráfico \* ARABIC </w:instrText>
      </w:r>
      <w:r w:rsidRPr="00DA2AB6">
        <w:rPr>
          <w:sz w:val="22"/>
          <w:szCs w:val="22"/>
        </w:rPr>
        <w:fldChar w:fldCharType="separate"/>
      </w:r>
      <w:r w:rsidR="00C015DC">
        <w:rPr>
          <w:noProof/>
          <w:sz w:val="22"/>
          <w:szCs w:val="22"/>
        </w:rPr>
        <w:t>15</w:t>
      </w:r>
      <w:r w:rsidRPr="00DA2AB6">
        <w:rPr>
          <w:sz w:val="22"/>
          <w:szCs w:val="22"/>
        </w:rPr>
        <w:fldChar w:fldCharType="end"/>
      </w:r>
      <w:r>
        <w:rPr>
          <w:sz w:val="22"/>
          <w:szCs w:val="22"/>
        </w:rPr>
        <w:t xml:space="preserve">.  </w:t>
      </w:r>
      <w:r w:rsidR="0039645E" w:rsidRPr="00DA2AB6">
        <w:rPr>
          <w:rFonts w:eastAsia="Times New Roman" w:cs="Times New Roman"/>
          <w:sz w:val="22"/>
          <w:szCs w:val="22"/>
        </w:rPr>
        <w:t>Ejecución del Gasto social y de los Acuerdos de Paz</w:t>
      </w:r>
      <w:bookmarkEnd w:id="64"/>
      <w:bookmarkEnd w:id="65"/>
    </w:p>
    <w:p w14:paraId="2BD49EAE" w14:textId="0ECB6D16" w:rsidR="0039645E" w:rsidRPr="004A66F0" w:rsidRDefault="0039645E" w:rsidP="0039645E">
      <w:pPr>
        <w:jc w:val="center"/>
        <w:rPr>
          <w:rFonts w:ascii="Times New Roman" w:eastAsia="Times New Roman" w:hAnsi="Times New Roman" w:cs="Times New Roman"/>
          <w:b/>
        </w:rPr>
      </w:pPr>
      <w:r w:rsidRPr="004A66F0">
        <w:rPr>
          <w:rFonts w:ascii="Times New Roman" w:eastAsia="Times New Roman" w:hAnsi="Times New Roman" w:cs="Times New Roman"/>
          <w:b/>
        </w:rPr>
        <w:t>2013 – 202</w:t>
      </w:r>
      <w:r w:rsidR="008D61FE">
        <w:rPr>
          <w:rFonts w:ascii="Times New Roman" w:eastAsia="Times New Roman" w:hAnsi="Times New Roman" w:cs="Times New Roman"/>
          <w:b/>
        </w:rPr>
        <w:t>3</w:t>
      </w:r>
    </w:p>
    <w:p w14:paraId="16D83B00" w14:textId="77777777" w:rsidR="0039645E" w:rsidRPr="004A66F0" w:rsidRDefault="0039645E" w:rsidP="0039645E">
      <w:pPr>
        <w:jc w:val="center"/>
        <w:rPr>
          <w:rFonts w:ascii="Times New Roman" w:eastAsia="Times New Roman" w:hAnsi="Times New Roman" w:cs="Times New Roman"/>
          <w:sz w:val="20"/>
          <w:szCs w:val="20"/>
        </w:rPr>
      </w:pPr>
      <w:r w:rsidRPr="004A66F0">
        <w:rPr>
          <w:rFonts w:ascii="Times New Roman" w:eastAsia="Times New Roman" w:hAnsi="Times New Roman" w:cs="Times New Roman"/>
          <w:sz w:val="20"/>
          <w:szCs w:val="20"/>
        </w:rPr>
        <w:t>-Millones de quetzales y porcentajes del PIB-</w:t>
      </w:r>
    </w:p>
    <w:p w14:paraId="005C34EA" w14:textId="77777777" w:rsidR="0039645E" w:rsidRPr="004A66F0" w:rsidRDefault="0039645E" w:rsidP="0039645E">
      <w:pPr>
        <w:jc w:val="both"/>
        <w:rPr>
          <w:rFonts w:ascii="Times New Roman" w:eastAsia="Times New Roman" w:hAnsi="Times New Roman" w:cs="Times New Roman"/>
          <w:sz w:val="22"/>
          <w:szCs w:val="22"/>
        </w:rPr>
      </w:pPr>
      <w:r w:rsidRPr="004A66F0">
        <w:rPr>
          <w:rFonts w:ascii="Times New Roman" w:eastAsia="Times New Roman" w:hAnsi="Times New Roman" w:cs="Times New Roman"/>
          <w:noProof/>
          <w:sz w:val="22"/>
          <w:szCs w:val="22"/>
        </w:rPr>
        <w:drawing>
          <wp:inline distT="0" distB="0" distL="0" distR="0" wp14:anchorId="74B90A0D" wp14:editId="7188E926">
            <wp:extent cx="5509895" cy="3331596"/>
            <wp:effectExtent l="0" t="0" r="0" b="2540"/>
            <wp:docPr id="24" name="Gráfico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C66942D" w14:textId="77777777" w:rsidR="0039645E" w:rsidRPr="004A66F0" w:rsidRDefault="0039645E" w:rsidP="0039645E">
      <w:pPr>
        <w:jc w:val="both"/>
        <w:rPr>
          <w:rFonts w:ascii="Times New Roman" w:eastAsia="Times New Roman" w:hAnsi="Times New Roman" w:cs="Times New Roman"/>
          <w:sz w:val="22"/>
          <w:szCs w:val="22"/>
        </w:rPr>
      </w:pPr>
      <w:r w:rsidRPr="004A66F0">
        <w:rPr>
          <w:rFonts w:ascii="Times New Roman" w:eastAsia="Times New Roman" w:hAnsi="Times New Roman" w:cs="Calibri"/>
          <w:sz w:val="18"/>
          <w:szCs w:val="22"/>
        </w:rPr>
        <w:t>Fuente: Dirección de Análisis y Política Fiscal</w:t>
      </w:r>
    </w:p>
    <w:p w14:paraId="4865F445" w14:textId="158E1B87" w:rsidR="00B94D89" w:rsidRDefault="00B94D89" w:rsidP="00B842A5">
      <w:pPr>
        <w:rPr>
          <w:rFonts w:ascii="Times New Roman" w:eastAsiaTheme="majorEastAsia" w:hAnsi="Times New Roman" w:cs="Times New Roman"/>
          <w:b/>
          <w:bCs/>
        </w:rPr>
      </w:pPr>
      <w:bookmarkStart w:id="66" w:name="_Toc125538993"/>
    </w:p>
    <w:p w14:paraId="07C2C6AA" w14:textId="77777777" w:rsidR="0048246B" w:rsidRDefault="0048246B" w:rsidP="00B842A5">
      <w:pPr>
        <w:rPr>
          <w:rFonts w:ascii="Times New Roman" w:eastAsiaTheme="majorEastAsia" w:hAnsi="Times New Roman" w:cs="Times New Roman"/>
          <w:b/>
          <w:bCs/>
        </w:rPr>
      </w:pPr>
    </w:p>
    <w:p w14:paraId="5A65461C" w14:textId="71C3C2FF" w:rsidR="0039645E" w:rsidRPr="00895C9B" w:rsidRDefault="00D6425E" w:rsidP="00B842A5">
      <w:pPr>
        <w:keepNext/>
        <w:keepLines/>
        <w:tabs>
          <w:tab w:val="left" w:pos="1134"/>
        </w:tabs>
        <w:ind w:left="567" w:hanging="283"/>
        <w:jc w:val="both"/>
        <w:outlineLvl w:val="1"/>
        <w:rPr>
          <w:rFonts w:ascii="Times New Roman" w:eastAsiaTheme="majorEastAsia" w:hAnsi="Times New Roman" w:cs="Times New Roman"/>
          <w:b/>
          <w:bCs/>
        </w:rPr>
      </w:pPr>
      <w:bookmarkStart w:id="67" w:name="_Toc160196852"/>
      <w:r>
        <w:rPr>
          <w:rFonts w:ascii="Times New Roman" w:eastAsiaTheme="majorEastAsia" w:hAnsi="Times New Roman" w:cs="Times New Roman"/>
          <w:b/>
          <w:bCs/>
        </w:rPr>
        <w:t>2.4</w:t>
      </w:r>
      <w:r w:rsidR="006E129B">
        <w:rPr>
          <w:rFonts w:ascii="Times New Roman" w:eastAsiaTheme="majorEastAsia" w:hAnsi="Times New Roman" w:cs="Times New Roman"/>
          <w:b/>
          <w:bCs/>
        </w:rPr>
        <w:t xml:space="preserve"> </w:t>
      </w:r>
      <w:r w:rsidR="0039645E" w:rsidRPr="00895C9B">
        <w:rPr>
          <w:rFonts w:ascii="Times New Roman" w:eastAsiaTheme="majorEastAsia" w:hAnsi="Times New Roman" w:cs="Times New Roman"/>
          <w:b/>
          <w:bCs/>
        </w:rPr>
        <w:t>Ejecución institucional</w:t>
      </w:r>
      <w:bookmarkEnd w:id="66"/>
      <w:bookmarkEnd w:id="67"/>
    </w:p>
    <w:p w14:paraId="7A3F97D4" w14:textId="77777777" w:rsidR="0039645E" w:rsidRPr="004A66F0" w:rsidRDefault="0039645E" w:rsidP="0039645E">
      <w:pPr>
        <w:jc w:val="both"/>
        <w:rPr>
          <w:rFonts w:ascii="Times New Roman" w:eastAsia="Times New Roman" w:hAnsi="Times New Roman" w:cs="Times New Roman"/>
          <w:sz w:val="22"/>
          <w:szCs w:val="22"/>
          <w:lang w:val="es-MX"/>
        </w:rPr>
      </w:pPr>
    </w:p>
    <w:p w14:paraId="3D1238B0" w14:textId="15184CF6" w:rsidR="005112CE" w:rsidRDefault="0039645E" w:rsidP="0039645E">
      <w:pPr>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El grado de ejecución presupuestaria, a nivel institucional, se ubicó en Q1</w:t>
      </w:r>
      <w:r w:rsidR="003F65C5">
        <w:rPr>
          <w:rFonts w:ascii="Times New Roman" w:eastAsia="Times New Roman" w:hAnsi="Times New Roman" w:cs="Times New Roman"/>
          <w:sz w:val="22"/>
          <w:szCs w:val="22"/>
          <w:lang w:val="es-ES_tradnl" w:eastAsia="es-ES"/>
        </w:rPr>
        <w:t>15</w:t>
      </w:r>
      <w:r w:rsidRPr="004A66F0">
        <w:rPr>
          <w:rFonts w:ascii="Times New Roman" w:eastAsia="Times New Roman" w:hAnsi="Times New Roman" w:cs="Times New Roman"/>
          <w:sz w:val="22"/>
          <w:szCs w:val="22"/>
          <w:lang w:val="es-ES_tradnl" w:eastAsia="es-ES"/>
        </w:rPr>
        <w:t>,</w:t>
      </w:r>
      <w:r w:rsidR="003F65C5">
        <w:rPr>
          <w:rFonts w:ascii="Times New Roman" w:eastAsia="Times New Roman" w:hAnsi="Times New Roman" w:cs="Times New Roman"/>
          <w:sz w:val="22"/>
          <w:szCs w:val="22"/>
          <w:lang w:val="es-ES_tradnl" w:eastAsia="es-ES"/>
        </w:rPr>
        <w:t>032</w:t>
      </w:r>
      <w:r w:rsidRPr="004A66F0">
        <w:rPr>
          <w:rFonts w:ascii="Times New Roman" w:eastAsia="Times New Roman" w:hAnsi="Times New Roman" w:cs="Times New Roman"/>
          <w:sz w:val="22"/>
          <w:szCs w:val="22"/>
          <w:lang w:val="es-ES_tradnl" w:eastAsia="es-ES"/>
        </w:rPr>
        <w:t>.</w:t>
      </w:r>
      <w:r w:rsidR="003F65C5">
        <w:rPr>
          <w:rFonts w:ascii="Times New Roman" w:eastAsia="Times New Roman" w:hAnsi="Times New Roman" w:cs="Times New Roman"/>
          <w:sz w:val="22"/>
          <w:szCs w:val="22"/>
          <w:lang w:val="es-ES_tradnl" w:eastAsia="es-ES"/>
        </w:rPr>
        <w:t>0</w:t>
      </w:r>
      <w:r w:rsidRPr="004A66F0">
        <w:rPr>
          <w:rFonts w:ascii="Times New Roman" w:eastAsia="Times New Roman" w:hAnsi="Times New Roman" w:cs="Times New Roman"/>
          <w:sz w:val="22"/>
          <w:szCs w:val="22"/>
          <w:lang w:val="es-ES_tradnl" w:eastAsia="es-ES"/>
        </w:rPr>
        <w:t xml:space="preserve"> millones, equivalente a un grado de ejecución de 9</w:t>
      </w:r>
      <w:r w:rsidR="003F65C5">
        <w:rPr>
          <w:rFonts w:ascii="Times New Roman" w:eastAsia="Times New Roman" w:hAnsi="Times New Roman" w:cs="Times New Roman"/>
          <w:sz w:val="22"/>
          <w:szCs w:val="22"/>
          <w:lang w:val="es-ES_tradnl" w:eastAsia="es-ES"/>
        </w:rPr>
        <w:t>7</w:t>
      </w:r>
      <w:r w:rsidRPr="004A66F0">
        <w:rPr>
          <w:rFonts w:ascii="Times New Roman" w:eastAsia="Times New Roman" w:hAnsi="Times New Roman" w:cs="Times New Roman"/>
          <w:sz w:val="22"/>
          <w:szCs w:val="22"/>
          <w:lang w:val="es-ES_tradnl" w:eastAsia="es-ES"/>
        </w:rPr>
        <w:t>.</w:t>
      </w:r>
      <w:r w:rsidR="003F65C5">
        <w:rPr>
          <w:rFonts w:ascii="Times New Roman" w:eastAsia="Times New Roman" w:hAnsi="Times New Roman" w:cs="Times New Roman"/>
          <w:sz w:val="22"/>
          <w:szCs w:val="22"/>
          <w:lang w:val="es-ES_tradnl" w:eastAsia="es-ES"/>
        </w:rPr>
        <w:t>0</w:t>
      </w:r>
      <w:r w:rsidRPr="004A66F0">
        <w:rPr>
          <w:rFonts w:ascii="Times New Roman" w:eastAsia="Times New Roman" w:hAnsi="Times New Roman" w:cs="Times New Roman"/>
          <w:sz w:val="22"/>
          <w:szCs w:val="22"/>
          <w:lang w:val="es-ES_tradnl" w:eastAsia="es-ES"/>
        </w:rPr>
        <w:t>%, siendo el nivel de ejecución más alto de los últimos años. Es importante considerar que durante el ejercicio fiscal se dieron ampliaciones presupuestarias aprobadas por el Congreso de la República de Q</w:t>
      </w:r>
      <w:r w:rsidR="003F65C5">
        <w:rPr>
          <w:rFonts w:ascii="Times New Roman" w:eastAsia="Times New Roman" w:hAnsi="Times New Roman" w:cs="Times New Roman"/>
          <w:sz w:val="22"/>
          <w:szCs w:val="22"/>
          <w:lang w:val="es-ES_tradnl" w:eastAsia="es-ES"/>
        </w:rPr>
        <w:t>3</w:t>
      </w:r>
      <w:r w:rsidRPr="004A66F0">
        <w:rPr>
          <w:rFonts w:ascii="Times New Roman" w:eastAsia="Times New Roman" w:hAnsi="Times New Roman" w:cs="Times New Roman"/>
          <w:sz w:val="22"/>
          <w:szCs w:val="22"/>
          <w:lang w:val="es-ES_tradnl" w:eastAsia="es-ES"/>
        </w:rPr>
        <w:t>,</w:t>
      </w:r>
      <w:r w:rsidR="003F65C5">
        <w:rPr>
          <w:rFonts w:ascii="Times New Roman" w:eastAsia="Times New Roman" w:hAnsi="Times New Roman" w:cs="Times New Roman"/>
          <w:sz w:val="22"/>
          <w:szCs w:val="22"/>
          <w:lang w:val="es-ES_tradnl" w:eastAsia="es-ES"/>
        </w:rPr>
        <w:t>180</w:t>
      </w:r>
      <w:r w:rsidRPr="004A66F0">
        <w:rPr>
          <w:rFonts w:ascii="Times New Roman" w:eastAsia="Times New Roman" w:hAnsi="Times New Roman" w:cs="Times New Roman"/>
          <w:sz w:val="22"/>
          <w:szCs w:val="22"/>
          <w:lang w:val="es-ES_tradnl" w:eastAsia="es-ES"/>
        </w:rPr>
        <w:t>.</w:t>
      </w:r>
      <w:r w:rsidR="005112CE">
        <w:rPr>
          <w:rFonts w:ascii="Times New Roman" w:eastAsia="Times New Roman" w:hAnsi="Times New Roman" w:cs="Times New Roman"/>
          <w:sz w:val="22"/>
          <w:szCs w:val="22"/>
          <w:lang w:val="es-ES_tradnl" w:eastAsia="es-ES"/>
        </w:rPr>
        <w:t>6</w:t>
      </w:r>
      <w:r w:rsidRPr="004A66F0">
        <w:rPr>
          <w:rFonts w:ascii="Times New Roman" w:eastAsia="Times New Roman" w:hAnsi="Times New Roman" w:cs="Times New Roman"/>
          <w:sz w:val="22"/>
          <w:szCs w:val="22"/>
          <w:lang w:val="es-ES_tradnl" w:eastAsia="es-ES"/>
        </w:rPr>
        <w:t xml:space="preserve"> millones, de las cuales el</w:t>
      </w:r>
      <w:r w:rsidR="005112CE">
        <w:rPr>
          <w:rFonts w:ascii="Times New Roman" w:eastAsia="Times New Roman" w:hAnsi="Times New Roman" w:cs="Times New Roman"/>
          <w:sz w:val="22"/>
          <w:szCs w:val="22"/>
          <w:lang w:val="es-ES_tradnl" w:eastAsia="es-ES"/>
        </w:rPr>
        <w:t xml:space="preserve"> 3</w:t>
      </w:r>
      <w:r w:rsidRPr="004A66F0">
        <w:rPr>
          <w:rFonts w:ascii="Times New Roman" w:eastAsia="Times New Roman" w:hAnsi="Times New Roman" w:cs="Times New Roman"/>
          <w:sz w:val="22"/>
          <w:szCs w:val="22"/>
          <w:lang w:val="es-ES_tradnl" w:eastAsia="es-ES"/>
        </w:rPr>
        <w:t>5.</w:t>
      </w:r>
      <w:r w:rsidR="005112CE">
        <w:rPr>
          <w:rFonts w:ascii="Times New Roman" w:eastAsia="Times New Roman" w:hAnsi="Times New Roman" w:cs="Times New Roman"/>
          <w:sz w:val="22"/>
          <w:szCs w:val="22"/>
          <w:lang w:val="es-ES_tradnl" w:eastAsia="es-ES"/>
        </w:rPr>
        <w:t>4</w:t>
      </w:r>
      <w:r w:rsidRPr="004A66F0">
        <w:rPr>
          <w:rFonts w:ascii="Times New Roman" w:eastAsia="Times New Roman" w:hAnsi="Times New Roman" w:cs="Times New Roman"/>
          <w:sz w:val="22"/>
          <w:szCs w:val="22"/>
          <w:lang w:val="es-ES_tradnl" w:eastAsia="es-ES"/>
        </w:rPr>
        <w:t>% corresponde</w:t>
      </w:r>
      <w:r w:rsidR="005112CE">
        <w:rPr>
          <w:rFonts w:ascii="Times New Roman" w:eastAsia="Times New Roman" w:hAnsi="Times New Roman" w:cs="Times New Roman"/>
          <w:sz w:val="22"/>
          <w:szCs w:val="22"/>
          <w:lang w:val="es-ES_tradnl" w:eastAsia="es-ES"/>
        </w:rPr>
        <w:t xml:space="preserve"> al Decreto </w:t>
      </w:r>
      <w:r w:rsidR="005F7CDA">
        <w:rPr>
          <w:rFonts w:ascii="Times New Roman" w:eastAsia="Times New Roman" w:hAnsi="Times New Roman" w:cs="Times New Roman"/>
          <w:sz w:val="22"/>
          <w:szCs w:val="22"/>
          <w:lang w:val="es-ES_tradnl" w:eastAsia="es-ES"/>
        </w:rPr>
        <w:t xml:space="preserve">Número </w:t>
      </w:r>
      <w:r w:rsidR="005112CE">
        <w:rPr>
          <w:rFonts w:ascii="Times New Roman" w:eastAsia="Times New Roman" w:hAnsi="Times New Roman" w:cs="Times New Roman"/>
          <w:sz w:val="22"/>
          <w:szCs w:val="22"/>
          <w:lang w:val="es-ES_tradnl" w:eastAsia="es-ES"/>
        </w:rPr>
        <w:t xml:space="preserve">21-2022 </w:t>
      </w:r>
      <w:r w:rsidR="005112CE" w:rsidRPr="005112CE">
        <w:rPr>
          <w:rFonts w:ascii="Times New Roman" w:eastAsia="Times New Roman" w:hAnsi="Times New Roman" w:cs="Times New Roman"/>
          <w:sz w:val="22"/>
          <w:szCs w:val="22"/>
          <w:lang w:val="es-ES_tradnl" w:eastAsia="es-ES"/>
        </w:rPr>
        <w:t>“Ley para fortalecer el mantenimiento y construcción de infraestructura estratégica”</w:t>
      </w:r>
      <w:r w:rsidR="000B3BF3">
        <w:rPr>
          <w:rFonts w:ascii="Times New Roman" w:eastAsia="Times New Roman" w:hAnsi="Times New Roman" w:cs="Times New Roman"/>
          <w:sz w:val="22"/>
          <w:szCs w:val="22"/>
          <w:lang w:val="es-ES_tradnl" w:eastAsia="es-ES"/>
        </w:rPr>
        <w:t xml:space="preserve">, el 18.9% corresponde al incremento de las jubilaciones y pensiones del régimen de clases pasivas y civiles del Estado, el 11.0% corresponde a los </w:t>
      </w:r>
      <w:r w:rsidR="000B3BF3" w:rsidRPr="000B3BF3">
        <w:rPr>
          <w:rFonts w:ascii="Times New Roman" w:eastAsia="Times New Roman" w:hAnsi="Times New Roman" w:cs="Times New Roman"/>
          <w:sz w:val="22"/>
          <w:szCs w:val="22"/>
          <w:lang w:val="es-ES_tradnl" w:eastAsia="es-ES"/>
        </w:rPr>
        <w:t xml:space="preserve">beneficiarios del Decreto </w:t>
      </w:r>
      <w:r w:rsidR="005F7CDA">
        <w:rPr>
          <w:rFonts w:ascii="Times New Roman" w:eastAsia="Times New Roman" w:hAnsi="Times New Roman" w:cs="Times New Roman"/>
          <w:sz w:val="22"/>
          <w:szCs w:val="22"/>
          <w:lang w:val="es-ES_tradnl" w:eastAsia="es-ES"/>
        </w:rPr>
        <w:t xml:space="preserve">Número </w:t>
      </w:r>
      <w:r w:rsidR="000B3BF3" w:rsidRPr="000B3BF3">
        <w:rPr>
          <w:rFonts w:ascii="Times New Roman" w:eastAsia="Times New Roman" w:hAnsi="Times New Roman" w:cs="Times New Roman"/>
          <w:sz w:val="22"/>
          <w:szCs w:val="22"/>
          <w:lang w:val="es-ES_tradnl" w:eastAsia="es-ES"/>
        </w:rPr>
        <w:t>51-2022 "Ley Temporal de Desarrollo Integral"</w:t>
      </w:r>
      <w:r w:rsidR="000B3BF3">
        <w:rPr>
          <w:rFonts w:ascii="Times New Roman" w:eastAsia="Times New Roman" w:hAnsi="Times New Roman" w:cs="Times New Roman"/>
          <w:sz w:val="22"/>
          <w:szCs w:val="22"/>
          <w:lang w:val="es-ES_tradnl" w:eastAsia="es-ES"/>
        </w:rPr>
        <w:t>, el 10.9% corresponde a los apoyos temporales otorgados en 2023 tanto en gas propano como la a</w:t>
      </w:r>
      <w:r w:rsidR="000B3BF3" w:rsidRPr="000B3BF3">
        <w:rPr>
          <w:rFonts w:ascii="Times New Roman" w:eastAsia="Times New Roman" w:hAnsi="Times New Roman" w:cs="Times New Roman"/>
          <w:sz w:val="22"/>
          <w:szCs w:val="22"/>
          <w:lang w:val="es-ES_tradnl" w:eastAsia="es-ES"/>
        </w:rPr>
        <w:t>mpliación para cumplir con el subsidio de la tarifa social de energía eléctrica,</w:t>
      </w:r>
      <w:r w:rsidR="000B3BF3">
        <w:rPr>
          <w:rFonts w:ascii="Times New Roman" w:eastAsia="Times New Roman" w:hAnsi="Times New Roman" w:cs="Times New Roman"/>
          <w:sz w:val="22"/>
          <w:szCs w:val="22"/>
          <w:lang w:val="es-ES_tradnl" w:eastAsia="es-ES"/>
        </w:rPr>
        <w:t xml:space="preserve"> el 10.8% corresponde a ampliaciones a favor de los CODEDES, el 10.7% corresponde al programa de aporte económico al adulto mayor según Decreto </w:t>
      </w:r>
      <w:r w:rsidR="005F7CDA">
        <w:rPr>
          <w:rFonts w:ascii="Times New Roman" w:eastAsia="Times New Roman" w:hAnsi="Times New Roman" w:cs="Times New Roman"/>
          <w:sz w:val="22"/>
          <w:szCs w:val="22"/>
          <w:lang w:val="es-ES_tradnl" w:eastAsia="es-ES"/>
        </w:rPr>
        <w:t xml:space="preserve">Número </w:t>
      </w:r>
      <w:r w:rsidR="000B3BF3">
        <w:rPr>
          <w:rFonts w:ascii="Times New Roman" w:eastAsia="Times New Roman" w:hAnsi="Times New Roman" w:cs="Times New Roman"/>
          <w:sz w:val="22"/>
          <w:szCs w:val="22"/>
          <w:lang w:val="es-ES_tradnl" w:eastAsia="es-ES"/>
        </w:rPr>
        <w:t>10-2023</w:t>
      </w:r>
      <w:r w:rsidR="00B94D89">
        <w:rPr>
          <w:rFonts w:ascii="Times New Roman" w:eastAsia="Times New Roman" w:hAnsi="Times New Roman" w:cs="Times New Roman"/>
          <w:sz w:val="22"/>
          <w:szCs w:val="22"/>
          <w:lang w:val="es-ES_tradnl" w:eastAsia="es-ES"/>
        </w:rPr>
        <w:t xml:space="preserve"> y</w:t>
      </w:r>
      <w:r w:rsidR="000B3BF3">
        <w:rPr>
          <w:rFonts w:ascii="Times New Roman" w:eastAsia="Times New Roman" w:hAnsi="Times New Roman" w:cs="Times New Roman"/>
          <w:sz w:val="22"/>
          <w:szCs w:val="22"/>
          <w:lang w:val="es-ES_tradnl" w:eastAsia="es-ES"/>
        </w:rPr>
        <w:t xml:space="preserve"> el </w:t>
      </w:r>
      <w:r w:rsidR="00E12E72">
        <w:rPr>
          <w:rFonts w:ascii="Times New Roman" w:eastAsia="Times New Roman" w:hAnsi="Times New Roman" w:cs="Times New Roman"/>
          <w:sz w:val="22"/>
          <w:szCs w:val="22"/>
          <w:lang w:val="es-ES_tradnl" w:eastAsia="es-ES"/>
        </w:rPr>
        <w:t xml:space="preserve">2.3% </w:t>
      </w:r>
      <w:r w:rsidR="000B3BF3">
        <w:rPr>
          <w:rFonts w:ascii="Times New Roman" w:eastAsia="Times New Roman" w:hAnsi="Times New Roman" w:cs="Times New Roman"/>
          <w:sz w:val="22"/>
          <w:szCs w:val="22"/>
          <w:lang w:val="es-ES_tradnl" w:eastAsia="es-ES"/>
        </w:rPr>
        <w:t>rest</w:t>
      </w:r>
      <w:r w:rsidR="00E12E72">
        <w:rPr>
          <w:rFonts w:ascii="Times New Roman" w:eastAsia="Times New Roman" w:hAnsi="Times New Roman" w:cs="Times New Roman"/>
          <w:sz w:val="22"/>
          <w:szCs w:val="22"/>
          <w:lang w:val="es-ES_tradnl" w:eastAsia="es-ES"/>
        </w:rPr>
        <w:t>ante</w:t>
      </w:r>
      <w:r w:rsidR="000B3BF3">
        <w:rPr>
          <w:rFonts w:ascii="Times New Roman" w:eastAsia="Times New Roman" w:hAnsi="Times New Roman" w:cs="Times New Roman"/>
          <w:sz w:val="22"/>
          <w:szCs w:val="22"/>
          <w:lang w:val="es-ES_tradnl" w:eastAsia="es-ES"/>
        </w:rPr>
        <w:t xml:space="preserve"> corresponde a otras ampliaciones menores.</w:t>
      </w:r>
    </w:p>
    <w:p w14:paraId="777B27D6" w14:textId="4AB427E4" w:rsidR="003F65C5" w:rsidRDefault="003F65C5" w:rsidP="0039645E">
      <w:pPr>
        <w:jc w:val="both"/>
        <w:rPr>
          <w:rFonts w:ascii="Times New Roman" w:eastAsia="Times New Roman" w:hAnsi="Times New Roman" w:cs="Times New Roman"/>
          <w:sz w:val="22"/>
          <w:szCs w:val="22"/>
          <w:lang w:val="es-ES_tradnl" w:eastAsia="es-ES"/>
        </w:rPr>
      </w:pPr>
    </w:p>
    <w:p w14:paraId="716470E3" w14:textId="77777777" w:rsidR="00761981" w:rsidRDefault="00761981" w:rsidP="00EF7DA9">
      <w:pPr>
        <w:jc w:val="center"/>
        <w:rPr>
          <w:rFonts w:ascii="Times New Roman" w:eastAsia="Times New Roman" w:hAnsi="Times New Roman" w:cs="Times New Roman"/>
          <w:b/>
          <w:bCs/>
          <w:lang w:val="es-ES_tradnl" w:eastAsia="es-ES"/>
        </w:rPr>
      </w:pPr>
    </w:p>
    <w:p w14:paraId="32005115" w14:textId="77777777" w:rsidR="00761981" w:rsidRDefault="00761981" w:rsidP="00EF7DA9">
      <w:pPr>
        <w:jc w:val="center"/>
        <w:rPr>
          <w:rFonts w:ascii="Times New Roman" w:eastAsia="Times New Roman" w:hAnsi="Times New Roman" w:cs="Times New Roman"/>
          <w:b/>
          <w:bCs/>
          <w:lang w:val="es-ES_tradnl" w:eastAsia="es-ES"/>
        </w:rPr>
      </w:pPr>
    </w:p>
    <w:p w14:paraId="3AD84028" w14:textId="77777777" w:rsidR="00761981" w:rsidRDefault="00761981" w:rsidP="00EF7DA9">
      <w:pPr>
        <w:jc w:val="center"/>
        <w:rPr>
          <w:rFonts w:ascii="Times New Roman" w:eastAsia="Times New Roman" w:hAnsi="Times New Roman" w:cs="Times New Roman"/>
          <w:b/>
          <w:bCs/>
          <w:lang w:val="es-ES_tradnl" w:eastAsia="es-ES"/>
        </w:rPr>
      </w:pPr>
    </w:p>
    <w:p w14:paraId="5810A60E" w14:textId="77777777" w:rsidR="00761981" w:rsidRDefault="00761981" w:rsidP="00EF7DA9">
      <w:pPr>
        <w:jc w:val="center"/>
        <w:rPr>
          <w:rFonts w:ascii="Times New Roman" w:eastAsia="Times New Roman" w:hAnsi="Times New Roman" w:cs="Times New Roman"/>
          <w:b/>
          <w:bCs/>
          <w:lang w:val="es-ES_tradnl" w:eastAsia="es-ES"/>
        </w:rPr>
      </w:pPr>
    </w:p>
    <w:p w14:paraId="38FA4352" w14:textId="2C654FBE" w:rsidR="00761981" w:rsidRDefault="00761981" w:rsidP="00EF7DA9">
      <w:pPr>
        <w:jc w:val="center"/>
        <w:rPr>
          <w:rFonts w:ascii="Times New Roman" w:eastAsia="Times New Roman" w:hAnsi="Times New Roman" w:cs="Times New Roman"/>
          <w:b/>
          <w:bCs/>
          <w:lang w:val="es-ES_tradnl" w:eastAsia="es-ES"/>
        </w:rPr>
      </w:pPr>
    </w:p>
    <w:p w14:paraId="45B0E618" w14:textId="2E77F7CB" w:rsidR="00B842A5" w:rsidRDefault="00B842A5" w:rsidP="00EF7DA9">
      <w:pPr>
        <w:jc w:val="center"/>
        <w:rPr>
          <w:rFonts w:ascii="Times New Roman" w:eastAsia="Times New Roman" w:hAnsi="Times New Roman" w:cs="Times New Roman"/>
          <w:b/>
          <w:bCs/>
          <w:lang w:val="es-ES_tradnl" w:eastAsia="es-ES"/>
        </w:rPr>
      </w:pPr>
    </w:p>
    <w:p w14:paraId="4B69EEC0" w14:textId="77777777" w:rsidR="00B842A5" w:rsidRDefault="00B842A5" w:rsidP="00EF7DA9">
      <w:pPr>
        <w:jc w:val="center"/>
        <w:rPr>
          <w:rFonts w:ascii="Times New Roman" w:eastAsia="Times New Roman" w:hAnsi="Times New Roman" w:cs="Times New Roman"/>
          <w:b/>
          <w:bCs/>
          <w:lang w:val="es-ES_tradnl" w:eastAsia="es-ES"/>
        </w:rPr>
      </w:pPr>
    </w:p>
    <w:p w14:paraId="29DEB623" w14:textId="77777777" w:rsidR="00761981" w:rsidRDefault="00761981" w:rsidP="00EF7DA9">
      <w:pPr>
        <w:jc w:val="center"/>
        <w:rPr>
          <w:rFonts w:ascii="Times New Roman" w:eastAsia="Times New Roman" w:hAnsi="Times New Roman" w:cs="Times New Roman"/>
          <w:b/>
          <w:bCs/>
          <w:lang w:val="es-ES_tradnl" w:eastAsia="es-ES"/>
        </w:rPr>
      </w:pPr>
    </w:p>
    <w:p w14:paraId="7683BD95" w14:textId="53B8900A" w:rsidR="00EF7DA9" w:rsidRPr="00B842A5" w:rsidRDefault="00B842A5" w:rsidP="00B842A5">
      <w:pPr>
        <w:pStyle w:val="Descripcin"/>
        <w:keepNext/>
        <w:spacing w:after="0"/>
        <w:jc w:val="center"/>
        <w:rPr>
          <w:sz w:val="22"/>
          <w:szCs w:val="22"/>
        </w:rPr>
      </w:pPr>
      <w:bookmarkStart w:id="68" w:name="_Toc160196918"/>
      <w:r w:rsidRPr="00B842A5">
        <w:rPr>
          <w:sz w:val="22"/>
          <w:szCs w:val="22"/>
        </w:rPr>
        <w:lastRenderedPageBreak/>
        <w:t xml:space="preserve">Tabla </w:t>
      </w:r>
      <w:r w:rsidRPr="00B842A5">
        <w:rPr>
          <w:sz w:val="22"/>
          <w:szCs w:val="22"/>
        </w:rPr>
        <w:fldChar w:fldCharType="begin"/>
      </w:r>
      <w:r w:rsidRPr="00B842A5">
        <w:rPr>
          <w:sz w:val="22"/>
          <w:szCs w:val="22"/>
        </w:rPr>
        <w:instrText xml:space="preserve"> SEQ Tabla \* ARABIC </w:instrText>
      </w:r>
      <w:r w:rsidRPr="00B842A5">
        <w:rPr>
          <w:sz w:val="22"/>
          <w:szCs w:val="22"/>
        </w:rPr>
        <w:fldChar w:fldCharType="separate"/>
      </w:r>
      <w:r w:rsidR="00C015DC">
        <w:rPr>
          <w:noProof/>
          <w:sz w:val="22"/>
          <w:szCs w:val="22"/>
        </w:rPr>
        <w:t>3</w:t>
      </w:r>
      <w:r w:rsidRPr="00B842A5">
        <w:rPr>
          <w:sz w:val="22"/>
          <w:szCs w:val="22"/>
        </w:rPr>
        <w:fldChar w:fldCharType="end"/>
      </w:r>
      <w:r>
        <w:rPr>
          <w:sz w:val="22"/>
          <w:szCs w:val="22"/>
        </w:rPr>
        <w:t xml:space="preserve">.  </w:t>
      </w:r>
      <w:r w:rsidR="00EF7DA9" w:rsidRPr="00B842A5">
        <w:rPr>
          <w:rFonts w:eastAsia="Times New Roman" w:cs="Times New Roman"/>
          <w:bCs/>
          <w:sz w:val="22"/>
          <w:szCs w:val="22"/>
          <w:lang w:val="es-ES_tradnl" w:eastAsia="es-ES"/>
        </w:rPr>
        <w:t>Ampliaciones Presupuestarias</w:t>
      </w:r>
      <w:r w:rsidR="005112CE" w:rsidRPr="00B842A5">
        <w:rPr>
          <w:rFonts w:eastAsia="Times New Roman" w:cs="Times New Roman"/>
          <w:bCs/>
          <w:sz w:val="22"/>
          <w:szCs w:val="22"/>
          <w:lang w:val="es-ES_tradnl" w:eastAsia="es-ES"/>
        </w:rPr>
        <w:t xml:space="preserve"> aprobadas en 2023</w:t>
      </w:r>
      <w:bookmarkEnd w:id="68"/>
    </w:p>
    <w:p w14:paraId="7A63CFB7" w14:textId="3D42D63A" w:rsidR="005112CE" w:rsidRPr="00B842A5" w:rsidRDefault="005112CE" w:rsidP="00EF7DA9">
      <w:pPr>
        <w:jc w:val="center"/>
        <w:rPr>
          <w:rFonts w:ascii="Times New Roman" w:eastAsia="Times New Roman" w:hAnsi="Times New Roman" w:cs="Times New Roman"/>
          <w:sz w:val="22"/>
          <w:szCs w:val="22"/>
          <w:lang w:val="es-ES_tradnl" w:eastAsia="es-ES"/>
        </w:rPr>
      </w:pPr>
      <w:r w:rsidRPr="00B842A5">
        <w:rPr>
          <w:rFonts w:ascii="Times New Roman" w:eastAsia="Times New Roman" w:hAnsi="Times New Roman" w:cs="Times New Roman"/>
          <w:sz w:val="22"/>
          <w:szCs w:val="22"/>
          <w:lang w:val="es-ES_tradnl" w:eastAsia="es-ES"/>
        </w:rPr>
        <w:t>Cifras en millones de quetzales</w:t>
      </w:r>
    </w:p>
    <w:p w14:paraId="4027E27A" w14:textId="26F14EAC" w:rsidR="003F65C5" w:rsidRDefault="00B60499" w:rsidP="0039645E">
      <w:pPr>
        <w:jc w:val="both"/>
        <w:rPr>
          <w:rFonts w:ascii="Times New Roman" w:eastAsia="Times New Roman" w:hAnsi="Times New Roman" w:cs="Times New Roman"/>
          <w:sz w:val="22"/>
          <w:szCs w:val="22"/>
          <w:lang w:val="es-ES_tradnl" w:eastAsia="es-ES"/>
        </w:rPr>
      </w:pPr>
      <w:r w:rsidRPr="005112CE">
        <w:rPr>
          <w:noProof/>
        </w:rPr>
        <w:drawing>
          <wp:anchor distT="0" distB="0" distL="114300" distR="114300" simplePos="0" relativeHeight="251666432" behindDoc="0" locked="0" layoutInCell="1" allowOverlap="1" wp14:anchorId="4BB4E505" wp14:editId="4094A9C2">
            <wp:simplePos x="0" y="0"/>
            <wp:positionH relativeFrom="column">
              <wp:posOffset>831215</wp:posOffset>
            </wp:positionH>
            <wp:positionV relativeFrom="paragraph">
              <wp:posOffset>131979</wp:posOffset>
            </wp:positionV>
            <wp:extent cx="4187190" cy="6122035"/>
            <wp:effectExtent l="0" t="0" r="381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87190" cy="6122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0E71C2" w14:textId="162ED3DB" w:rsidR="003F65C5" w:rsidRDefault="003F65C5" w:rsidP="0039645E">
      <w:pPr>
        <w:jc w:val="both"/>
        <w:rPr>
          <w:rFonts w:ascii="Times New Roman" w:eastAsia="Times New Roman" w:hAnsi="Times New Roman" w:cs="Times New Roman"/>
          <w:sz w:val="22"/>
          <w:szCs w:val="22"/>
          <w:lang w:val="es-ES_tradnl" w:eastAsia="es-ES"/>
        </w:rPr>
      </w:pPr>
    </w:p>
    <w:p w14:paraId="1D822AC3" w14:textId="77777777" w:rsidR="003F65C5" w:rsidRPr="004A66F0" w:rsidRDefault="003F65C5" w:rsidP="0039645E">
      <w:pPr>
        <w:jc w:val="both"/>
        <w:rPr>
          <w:rFonts w:ascii="Times New Roman" w:eastAsia="Times New Roman" w:hAnsi="Times New Roman" w:cs="Times New Roman"/>
          <w:sz w:val="22"/>
          <w:szCs w:val="22"/>
          <w:lang w:val="es-ES_tradnl" w:eastAsia="es-ES"/>
        </w:rPr>
      </w:pPr>
    </w:p>
    <w:p w14:paraId="377530B7" w14:textId="77777777" w:rsidR="0039645E" w:rsidRPr="004A66F0" w:rsidRDefault="0039645E" w:rsidP="0039645E">
      <w:pPr>
        <w:jc w:val="both"/>
        <w:rPr>
          <w:rFonts w:ascii="Times New Roman" w:eastAsia="Times New Roman" w:hAnsi="Times New Roman" w:cs="Times New Roman"/>
          <w:sz w:val="22"/>
          <w:szCs w:val="22"/>
          <w:lang w:val="es-ES_tradnl" w:eastAsia="es-ES"/>
        </w:rPr>
      </w:pPr>
    </w:p>
    <w:p w14:paraId="6DBD0172" w14:textId="77777777" w:rsidR="00EF7DA9" w:rsidRDefault="00EF7DA9" w:rsidP="0039645E">
      <w:pPr>
        <w:jc w:val="both"/>
        <w:rPr>
          <w:rFonts w:ascii="Times New Roman" w:eastAsia="Times New Roman" w:hAnsi="Times New Roman" w:cs="Times New Roman"/>
          <w:sz w:val="22"/>
          <w:szCs w:val="22"/>
          <w:lang w:val="es-ES_tradnl" w:eastAsia="es-ES"/>
        </w:rPr>
      </w:pPr>
    </w:p>
    <w:p w14:paraId="5C33A1A9" w14:textId="77777777" w:rsidR="00EF7DA9" w:rsidRDefault="00EF7DA9" w:rsidP="0039645E">
      <w:pPr>
        <w:jc w:val="both"/>
        <w:rPr>
          <w:rFonts w:ascii="Times New Roman" w:eastAsia="Times New Roman" w:hAnsi="Times New Roman" w:cs="Times New Roman"/>
          <w:sz w:val="22"/>
          <w:szCs w:val="22"/>
          <w:lang w:val="es-ES_tradnl" w:eastAsia="es-ES"/>
        </w:rPr>
      </w:pPr>
    </w:p>
    <w:p w14:paraId="47CB8625" w14:textId="77777777" w:rsidR="00EF7DA9" w:rsidRDefault="00EF7DA9" w:rsidP="0039645E">
      <w:pPr>
        <w:jc w:val="both"/>
        <w:rPr>
          <w:rFonts w:ascii="Times New Roman" w:eastAsia="Times New Roman" w:hAnsi="Times New Roman" w:cs="Times New Roman"/>
          <w:sz w:val="22"/>
          <w:szCs w:val="22"/>
          <w:lang w:val="es-ES_tradnl" w:eastAsia="es-ES"/>
        </w:rPr>
      </w:pPr>
    </w:p>
    <w:p w14:paraId="468162B3" w14:textId="77777777" w:rsidR="00EF7DA9" w:rsidRDefault="00EF7DA9" w:rsidP="0039645E">
      <w:pPr>
        <w:jc w:val="both"/>
        <w:rPr>
          <w:rFonts w:ascii="Times New Roman" w:eastAsia="Times New Roman" w:hAnsi="Times New Roman" w:cs="Times New Roman"/>
          <w:sz w:val="22"/>
          <w:szCs w:val="22"/>
          <w:lang w:val="es-ES_tradnl" w:eastAsia="es-ES"/>
        </w:rPr>
      </w:pPr>
    </w:p>
    <w:p w14:paraId="5A602C35" w14:textId="368CDBED" w:rsidR="00EF7DA9" w:rsidRDefault="00EF7DA9" w:rsidP="0039645E">
      <w:pPr>
        <w:jc w:val="both"/>
        <w:rPr>
          <w:rFonts w:ascii="Times New Roman" w:eastAsia="Times New Roman" w:hAnsi="Times New Roman" w:cs="Times New Roman"/>
          <w:sz w:val="22"/>
          <w:szCs w:val="22"/>
          <w:lang w:val="es-ES_tradnl" w:eastAsia="es-ES"/>
        </w:rPr>
      </w:pPr>
    </w:p>
    <w:p w14:paraId="54DDD170" w14:textId="2F0761E0" w:rsidR="00EF7DA9" w:rsidRDefault="00EF7DA9" w:rsidP="0039645E">
      <w:pPr>
        <w:jc w:val="both"/>
        <w:rPr>
          <w:rFonts w:ascii="Times New Roman" w:eastAsia="Times New Roman" w:hAnsi="Times New Roman" w:cs="Times New Roman"/>
          <w:sz w:val="22"/>
          <w:szCs w:val="22"/>
          <w:lang w:val="es-ES_tradnl" w:eastAsia="es-ES"/>
        </w:rPr>
      </w:pPr>
    </w:p>
    <w:p w14:paraId="49428E37" w14:textId="1956A488" w:rsidR="00EF7DA9" w:rsidRDefault="00EF7DA9" w:rsidP="0039645E">
      <w:pPr>
        <w:jc w:val="both"/>
        <w:rPr>
          <w:rFonts w:ascii="Times New Roman" w:eastAsia="Times New Roman" w:hAnsi="Times New Roman" w:cs="Times New Roman"/>
          <w:sz w:val="22"/>
          <w:szCs w:val="22"/>
          <w:lang w:val="es-ES_tradnl" w:eastAsia="es-ES"/>
        </w:rPr>
      </w:pPr>
    </w:p>
    <w:p w14:paraId="2BF2B300" w14:textId="18C9C651" w:rsidR="00EF7DA9" w:rsidRDefault="00EF7DA9" w:rsidP="0039645E">
      <w:pPr>
        <w:jc w:val="both"/>
        <w:rPr>
          <w:rFonts w:ascii="Times New Roman" w:eastAsia="Times New Roman" w:hAnsi="Times New Roman" w:cs="Times New Roman"/>
          <w:sz w:val="22"/>
          <w:szCs w:val="22"/>
          <w:lang w:val="es-ES_tradnl" w:eastAsia="es-ES"/>
        </w:rPr>
      </w:pPr>
    </w:p>
    <w:p w14:paraId="0FC9D790" w14:textId="4D5F6363" w:rsidR="00EF7DA9" w:rsidRDefault="00EF7DA9" w:rsidP="0039645E">
      <w:pPr>
        <w:jc w:val="both"/>
        <w:rPr>
          <w:rFonts w:ascii="Times New Roman" w:eastAsia="Times New Roman" w:hAnsi="Times New Roman" w:cs="Times New Roman"/>
          <w:sz w:val="22"/>
          <w:szCs w:val="22"/>
          <w:lang w:val="es-ES_tradnl" w:eastAsia="es-ES"/>
        </w:rPr>
      </w:pPr>
    </w:p>
    <w:p w14:paraId="5F74B005" w14:textId="1A918E9A" w:rsidR="00EF7DA9" w:rsidRDefault="00EF7DA9" w:rsidP="0039645E">
      <w:pPr>
        <w:jc w:val="both"/>
        <w:rPr>
          <w:rFonts w:ascii="Times New Roman" w:eastAsia="Times New Roman" w:hAnsi="Times New Roman" w:cs="Times New Roman"/>
          <w:sz w:val="22"/>
          <w:szCs w:val="22"/>
          <w:lang w:val="es-ES_tradnl" w:eastAsia="es-ES"/>
        </w:rPr>
      </w:pPr>
    </w:p>
    <w:p w14:paraId="5D187B2B" w14:textId="0F39F691" w:rsidR="00EF7DA9" w:rsidRDefault="00EF7DA9" w:rsidP="0039645E">
      <w:pPr>
        <w:jc w:val="both"/>
        <w:rPr>
          <w:rFonts w:ascii="Times New Roman" w:eastAsia="Times New Roman" w:hAnsi="Times New Roman" w:cs="Times New Roman"/>
          <w:sz w:val="22"/>
          <w:szCs w:val="22"/>
          <w:lang w:val="es-ES_tradnl" w:eastAsia="es-ES"/>
        </w:rPr>
      </w:pPr>
    </w:p>
    <w:p w14:paraId="3DB4D944" w14:textId="5DFFCF35" w:rsidR="00EF7DA9" w:rsidRDefault="00EF7DA9" w:rsidP="0039645E">
      <w:pPr>
        <w:jc w:val="both"/>
        <w:rPr>
          <w:rFonts w:ascii="Times New Roman" w:eastAsia="Times New Roman" w:hAnsi="Times New Roman" w:cs="Times New Roman"/>
          <w:sz w:val="22"/>
          <w:szCs w:val="22"/>
          <w:lang w:val="es-ES_tradnl" w:eastAsia="es-ES"/>
        </w:rPr>
      </w:pPr>
    </w:p>
    <w:p w14:paraId="39BD055D" w14:textId="238383D9" w:rsidR="00EF7DA9" w:rsidRDefault="00EF7DA9" w:rsidP="0039645E">
      <w:pPr>
        <w:jc w:val="both"/>
        <w:rPr>
          <w:rFonts w:ascii="Times New Roman" w:eastAsia="Times New Roman" w:hAnsi="Times New Roman" w:cs="Times New Roman"/>
          <w:sz w:val="22"/>
          <w:szCs w:val="22"/>
          <w:lang w:val="es-ES_tradnl" w:eastAsia="es-ES"/>
        </w:rPr>
      </w:pPr>
    </w:p>
    <w:p w14:paraId="0765E51E" w14:textId="6B1355BC" w:rsidR="00EF7DA9" w:rsidRDefault="00EF7DA9" w:rsidP="0039645E">
      <w:pPr>
        <w:jc w:val="both"/>
        <w:rPr>
          <w:rFonts w:ascii="Times New Roman" w:eastAsia="Times New Roman" w:hAnsi="Times New Roman" w:cs="Times New Roman"/>
          <w:sz w:val="22"/>
          <w:szCs w:val="22"/>
          <w:lang w:val="es-ES_tradnl" w:eastAsia="es-ES"/>
        </w:rPr>
      </w:pPr>
    </w:p>
    <w:p w14:paraId="5FCD0315" w14:textId="56FC2B26" w:rsidR="00EF7DA9" w:rsidRDefault="00EF7DA9" w:rsidP="0039645E">
      <w:pPr>
        <w:jc w:val="both"/>
        <w:rPr>
          <w:rFonts w:ascii="Times New Roman" w:eastAsia="Times New Roman" w:hAnsi="Times New Roman" w:cs="Times New Roman"/>
          <w:sz w:val="22"/>
          <w:szCs w:val="22"/>
          <w:lang w:val="es-ES_tradnl" w:eastAsia="es-ES"/>
        </w:rPr>
      </w:pPr>
    </w:p>
    <w:p w14:paraId="23102793" w14:textId="3DCAF2EB" w:rsidR="00EF7DA9" w:rsidRDefault="00EF7DA9" w:rsidP="0039645E">
      <w:pPr>
        <w:jc w:val="both"/>
        <w:rPr>
          <w:rFonts w:ascii="Times New Roman" w:eastAsia="Times New Roman" w:hAnsi="Times New Roman" w:cs="Times New Roman"/>
          <w:sz w:val="22"/>
          <w:szCs w:val="22"/>
          <w:lang w:val="es-ES_tradnl" w:eastAsia="es-ES"/>
        </w:rPr>
      </w:pPr>
    </w:p>
    <w:p w14:paraId="2DD5E3E9" w14:textId="01952083" w:rsidR="00EF7DA9" w:rsidRDefault="00EF7DA9" w:rsidP="0039645E">
      <w:pPr>
        <w:jc w:val="both"/>
        <w:rPr>
          <w:rFonts w:ascii="Times New Roman" w:eastAsia="Times New Roman" w:hAnsi="Times New Roman" w:cs="Times New Roman"/>
          <w:sz w:val="22"/>
          <w:szCs w:val="22"/>
          <w:lang w:val="es-ES_tradnl" w:eastAsia="es-ES"/>
        </w:rPr>
      </w:pPr>
    </w:p>
    <w:p w14:paraId="510D0446" w14:textId="7B69E498" w:rsidR="00EF7DA9" w:rsidRDefault="00EF7DA9" w:rsidP="0039645E">
      <w:pPr>
        <w:jc w:val="both"/>
        <w:rPr>
          <w:rFonts w:ascii="Times New Roman" w:eastAsia="Times New Roman" w:hAnsi="Times New Roman" w:cs="Times New Roman"/>
          <w:sz w:val="22"/>
          <w:szCs w:val="22"/>
          <w:lang w:val="es-ES_tradnl" w:eastAsia="es-ES"/>
        </w:rPr>
      </w:pPr>
    </w:p>
    <w:p w14:paraId="2873877E" w14:textId="7321B261" w:rsidR="00EF7DA9" w:rsidRDefault="00EF7DA9" w:rsidP="0039645E">
      <w:pPr>
        <w:jc w:val="both"/>
        <w:rPr>
          <w:rFonts w:ascii="Times New Roman" w:eastAsia="Times New Roman" w:hAnsi="Times New Roman" w:cs="Times New Roman"/>
          <w:sz w:val="22"/>
          <w:szCs w:val="22"/>
          <w:lang w:val="es-ES_tradnl" w:eastAsia="es-ES"/>
        </w:rPr>
      </w:pPr>
    </w:p>
    <w:p w14:paraId="6EC5299F" w14:textId="1CDAB8AB" w:rsidR="00EF7DA9" w:rsidRDefault="00EF7DA9" w:rsidP="0039645E">
      <w:pPr>
        <w:jc w:val="both"/>
        <w:rPr>
          <w:rFonts w:ascii="Times New Roman" w:eastAsia="Times New Roman" w:hAnsi="Times New Roman" w:cs="Times New Roman"/>
          <w:sz w:val="22"/>
          <w:szCs w:val="22"/>
          <w:lang w:val="es-ES_tradnl" w:eastAsia="es-ES"/>
        </w:rPr>
      </w:pPr>
    </w:p>
    <w:p w14:paraId="0DEB2DFF" w14:textId="12505A1E" w:rsidR="00EF7DA9" w:rsidRDefault="00EF7DA9" w:rsidP="0039645E">
      <w:pPr>
        <w:jc w:val="both"/>
        <w:rPr>
          <w:rFonts w:ascii="Times New Roman" w:eastAsia="Times New Roman" w:hAnsi="Times New Roman" w:cs="Times New Roman"/>
          <w:sz w:val="22"/>
          <w:szCs w:val="22"/>
          <w:lang w:val="es-ES_tradnl" w:eastAsia="es-ES"/>
        </w:rPr>
      </w:pPr>
    </w:p>
    <w:p w14:paraId="2F9DF981" w14:textId="5A79A413" w:rsidR="00EF7DA9" w:rsidRDefault="00EF7DA9" w:rsidP="0039645E">
      <w:pPr>
        <w:jc w:val="both"/>
        <w:rPr>
          <w:rFonts w:ascii="Times New Roman" w:eastAsia="Times New Roman" w:hAnsi="Times New Roman" w:cs="Times New Roman"/>
          <w:sz w:val="22"/>
          <w:szCs w:val="22"/>
          <w:lang w:val="es-ES_tradnl" w:eastAsia="es-ES"/>
        </w:rPr>
      </w:pPr>
    </w:p>
    <w:p w14:paraId="0798616B" w14:textId="7BDE0AA7" w:rsidR="00EF7DA9" w:rsidRDefault="00EF7DA9" w:rsidP="0039645E">
      <w:pPr>
        <w:jc w:val="both"/>
        <w:rPr>
          <w:rFonts w:ascii="Times New Roman" w:eastAsia="Times New Roman" w:hAnsi="Times New Roman" w:cs="Times New Roman"/>
          <w:sz w:val="22"/>
          <w:szCs w:val="22"/>
          <w:lang w:val="es-ES_tradnl" w:eastAsia="es-ES"/>
        </w:rPr>
      </w:pPr>
    </w:p>
    <w:p w14:paraId="104B9F22" w14:textId="40249592" w:rsidR="00EF7DA9" w:rsidRDefault="00EF7DA9" w:rsidP="0039645E">
      <w:pPr>
        <w:jc w:val="both"/>
        <w:rPr>
          <w:rFonts w:ascii="Times New Roman" w:eastAsia="Times New Roman" w:hAnsi="Times New Roman" w:cs="Times New Roman"/>
          <w:sz w:val="22"/>
          <w:szCs w:val="22"/>
          <w:lang w:val="es-ES_tradnl" w:eastAsia="es-ES"/>
        </w:rPr>
      </w:pPr>
    </w:p>
    <w:p w14:paraId="568AE10C" w14:textId="28E86F7D" w:rsidR="00EF7DA9" w:rsidRDefault="00EF7DA9" w:rsidP="0039645E">
      <w:pPr>
        <w:jc w:val="both"/>
        <w:rPr>
          <w:rFonts w:ascii="Times New Roman" w:eastAsia="Times New Roman" w:hAnsi="Times New Roman" w:cs="Times New Roman"/>
          <w:sz w:val="22"/>
          <w:szCs w:val="22"/>
          <w:lang w:val="es-ES_tradnl" w:eastAsia="es-ES"/>
        </w:rPr>
      </w:pPr>
    </w:p>
    <w:p w14:paraId="7809D7FD" w14:textId="2CAFECFD" w:rsidR="00EF7DA9" w:rsidRDefault="00EF7DA9" w:rsidP="0039645E">
      <w:pPr>
        <w:jc w:val="both"/>
        <w:rPr>
          <w:rFonts w:ascii="Times New Roman" w:eastAsia="Times New Roman" w:hAnsi="Times New Roman" w:cs="Times New Roman"/>
          <w:sz w:val="22"/>
          <w:szCs w:val="22"/>
          <w:lang w:val="es-ES_tradnl" w:eastAsia="es-ES"/>
        </w:rPr>
      </w:pPr>
    </w:p>
    <w:p w14:paraId="742364EC" w14:textId="0CE3A8B9" w:rsidR="00EF7DA9" w:rsidRDefault="00EF7DA9" w:rsidP="0039645E">
      <w:pPr>
        <w:jc w:val="both"/>
        <w:rPr>
          <w:rFonts w:ascii="Times New Roman" w:eastAsia="Times New Roman" w:hAnsi="Times New Roman" w:cs="Times New Roman"/>
          <w:sz w:val="22"/>
          <w:szCs w:val="22"/>
          <w:lang w:val="es-ES_tradnl" w:eastAsia="es-ES"/>
        </w:rPr>
      </w:pPr>
    </w:p>
    <w:p w14:paraId="14CC85C5" w14:textId="053491C4" w:rsidR="00EF7DA9" w:rsidRDefault="00EF7DA9" w:rsidP="0039645E">
      <w:pPr>
        <w:jc w:val="both"/>
        <w:rPr>
          <w:rFonts w:ascii="Times New Roman" w:eastAsia="Times New Roman" w:hAnsi="Times New Roman" w:cs="Times New Roman"/>
          <w:sz w:val="22"/>
          <w:szCs w:val="22"/>
          <w:lang w:val="es-ES_tradnl" w:eastAsia="es-ES"/>
        </w:rPr>
      </w:pPr>
    </w:p>
    <w:p w14:paraId="4CC8AC59" w14:textId="4988A940" w:rsidR="00EF7DA9" w:rsidRDefault="00EF7DA9" w:rsidP="0039645E">
      <w:pPr>
        <w:jc w:val="both"/>
        <w:rPr>
          <w:rFonts w:ascii="Times New Roman" w:eastAsia="Times New Roman" w:hAnsi="Times New Roman" w:cs="Times New Roman"/>
          <w:sz w:val="22"/>
          <w:szCs w:val="22"/>
          <w:lang w:val="es-ES_tradnl" w:eastAsia="es-ES"/>
        </w:rPr>
      </w:pPr>
    </w:p>
    <w:p w14:paraId="1AD1CAB4" w14:textId="7D5A15AE" w:rsidR="00EF7DA9" w:rsidRDefault="00EF7DA9" w:rsidP="0039645E">
      <w:pPr>
        <w:jc w:val="both"/>
        <w:rPr>
          <w:rFonts w:ascii="Times New Roman" w:eastAsia="Times New Roman" w:hAnsi="Times New Roman" w:cs="Times New Roman"/>
          <w:sz w:val="22"/>
          <w:szCs w:val="22"/>
          <w:lang w:val="es-ES_tradnl" w:eastAsia="es-ES"/>
        </w:rPr>
      </w:pPr>
    </w:p>
    <w:p w14:paraId="03FEC08E" w14:textId="5F2DC34D" w:rsidR="00EF7DA9" w:rsidRDefault="00EF7DA9" w:rsidP="0039645E">
      <w:pPr>
        <w:jc w:val="both"/>
        <w:rPr>
          <w:rFonts w:ascii="Times New Roman" w:eastAsia="Times New Roman" w:hAnsi="Times New Roman" w:cs="Times New Roman"/>
          <w:sz w:val="22"/>
          <w:szCs w:val="22"/>
          <w:lang w:val="es-ES_tradnl" w:eastAsia="es-ES"/>
        </w:rPr>
      </w:pPr>
    </w:p>
    <w:p w14:paraId="0AFF8049" w14:textId="77777777" w:rsidR="00C6124F" w:rsidRDefault="00C6124F" w:rsidP="0039645E">
      <w:pPr>
        <w:jc w:val="both"/>
        <w:rPr>
          <w:rFonts w:ascii="Times New Roman" w:eastAsia="Times New Roman" w:hAnsi="Times New Roman" w:cs="Times New Roman"/>
          <w:sz w:val="22"/>
          <w:szCs w:val="22"/>
          <w:lang w:val="es-ES_tradnl" w:eastAsia="es-ES"/>
        </w:rPr>
      </w:pPr>
    </w:p>
    <w:p w14:paraId="79AA5841" w14:textId="31246E2F" w:rsidR="00EF7DA9" w:rsidRDefault="00EF7DA9" w:rsidP="0039645E">
      <w:pPr>
        <w:jc w:val="both"/>
        <w:rPr>
          <w:rFonts w:ascii="Times New Roman" w:eastAsia="Times New Roman" w:hAnsi="Times New Roman" w:cs="Times New Roman"/>
          <w:sz w:val="22"/>
          <w:szCs w:val="22"/>
          <w:lang w:val="es-ES_tradnl" w:eastAsia="es-ES"/>
        </w:rPr>
      </w:pPr>
    </w:p>
    <w:p w14:paraId="5DA3C076" w14:textId="6E1B6254" w:rsidR="00B842A5" w:rsidRDefault="00B842A5" w:rsidP="0039645E">
      <w:pPr>
        <w:jc w:val="both"/>
        <w:rPr>
          <w:rFonts w:ascii="Times New Roman" w:eastAsia="Times New Roman" w:hAnsi="Times New Roman" w:cs="Times New Roman"/>
          <w:sz w:val="22"/>
          <w:szCs w:val="22"/>
          <w:lang w:val="es-ES_tradnl" w:eastAsia="es-ES"/>
        </w:rPr>
      </w:pPr>
    </w:p>
    <w:p w14:paraId="2B982D33" w14:textId="77777777" w:rsidR="00B842A5" w:rsidRDefault="00B842A5" w:rsidP="0039645E">
      <w:pPr>
        <w:jc w:val="both"/>
        <w:rPr>
          <w:rFonts w:ascii="Times New Roman" w:eastAsia="Times New Roman" w:hAnsi="Times New Roman" w:cs="Times New Roman"/>
          <w:sz w:val="22"/>
          <w:szCs w:val="22"/>
          <w:lang w:val="es-ES_tradnl" w:eastAsia="es-ES"/>
        </w:rPr>
      </w:pPr>
    </w:p>
    <w:p w14:paraId="4F290C6A" w14:textId="7F6A0702" w:rsidR="00EF7DA9" w:rsidRPr="00EF7DA9" w:rsidRDefault="00EF7DA9" w:rsidP="002C35EB">
      <w:pPr>
        <w:ind w:left="1416"/>
        <w:jc w:val="both"/>
        <w:rPr>
          <w:rFonts w:ascii="Times New Roman" w:eastAsia="Times New Roman" w:hAnsi="Times New Roman" w:cs="Times New Roman"/>
          <w:sz w:val="18"/>
          <w:szCs w:val="18"/>
          <w:lang w:val="es-ES_tradnl" w:eastAsia="es-ES"/>
        </w:rPr>
      </w:pPr>
      <w:r w:rsidRPr="00EF7DA9">
        <w:rPr>
          <w:rFonts w:ascii="Times New Roman" w:eastAsia="Times New Roman" w:hAnsi="Times New Roman" w:cs="Times New Roman"/>
          <w:sz w:val="18"/>
          <w:szCs w:val="18"/>
          <w:lang w:val="es-ES_tradnl" w:eastAsia="es-ES"/>
        </w:rPr>
        <w:t>Fuente: SICOIN</w:t>
      </w:r>
    </w:p>
    <w:p w14:paraId="24CA7A80" w14:textId="06CA540D" w:rsidR="00EF7DA9" w:rsidRDefault="00EF7DA9" w:rsidP="0039645E">
      <w:pPr>
        <w:jc w:val="both"/>
        <w:rPr>
          <w:rFonts w:ascii="Times New Roman" w:eastAsia="Times New Roman" w:hAnsi="Times New Roman" w:cs="Times New Roman"/>
          <w:sz w:val="22"/>
          <w:szCs w:val="22"/>
          <w:lang w:val="es-ES_tradnl" w:eastAsia="es-ES"/>
        </w:rPr>
      </w:pPr>
    </w:p>
    <w:p w14:paraId="374AE46C" w14:textId="26D8A660" w:rsidR="007A72A0" w:rsidRDefault="0039645E" w:rsidP="0039645E">
      <w:pPr>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 xml:space="preserve">Dentro de las entidades es posible observar una </w:t>
      </w:r>
      <w:r w:rsidR="007A72A0">
        <w:rPr>
          <w:rFonts w:ascii="Times New Roman" w:eastAsia="Times New Roman" w:hAnsi="Times New Roman" w:cs="Times New Roman"/>
          <w:sz w:val="22"/>
          <w:szCs w:val="22"/>
          <w:lang w:val="es-ES_tradnl" w:eastAsia="es-ES"/>
        </w:rPr>
        <w:t>desviación estándar</w:t>
      </w:r>
      <w:r w:rsidRPr="004A66F0">
        <w:rPr>
          <w:rFonts w:ascii="Times New Roman" w:eastAsia="Times New Roman" w:hAnsi="Times New Roman" w:cs="Times New Roman"/>
          <w:sz w:val="22"/>
          <w:szCs w:val="22"/>
          <w:lang w:val="es-ES_tradnl" w:eastAsia="es-ES"/>
        </w:rPr>
        <w:t xml:space="preserve"> en el grado de ejecución presupuestaria</w:t>
      </w:r>
      <w:r w:rsidR="007A72A0">
        <w:rPr>
          <w:rFonts w:ascii="Times New Roman" w:eastAsia="Times New Roman" w:hAnsi="Times New Roman" w:cs="Times New Roman"/>
          <w:sz w:val="22"/>
          <w:szCs w:val="22"/>
          <w:lang w:val="es-ES_tradnl" w:eastAsia="es-ES"/>
        </w:rPr>
        <w:t xml:space="preserve"> de 2.4%</w:t>
      </w:r>
      <w:r w:rsidRPr="004A66F0">
        <w:rPr>
          <w:rFonts w:ascii="Times New Roman" w:eastAsia="Times New Roman" w:hAnsi="Times New Roman" w:cs="Times New Roman"/>
          <w:sz w:val="22"/>
          <w:szCs w:val="22"/>
          <w:lang w:val="es-ES_tradnl" w:eastAsia="es-ES"/>
        </w:rPr>
        <w:t xml:space="preserve">, siendo la entidad que muestra el mayor grado de ejecución </w:t>
      </w:r>
      <w:r w:rsidR="007A72A0">
        <w:rPr>
          <w:rFonts w:ascii="Times New Roman" w:eastAsia="Times New Roman" w:hAnsi="Times New Roman" w:cs="Times New Roman"/>
          <w:sz w:val="22"/>
          <w:szCs w:val="22"/>
          <w:lang w:val="es-ES_tradnl" w:eastAsia="es-ES"/>
        </w:rPr>
        <w:t>el Ministerio de la Defensa Nacional (100.0</w:t>
      </w:r>
      <w:r w:rsidR="00073D12">
        <w:rPr>
          <w:rFonts w:ascii="Times New Roman" w:eastAsia="Times New Roman" w:hAnsi="Times New Roman" w:cs="Times New Roman"/>
          <w:sz w:val="22"/>
          <w:szCs w:val="22"/>
          <w:lang w:val="es-ES_tradnl" w:eastAsia="es-ES"/>
        </w:rPr>
        <w:t>%</w:t>
      </w:r>
      <w:r w:rsidR="007A72A0">
        <w:rPr>
          <w:rFonts w:ascii="Times New Roman" w:eastAsia="Times New Roman" w:hAnsi="Times New Roman" w:cs="Times New Roman"/>
          <w:sz w:val="22"/>
          <w:szCs w:val="22"/>
          <w:lang w:val="es-ES_tradnl" w:eastAsia="es-ES"/>
        </w:rPr>
        <w:t xml:space="preserve">), </w:t>
      </w:r>
      <w:r w:rsidRPr="004A66F0">
        <w:rPr>
          <w:rFonts w:ascii="Times New Roman" w:eastAsia="Times New Roman" w:hAnsi="Times New Roman" w:cs="Times New Roman"/>
          <w:sz w:val="22"/>
          <w:szCs w:val="22"/>
          <w:lang w:val="es-ES_tradnl" w:eastAsia="es-ES"/>
        </w:rPr>
        <w:t xml:space="preserve">mientras que la entidad con el menor nivel de ejecución fue el </w:t>
      </w:r>
      <w:r w:rsidR="00B94D89">
        <w:rPr>
          <w:rFonts w:ascii="Times New Roman" w:eastAsia="Times New Roman" w:hAnsi="Times New Roman" w:cs="Times New Roman"/>
          <w:sz w:val="22"/>
          <w:szCs w:val="22"/>
          <w:lang w:val="es-ES_tradnl" w:eastAsia="es-ES"/>
        </w:rPr>
        <w:t>Ministerio de Trabajo</w:t>
      </w:r>
      <w:r w:rsidR="007A72A0">
        <w:rPr>
          <w:rFonts w:ascii="Times New Roman" w:eastAsia="Times New Roman" w:hAnsi="Times New Roman" w:cs="Times New Roman"/>
          <w:sz w:val="22"/>
          <w:szCs w:val="22"/>
          <w:lang w:val="es-ES_tradnl" w:eastAsia="es-ES"/>
        </w:rPr>
        <w:t xml:space="preserve"> y Previsión Social</w:t>
      </w:r>
      <w:r w:rsidRPr="004A66F0">
        <w:rPr>
          <w:rFonts w:ascii="Times New Roman" w:eastAsia="Times New Roman" w:hAnsi="Times New Roman" w:cs="Times New Roman"/>
          <w:sz w:val="22"/>
          <w:szCs w:val="22"/>
          <w:lang w:val="es-ES_tradnl" w:eastAsia="es-ES"/>
        </w:rPr>
        <w:t xml:space="preserve"> con </w:t>
      </w:r>
      <w:r w:rsidR="00073D12">
        <w:rPr>
          <w:rFonts w:ascii="Times New Roman" w:eastAsia="Times New Roman" w:hAnsi="Times New Roman" w:cs="Times New Roman"/>
          <w:sz w:val="22"/>
          <w:szCs w:val="22"/>
          <w:lang w:val="es-ES_tradnl" w:eastAsia="es-ES"/>
        </w:rPr>
        <w:t xml:space="preserve">el </w:t>
      </w:r>
      <w:r w:rsidR="007A72A0">
        <w:rPr>
          <w:rFonts w:ascii="Times New Roman" w:eastAsia="Times New Roman" w:hAnsi="Times New Roman" w:cs="Times New Roman"/>
          <w:sz w:val="22"/>
          <w:szCs w:val="22"/>
          <w:lang w:val="es-ES_tradnl" w:eastAsia="es-ES"/>
        </w:rPr>
        <w:t>9</w:t>
      </w:r>
      <w:r w:rsidRPr="004A66F0">
        <w:rPr>
          <w:rFonts w:ascii="Times New Roman" w:eastAsia="Times New Roman" w:hAnsi="Times New Roman" w:cs="Times New Roman"/>
          <w:sz w:val="22"/>
          <w:szCs w:val="22"/>
          <w:lang w:val="es-ES_tradnl" w:eastAsia="es-ES"/>
        </w:rPr>
        <w:t>2</w:t>
      </w:r>
      <w:r w:rsidR="007A72A0">
        <w:rPr>
          <w:rFonts w:ascii="Times New Roman" w:eastAsia="Times New Roman" w:hAnsi="Times New Roman" w:cs="Times New Roman"/>
          <w:sz w:val="22"/>
          <w:szCs w:val="22"/>
          <w:lang w:val="es-ES_tradnl" w:eastAsia="es-ES"/>
        </w:rPr>
        <w:t>.4</w:t>
      </w:r>
      <w:r w:rsidRPr="004A66F0">
        <w:rPr>
          <w:rFonts w:ascii="Times New Roman" w:eastAsia="Times New Roman" w:hAnsi="Times New Roman" w:cs="Times New Roman"/>
          <w:sz w:val="22"/>
          <w:szCs w:val="22"/>
          <w:lang w:val="es-ES_tradnl" w:eastAsia="es-ES"/>
        </w:rPr>
        <w:t>%.</w:t>
      </w:r>
    </w:p>
    <w:p w14:paraId="2D96C245" w14:textId="77777777" w:rsidR="00C33030" w:rsidRDefault="00C33030" w:rsidP="0039645E">
      <w:pPr>
        <w:jc w:val="both"/>
        <w:rPr>
          <w:rFonts w:ascii="Times New Roman" w:eastAsia="Times New Roman" w:hAnsi="Times New Roman" w:cs="Times New Roman"/>
          <w:sz w:val="22"/>
          <w:szCs w:val="22"/>
          <w:lang w:val="es-ES_tradnl" w:eastAsia="es-ES"/>
        </w:rPr>
      </w:pPr>
    </w:p>
    <w:p w14:paraId="25DAA670" w14:textId="224AE097" w:rsidR="0039645E" w:rsidRPr="004A66F0" w:rsidRDefault="0039645E" w:rsidP="0039645E">
      <w:pPr>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 xml:space="preserve">El nivel de ejecución que reportan las entidades se encuentra asociado a la capacidad real de ejecución de cada institución, de las fuentes de </w:t>
      </w:r>
      <w:r w:rsidRPr="00A72256">
        <w:rPr>
          <w:rFonts w:ascii="Times New Roman" w:eastAsia="Times New Roman" w:hAnsi="Times New Roman" w:cs="Times New Roman"/>
          <w:sz w:val="22"/>
          <w:szCs w:val="22"/>
          <w:lang w:val="es-ES_tradnl" w:eastAsia="es-ES"/>
        </w:rPr>
        <w:t>financiamiento disponibles, de las prioridades nacionales y de variables exógenas como rigideces legales o institucionales.</w:t>
      </w:r>
      <w:r w:rsidRPr="004A66F0">
        <w:rPr>
          <w:rFonts w:ascii="Times New Roman" w:eastAsia="Times New Roman" w:hAnsi="Times New Roman" w:cs="Times New Roman"/>
          <w:sz w:val="22"/>
          <w:szCs w:val="22"/>
          <w:lang w:val="es-ES_tradnl" w:eastAsia="es-ES"/>
        </w:rPr>
        <w:t xml:space="preserve"> </w:t>
      </w:r>
    </w:p>
    <w:p w14:paraId="502FD4E1" w14:textId="77777777" w:rsidR="0039645E" w:rsidRPr="004A66F0" w:rsidRDefault="0039645E" w:rsidP="0039645E">
      <w:pPr>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lastRenderedPageBreak/>
        <w:t xml:space="preserve"> </w:t>
      </w:r>
    </w:p>
    <w:p w14:paraId="63F67E9E" w14:textId="604D2BCB" w:rsidR="003E735B" w:rsidRDefault="0039645E" w:rsidP="0039645E">
      <w:pPr>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 xml:space="preserve">En el caso del Ministerio de Defensa Nacional, su ejecución estuvo impulsada principalmente porque todos los programas que implementa </w:t>
      </w:r>
      <w:r w:rsidR="00820EAD">
        <w:rPr>
          <w:rFonts w:ascii="Times New Roman" w:eastAsia="Times New Roman" w:hAnsi="Times New Roman" w:cs="Times New Roman"/>
          <w:sz w:val="22"/>
          <w:szCs w:val="22"/>
          <w:lang w:val="es-ES_tradnl" w:eastAsia="es-ES"/>
        </w:rPr>
        <w:t>mostraron</w:t>
      </w:r>
      <w:r w:rsidR="00820EAD" w:rsidRPr="004A66F0">
        <w:rPr>
          <w:rFonts w:ascii="Times New Roman" w:eastAsia="Times New Roman" w:hAnsi="Times New Roman" w:cs="Times New Roman"/>
          <w:sz w:val="22"/>
          <w:szCs w:val="22"/>
          <w:lang w:val="es-ES_tradnl" w:eastAsia="es-ES"/>
        </w:rPr>
        <w:t xml:space="preserve"> </w:t>
      </w:r>
      <w:r w:rsidRPr="004A66F0">
        <w:rPr>
          <w:rFonts w:ascii="Times New Roman" w:eastAsia="Times New Roman" w:hAnsi="Times New Roman" w:cs="Times New Roman"/>
          <w:sz w:val="22"/>
          <w:szCs w:val="22"/>
          <w:lang w:val="es-ES_tradnl" w:eastAsia="es-ES"/>
        </w:rPr>
        <w:t xml:space="preserve">ejecuciones </w:t>
      </w:r>
      <w:r w:rsidR="00C33030">
        <w:rPr>
          <w:rFonts w:ascii="Times New Roman" w:eastAsia="Times New Roman" w:hAnsi="Times New Roman" w:cs="Times New Roman"/>
          <w:sz w:val="22"/>
          <w:szCs w:val="22"/>
          <w:lang w:val="es-ES_tradnl" w:eastAsia="es-ES"/>
        </w:rPr>
        <w:t xml:space="preserve">del 100%, siendo uno de los principales programas la </w:t>
      </w:r>
      <w:r w:rsidR="00B53ACA">
        <w:rPr>
          <w:rFonts w:ascii="Times New Roman" w:eastAsia="Times New Roman" w:hAnsi="Times New Roman" w:cs="Times New Roman"/>
          <w:sz w:val="22"/>
          <w:szCs w:val="22"/>
          <w:lang w:val="es-ES_tradnl" w:eastAsia="es-ES"/>
        </w:rPr>
        <w:t>D</w:t>
      </w:r>
      <w:r w:rsidR="00C33030">
        <w:rPr>
          <w:rFonts w:ascii="Times New Roman" w:eastAsia="Times New Roman" w:hAnsi="Times New Roman" w:cs="Times New Roman"/>
          <w:sz w:val="22"/>
          <w:szCs w:val="22"/>
          <w:lang w:val="es-ES_tradnl" w:eastAsia="es-ES"/>
        </w:rPr>
        <w:t xml:space="preserve">efensa de la </w:t>
      </w:r>
      <w:r w:rsidR="00B53ACA">
        <w:rPr>
          <w:rFonts w:ascii="Times New Roman" w:eastAsia="Times New Roman" w:hAnsi="Times New Roman" w:cs="Times New Roman"/>
          <w:sz w:val="22"/>
          <w:szCs w:val="22"/>
          <w:lang w:val="es-ES_tradnl" w:eastAsia="es-ES"/>
        </w:rPr>
        <w:t>S</w:t>
      </w:r>
      <w:r w:rsidR="00C33030">
        <w:rPr>
          <w:rFonts w:ascii="Times New Roman" w:eastAsia="Times New Roman" w:hAnsi="Times New Roman" w:cs="Times New Roman"/>
          <w:sz w:val="22"/>
          <w:szCs w:val="22"/>
          <w:lang w:val="es-ES_tradnl" w:eastAsia="es-ES"/>
        </w:rPr>
        <w:t xml:space="preserve">oberanía e </w:t>
      </w:r>
      <w:r w:rsidR="00B53ACA">
        <w:rPr>
          <w:rFonts w:ascii="Times New Roman" w:eastAsia="Times New Roman" w:hAnsi="Times New Roman" w:cs="Times New Roman"/>
          <w:sz w:val="22"/>
          <w:szCs w:val="22"/>
          <w:lang w:val="es-ES_tradnl" w:eastAsia="es-ES"/>
        </w:rPr>
        <w:t>I</w:t>
      </w:r>
      <w:r w:rsidR="00C33030">
        <w:rPr>
          <w:rFonts w:ascii="Times New Roman" w:eastAsia="Times New Roman" w:hAnsi="Times New Roman" w:cs="Times New Roman"/>
          <w:sz w:val="22"/>
          <w:szCs w:val="22"/>
          <w:lang w:val="es-ES_tradnl" w:eastAsia="es-ES"/>
        </w:rPr>
        <w:t xml:space="preserve">ntegridad </w:t>
      </w:r>
      <w:r w:rsidR="00B53ACA">
        <w:rPr>
          <w:rFonts w:ascii="Times New Roman" w:eastAsia="Times New Roman" w:hAnsi="Times New Roman" w:cs="Times New Roman"/>
          <w:sz w:val="22"/>
          <w:szCs w:val="22"/>
          <w:lang w:val="es-ES_tradnl" w:eastAsia="es-ES"/>
        </w:rPr>
        <w:t>T</w:t>
      </w:r>
      <w:r w:rsidR="00C33030">
        <w:rPr>
          <w:rFonts w:ascii="Times New Roman" w:eastAsia="Times New Roman" w:hAnsi="Times New Roman" w:cs="Times New Roman"/>
          <w:sz w:val="22"/>
          <w:szCs w:val="22"/>
          <w:lang w:val="es-ES_tradnl" w:eastAsia="es-ES"/>
        </w:rPr>
        <w:t>erritorial.</w:t>
      </w:r>
    </w:p>
    <w:p w14:paraId="5F52738B" w14:textId="77777777" w:rsidR="003E735B" w:rsidRDefault="003E735B" w:rsidP="0039645E">
      <w:pPr>
        <w:jc w:val="both"/>
        <w:rPr>
          <w:rFonts w:ascii="Times New Roman" w:eastAsia="Times New Roman" w:hAnsi="Times New Roman" w:cs="Times New Roman"/>
          <w:sz w:val="22"/>
          <w:szCs w:val="22"/>
          <w:lang w:val="es-ES_tradnl" w:eastAsia="es-ES"/>
        </w:rPr>
      </w:pPr>
    </w:p>
    <w:p w14:paraId="107F25A3" w14:textId="0B95EDF4" w:rsidR="00C33030" w:rsidRDefault="00B53ACA" w:rsidP="0039645E">
      <w:pPr>
        <w:jc w:val="both"/>
        <w:rPr>
          <w:rFonts w:ascii="Times New Roman" w:eastAsia="Times New Roman" w:hAnsi="Times New Roman" w:cs="Times New Roman"/>
          <w:sz w:val="22"/>
          <w:szCs w:val="22"/>
          <w:lang w:val="es-ES_tradnl" w:eastAsia="es-ES"/>
        </w:rPr>
      </w:pPr>
      <w:r>
        <w:rPr>
          <w:rFonts w:ascii="Times New Roman" w:eastAsia="Times New Roman" w:hAnsi="Times New Roman" w:cs="Times New Roman"/>
          <w:sz w:val="22"/>
          <w:szCs w:val="22"/>
          <w:lang w:val="es-ES_tradnl" w:eastAsia="es-ES"/>
        </w:rPr>
        <w:t xml:space="preserve">Por su parte, el Servicio de la Deuda Pública reporta un nivel de ejecución alto, siendo de 99.9%, esto implica que durante este ejercicio fiscal se cumplió a cabalidad con los compromisos de pago adquiridos con los tenedores de deuda, adicionalmente sería el segundo año consecutivo en el que se dejan </w:t>
      </w:r>
      <w:r w:rsidR="00820EAD">
        <w:rPr>
          <w:rFonts w:ascii="Times New Roman" w:eastAsia="Times New Roman" w:hAnsi="Times New Roman" w:cs="Times New Roman"/>
          <w:sz w:val="22"/>
          <w:szCs w:val="22"/>
          <w:lang w:val="es-ES_tradnl" w:eastAsia="es-ES"/>
        </w:rPr>
        <w:t xml:space="preserve">sin </w:t>
      </w:r>
      <w:r>
        <w:rPr>
          <w:rFonts w:ascii="Times New Roman" w:eastAsia="Times New Roman" w:hAnsi="Times New Roman" w:cs="Times New Roman"/>
          <w:sz w:val="22"/>
          <w:szCs w:val="22"/>
          <w:lang w:val="es-ES_tradnl" w:eastAsia="es-ES"/>
        </w:rPr>
        <w:t>colocar recursos, siendo el monto sin colocar de Q2,992.6 millones</w:t>
      </w:r>
      <w:r w:rsidR="0034419C">
        <w:rPr>
          <w:rFonts w:ascii="Times New Roman" w:eastAsia="Times New Roman" w:hAnsi="Times New Roman" w:cs="Times New Roman"/>
          <w:sz w:val="22"/>
          <w:szCs w:val="22"/>
          <w:lang w:val="es-ES_tradnl" w:eastAsia="es-ES"/>
        </w:rPr>
        <w:t>,</w:t>
      </w:r>
      <w:r>
        <w:rPr>
          <w:rFonts w:ascii="Times New Roman" w:eastAsia="Times New Roman" w:hAnsi="Times New Roman" w:cs="Times New Roman"/>
          <w:sz w:val="22"/>
          <w:szCs w:val="22"/>
          <w:lang w:val="es-ES_tradnl" w:eastAsia="es-ES"/>
        </w:rPr>
        <w:t xml:space="preserve"> correspondientes a bonos del tesoro, esto debido al manejo prudente de la finanzas públicas que ha tenido como resultado que exista disponibilidad de recursos en caja y bancos,</w:t>
      </w:r>
      <w:r w:rsidR="007467CF">
        <w:rPr>
          <w:rFonts w:ascii="Times New Roman" w:eastAsia="Times New Roman" w:hAnsi="Times New Roman" w:cs="Times New Roman"/>
          <w:sz w:val="22"/>
          <w:szCs w:val="22"/>
          <w:lang w:val="es-ES_tradnl" w:eastAsia="es-ES"/>
        </w:rPr>
        <w:t xml:space="preserve"> y que las presiones de gasto puedan ser cubiertas con esta fuente de financiamiento,</w:t>
      </w:r>
      <w:r>
        <w:rPr>
          <w:rFonts w:ascii="Times New Roman" w:eastAsia="Times New Roman" w:hAnsi="Times New Roman" w:cs="Times New Roman"/>
          <w:sz w:val="22"/>
          <w:szCs w:val="22"/>
          <w:lang w:val="es-ES_tradnl" w:eastAsia="es-ES"/>
        </w:rPr>
        <w:t xml:space="preserve"> esto es </w:t>
      </w:r>
      <w:r w:rsidR="007467CF">
        <w:rPr>
          <w:rFonts w:ascii="Times New Roman" w:eastAsia="Times New Roman" w:hAnsi="Times New Roman" w:cs="Times New Roman"/>
          <w:sz w:val="22"/>
          <w:szCs w:val="22"/>
          <w:lang w:val="es-ES_tradnl" w:eastAsia="es-ES"/>
        </w:rPr>
        <w:t>favorable</w:t>
      </w:r>
      <w:r>
        <w:rPr>
          <w:rFonts w:ascii="Times New Roman" w:eastAsia="Times New Roman" w:hAnsi="Times New Roman" w:cs="Times New Roman"/>
          <w:sz w:val="22"/>
          <w:szCs w:val="22"/>
          <w:lang w:val="es-ES_tradnl" w:eastAsia="es-ES"/>
        </w:rPr>
        <w:t xml:space="preserve"> </w:t>
      </w:r>
      <w:r w:rsidR="007467CF">
        <w:rPr>
          <w:rFonts w:ascii="Times New Roman" w:eastAsia="Times New Roman" w:hAnsi="Times New Roman" w:cs="Times New Roman"/>
          <w:sz w:val="22"/>
          <w:szCs w:val="22"/>
          <w:lang w:val="es-ES_tradnl" w:eastAsia="es-ES"/>
        </w:rPr>
        <w:t>porque disminuye el indicador de deuda pública y del servicio de deuda para los próximos años.</w:t>
      </w:r>
    </w:p>
    <w:p w14:paraId="68DC35B6" w14:textId="77777777" w:rsidR="00C33030" w:rsidRDefault="00C33030" w:rsidP="0039645E">
      <w:pPr>
        <w:jc w:val="both"/>
        <w:rPr>
          <w:rFonts w:ascii="Times New Roman" w:eastAsia="Times New Roman" w:hAnsi="Times New Roman" w:cs="Times New Roman"/>
          <w:sz w:val="22"/>
          <w:szCs w:val="22"/>
          <w:lang w:val="es-ES_tradnl" w:eastAsia="es-ES"/>
        </w:rPr>
      </w:pPr>
    </w:p>
    <w:p w14:paraId="288928BF" w14:textId="033CF17A" w:rsidR="007467CF" w:rsidRDefault="0039645E" w:rsidP="0039645E">
      <w:pPr>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Otras entidades cuyo nivel de ejecución se encuentra por arriba de la ejecución total son Relaciones Exteriores (99.</w:t>
      </w:r>
      <w:r w:rsidR="007467CF">
        <w:rPr>
          <w:rFonts w:ascii="Times New Roman" w:eastAsia="Times New Roman" w:hAnsi="Times New Roman" w:cs="Times New Roman"/>
          <w:sz w:val="22"/>
          <w:szCs w:val="22"/>
          <w:lang w:val="es-ES_tradnl" w:eastAsia="es-ES"/>
        </w:rPr>
        <w:t>7</w:t>
      </w:r>
      <w:r w:rsidRPr="004A66F0">
        <w:rPr>
          <w:rFonts w:ascii="Times New Roman" w:eastAsia="Times New Roman" w:hAnsi="Times New Roman" w:cs="Times New Roman"/>
          <w:sz w:val="22"/>
          <w:szCs w:val="22"/>
          <w:lang w:val="es-ES_tradnl" w:eastAsia="es-ES"/>
        </w:rPr>
        <w:t>%), Energía y Minas (99.</w:t>
      </w:r>
      <w:r w:rsidR="007467CF">
        <w:rPr>
          <w:rFonts w:ascii="Times New Roman" w:eastAsia="Times New Roman" w:hAnsi="Times New Roman" w:cs="Times New Roman"/>
          <w:sz w:val="22"/>
          <w:szCs w:val="22"/>
          <w:lang w:val="es-ES_tradnl" w:eastAsia="es-ES"/>
        </w:rPr>
        <w:t>4</w:t>
      </w:r>
      <w:r w:rsidRPr="004A66F0">
        <w:rPr>
          <w:rFonts w:ascii="Times New Roman" w:eastAsia="Times New Roman" w:hAnsi="Times New Roman" w:cs="Times New Roman"/>
          <w:sz w:val="22"/>
          <w:szCs w:val="22"/>
          <w:lang w:val="es-ES_tradnl" w:eastAsia="es-ES"/>
        </w:rPr>
        <w:t xml:space="preserve">%), </w:t>
      </w:r>
      <w:r w:rsidR="007467CF">
        <w:rPr>
          <w:rFonts w:ascii="Times New Roman" w:eastAsia="Times New Roman" w:hAnsi="Times New Roman" w:cs="Times New Roman"/>
          <w:sz w:val="22"/>
          <w:szCs w:val="22"/>
          <w:lang w:val="es-ES_tradnl" w:eastAsia="es-ES"/>
        </w:rPr>
        <w:t xml:space="preserve">Cultura y Deportes (99.1%), Finanzas Públicas (99.1%), Educación (98.8%), Agricultura (98.4%), Desarrollo Social (98.0%), Gobernación (97.8%), Ambiente y Recursos Naturales (97.7%) y Presidencia (97.1%). </w:t>
      </w:r>
    </w:p>
    <w:p w14:paraId="54089010" w14:textId="678B9F3D" w:rsidR="007467CF" w:rsidRDefault="007467CF" w:rsidP="0039645E">
      <w:pPr>
        <w:jc w:val="both"/>
        <w:rPr>
          <w:rFonts w:ascii="Times New Roman" w:eastAsia="Times New Roman" w:hAnsi="Times New Roman" w:cs="Times New Roman"/>
          <w:sz w:val="22"/>
          <w:szCs w:val="22"/>
          <w:lang w:val="es-ES_tradnl" w:eastAsia="es-ES"/>
        </w:rPr>
      </w:pPr>
    </w:p>
    <w:p w14:paraId="4FC78EC1" w14:textId="0123EBB7" w:rsidR="0039645E" w:rsidRDefault="007467CF" w:rsidP="0039645E">
      <w:pPr>
        <w:jc w:val="both"/>
        <w:rPr>
          <w:rFonts w:ascii="Times New Roman" w:eastAsia="Times New Roman" w:hAnsi="Times New Roman" w:cs="Times New Roman"/>
          <w:sz w:val="22"/>
          <w:szCs w:val="22"/>
          <w:lang w:val="es-ES_tradnl" w:eastAsia="es-ES"/>
        </w:rPr>
      </w:pPr>
      <w:bookmarkStart w:id="69" w:name="_Hlk157782061"/>
      <w:r>
        <w:rPr>
          <w:rFonts w:ascii="Times New Roman" w:eastAsia="Times New Roman" w:hAnsi="Times New Roman" w:cs="Times New Roman"/>
          <w:sz w:val="22"/>
          <w:szCs w:val="22"/>
          <w:lang w:val="es-ES_tradnl" w:eastAsia="es-ES"/>
        </w:rPr>
        <w:t xml:space="preserve">En el caso del Ministerio de Energía y Minas la alta ejecución se debe al subsidio al gas propano, </w:t>
      </w:r>
      <w:r w:rsidR="00D26B7C">
        <w:rPr>
          <w:rFonts w:ascii="Times New Roman" w:eastAsia="Times New Roman" w:hAnsi="Times New Roman" w:cs="Times New Roman"/>
          <w:sz w:val="22"/>
          <w:szCs w:val="22"/>
          <w:lang w:val="es-ES_tradnl" w:eastAsia="es-ES"/>
        </w:rPr>
        <w:t>el cual fue ejecutado en su totalidad y representaba una parte importante de su presupuesto.</w:t>
      </w:r>
      <w:r w:rsidR="00147920">
        <w:rPr>
          <w:rFonts w:ascii="Times New Roman" w:eastAsia="Times New Roman" w:hAnsi="Times New Roman" w:cs="Times New Roman"/>
          <w:sz w:val="22"/>
          <w:szCs w:val="22"/>
          <w:lang w:val="es-ES_tradnl" w:eastAsia="es-ES"/>
        </w:rPr>
        <w:t xml:space="preserve"> No obstante, en términos interanuales, la ejecución disminuye significativamente asociado al subsidio a los combustibles</w:t>
      </w:r>
      <w:r w:rsidR="00820EAD">
        <w:rPr>
          <w:rFonts w:ascii="Times New Roman" w:eastAsia="Times New Roman" w:hAnsi="Times New Roman" w:cs="Times New Roman"/>
          <w:sz w:val="22"/>
          <w:szCs w:val="22"/>
          <w:lang w:val="es-ES_tradnl" w:eastAsia="es-ES"/>
        </w:rPr>
        <w:t>,</w:t>
      </w:r>
      <w:r w:rsidR="00147920">
        <w:rPr>
          <w:rFonts w:ascii="Times New Roman" w:eastAsia="Times New Roman" w:hAnsi="Times New Roman" w:cs="Times New Roman"/>
          <w:sz w:val="22"/>
          <w:szCs w:val="22"/>
          <w:lang w:val="es-ES_tradnl" w:eastAsia="es-ES"/>
        </w:rPr>
        <w:t xml:space="preserve"> el cual fue un apoyo social que estuvo vigente en 2022</w:t>
      </w:r>
      <w:r w:rsidR="00B94D89">
        <w:rPr>
          <w:rFonts w:ascii="Times New Roman" w:eastAsia="Times New Roman" w:hAnsi="Times New Roman" w:cs="Times New Roman"/>
          <w:sz w:val="22"/>
          <w:szCs w:val="22"/>
          <w:lang w:val="es-ES_tradnl" w:eastAsia="es-ES"/>
        </w:rPr>
        <w:t>, más no en 2023.</w:t>
      </w:r>
    </w:p>
    <w:p w14:paraId="5A167BBC" w14:textId="55F7A41F" w:rsidR="00B842A5" w:rsidRDefault="00B842A5" w:rsidP="0039645E">
      <w:pPr>
        <w:jc w:val="both"/>
        <w:rPr>
          <w:rFonts w:ascii="Times New Roman" w:eastAsia="Times New Roman" w:hAnsi="Times New Roman" w:cs="Times New Roman"/>
          <w:sz w:val="22"/>
          <w:szCs w:val="22"/>
          <w:lang w:val="es-ES_tradnl" w:eastAsia="es-ES"/>
        </w:rPr>
      </w:pPr>
    </w:p>
    <w:p w14:paraId="18601BDF" w14:textId="7F36B3B8" w:rsidR="00B842A5" w:rsidRDefault="00B842A5" w:rsidP="0039645E">
      <w:pPr>
        <w:jc w:val="both"/>
        <w:rPr>
          <w:rFonts w:ascii="Times New Roman" w:eastAsia="Times New Roman" w:hAnsi="Times New Roman" w:cs="Times New Roman"/>
          <w:sz w:val="22"/>
          <w:szCs w:val="22"/>
          <w:lang w:val="es-ES_tradnl" w:eastAsia="es-ES"/>
        </w:rPr>
      </w:pPr>
      <w:r w:rsidRPr="00885B1F">
        <w:rPr>
          <w:rFonts w:ascii="Calibri" w:eastAsia="Times New Roman" w:hAnsi="Calibri" w:cs="Calibri"/>
          <w:noProof/>
          <w:color w:val="FF0000"/>
          <w:sz w:val="22"/>
          <w:szCs w:val="22"/>
        </w:rPr>
        <mc:AlternateContent>
          <mc:Choice Requires="wps">
            <w:drawing>
              <wp:inline distT="0" distB="0" distL="0" distR="0" wp14:anchorId="70998A75" wp14:editId="4D61AB01">
                <wp:extent cx="5532617" cy="3633746"/>
                <wp:effectExtent l="0" t="0" r="11430" b="24130"/>
                <wp:docPr id="973" name="Rectángulo 9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2617" cy="3633746"/>
                        </a:xfrm>
                        <a:prstGeom prst="rect">
                          <a:avLst/>
                        </a:prstGeom>
                        <a:solidFill>
                          <a:srgbClr val="4472C4">
                            <a:lumMod val="20000"/>
                            <a:lumOff val="80000"/>
                          </a:srgbClr>
                        </a:solidFill>
                        <a:ln w="6350" cap="flat" cmpd="sng" algn="ctr">
                          <a:solidFill>
                            <a:sysClr val="windowText" lastClr="000000"/>
                          </a:solidFill>
                          <a:prstDash val="solid"/>
                          <a:miter lim="800000"/>
                        </a:ln>
                        <a:effectLst/>
                      </wps:spPr>
                      <wps:txbx>
                        <w:txbxContent>
                          <w:p w14:paraId="574892D5" w14:textId="77777777" w:rsidR="00B842A5" w:rsidRPr="00B842A5" w:rsidRDefault="00B842A5" w:rsidP="00B842A5">
                            <w:pPr>
                              <w:pStyle w:val="Prrafodelista"/>
                              <w:jc w:val="center"/>
                              <w:rPr>
                                <w:rFonts w:ascii="Times New Roman" w:eastAsia="Times New Roman" w:hAnsi="Times New Roman" w:cs="Times New Roman"/>
                                <w:b/>
                                <w:sz w:val="19"/>
                                <w:szCs w:val="19"/>
                                <w:lang w:val="es-MX"/>
                              </w:rPr>
                            </w:pPr>
                            <w:r w:rsidRPr="00B842A5">
                              <w:rPr>
                                <w:rFonts w:ascii="Times New Roman" w:eastAsia="Times New Roman" w:hAnsi="Times New Roman" w:cs="Times New Roman"/>
                                <w:b/>
                                <w:sz w:val="19"/>
                                <w:szCs w:val="19"/>
                                <w:lang w:val="es-MX"/>
                              </w:rPr>
                              <w:t>Pago a favor de la tropa que prestó servicio militar</w:t>
                            </w:r>
                          </w:p>
                          <w:p w14:paraId="1635CB1A" w14:textId="77777777" w:rsidR="00B842A5" w:rsidRPr="00B842A5" w:rsidRDefault="00B842A5" w:rsidP="00B842A5">
                            <w:pPr>
                              <w:pStyle w:val="Prrafodelista"/>
                              <w:jc w:val="both"/>
                              <w:rPr>
                                <w:rFonts w:ascii="Times New Roman" w:eastAsia="Times New Roman" w:hAnsi="Times New Roman" w:cs="Times New Roman"/>
                                <w:b/>
                                <w:sz w:val="19"/>
                                <w:szCs w:val="19"/>
                                <w:lang w:val="es-MX"/>
                              </w:rPr>
                            </w:pPr>
                          </w:p>
                          <w:p w14:paraId="48CFBFBA" w14:textId="77777777" w:rsidR="00B842A5" w:rsidRPr="00B842A5" w:rsidRDefault="00B842A5" w:rsidP="00B842A5">
                            <w:pPr>
                              <w:pStyle w:val="Prrafodelista"/>
                              <w:ind w:left="284"/>
                              <w:jc w:val="both"/>
                              <w:rPr>
                                <w:rFonts w:ascii="Times New Roman" w:eastAsia="Times New Roman" w:hAnsi="Times New Roman" w:cs="Times New Roman"/>
                                <w:bCs/>
                                <w:sz w:val="19"/>
                                <w:szCs w:val="19"/>
                                <w:lang w:val="es-MX"/>
                              </w:rPr>
                            </w:pPr>
                            <w:r w:rsidRPr="00B842A5">
                              <w:rPr>
                                <w:rFonts w:ascii="Times New Roman" w:eastAsia="Times New Roman" w:hAnsi="Times New Roman" w:cs="Times New Roman"/>
                                <w:bCs/>
                                <w:sz w:val="19"/>
                                <w:szCs w:val="19"/>
                                <w:lang w:val="es-MX"/>
                              </w:rPr>
                              <w:t xml:space="preserve">En 2022 la inflación cerró en 9.24%, mientras que en febrero de 2023 se alcanzó el mayor nivel registrado al ubicarse en 9.92%, esto llevó a que se continuaran con medidas en forma de apoyos temporales que venían observándose desde finales de 2021, tal es el caso del subsidio al gas propano. </w:t>
                            </w:r>
                          </w:p>
                          <w:p w14:paraId="64FB1404" w14:textId="77777777" w:rsidR="00B842A5" w:rsidRPr="00B842A5" w:rsidRDefault="00B842A5" w:rsidP="00B842A5">
                            <w:pPr>
                              <w:pStyle w:val="Prrafodelista"/>
                              <w:ind w:left="284"/>
                              <w:jc w:val="center"/>
                              <w:rPr>
                                <w:rFonts w:ascii="Times New Roman" w:eastAsia="Times New Roman" w:hAnsi="Times New Roman" w:cs="Times New Roman"/>
                                <w:bCs/>
                                <w:sz w:val="19"/>
                                <w:szCs w:val="19"/>
                                <w:lang w:val="es-MX"/>
                              </w:rPr>
                            </w:pPr>
                          </w:p>
                          <w:p w14:paraId="0F3BC84E" w14:textId="77777777" w:rsidR="00B842A5" w:rsidRPr="00B842A5" w:rsidRDefault="00B842A5" w:rsidP="00B842A5">
                            <w:pPr>
                              <w:pStyle w:val="Prrafodelista"/>
                              <w:ind w:left="284"/>
                              <w:jc w:val="both"/>
                              <w:rPr>
                                <w:rFonts w:ascii="Times New Roman" w:eastAsia="Times New Roman" w:hAnsi="Times New Roman" w:cs="Times New Roman"/>
                                <w:bCs/>
                                <w:sz w:val="19"/>
                                <w:szCs w:val="19"/>
                                <w:lang w:val="es-MX"/>
                              </w:rPr>
                            </w:pPr>
                            <w:r w:rsidRPr="00B842A5">
                              <w:rPr>
                                <w:rFonts w:ascii="Times New Roman" w:eastAsia="Times New Roman" w:hAnsi="Times New Roman" w:cs="Times New Roman"/>
                                <w:bCs/>
                                <w:sz w:val="19"/>
                                <w:szCs w:val="19"/>
                                <w:lang w:val="es-MX"/>
                              </w:rPr>
                              <w:t xml:space="preserve">En 2022 se aprobaron 5 decretos de apoyo temporal a los consumidores de gas propano, el último, el Decreto 55-2022 “Reforma a la Ley de Apoyo Social Temporal a los Consumidores de Gas Propano, Decreto 45-2022 del Congreso de la República de Guatemala” amplió la vigencia del subsidio a cuatro meses, con Q200 millones de presupuesto, por lo que esta medida estuvo vigente a principios del 2023. No obstante, se consideró necesaria nuevamente su ampliación y por ello se aprobó el Decreto 5-2023 “Ley de Apoyo Social Temporal a los Consumidores de Gas Propano” manteniendo las condiciones de apoyo de los decretos anteriores, con un presupuesto de Q150 millones y un período de tres meses. </w:t>
                            </w:r>
                          </w:p>
                          <w:p w14:paraId="03800C91" w14:textId="77777777" w:rsidR="00B842A5" w:rsidRPr="00B842A5" w:rsidRDefault="00B842A5" w:rsidP="00B842A5">
                            <w:pPr>
                              <w:pStyle w:val="Prrafodelista"/>
                              <w:ind w:left="284"/>
                              <w:jc w:val="center"/>
                              <w:rPr>
                                <w:rFonts w:ascii="Times New Roman" w:eastAsia="Times New Roman" w:hAnsi="Times New Roman" w:cs="Times New Roman"/>
                                <w:bCs/>
                                <w:sz w:val="19"/>
                                <w:szCs w:val="19"/>
                                <w:lang w:val="es-MX"/>
                              </w:rPr>
                            </w:pPr>
                          </w:p>
                          <w:p w14:paraId="2174D5B2" w14:textId="3B789379" w:rsidR="00B842A5" w:rsidRPr="00B842A5" w:rsidRDefault="00B842A5" w:rsidP="00B842A5">
                            <w:pPr>
                              <w:pStyle w:val="Prrafodelista"/>
                              <w:ind w:left="284"/>
                              <w:jc w:val="both"/>
                              <w:rPr>
                                <w:rFonts w:ascii="Times New Roman" w:eastAsia="Times New Roman" w:hAnsi="Times New Roman" w:cs="Times New Roman"/>
                                <w:bCs/>
                                <w:sz w:val="19"/>
                                <w:szCs w:val="19"/>
                                <w:lang w:val="es-MX"/>
                              </w:rPr>
                            </w:pPr>
                            <w:r w:rsidRPr="00B842A5">
                              <w:rPr>
                                <w:rFonts w:ascii="Times New Roman" w:eastAsia="Times New Roman" w:hAnsi="Times New Roman" w:cs="Times New Roman"/>
                                <w:bCs/>
                                <w:sz w:val="19"/>
                                <w:szCs w:val="19"/>
                                <w:lang w:val="es-MX"/>
                              </w:rPr>
                              <w:t>Por su parte, para la ampliación de la tarifa social de la energía eléctrica, en 2022 habían sido aprobados 2 decretos, el Decreto Número 25-2022 estuvo enfocado en usuarios regulados de distribución final de energía eléctrica que consumieran mensualmente entre 89 kWh hasta 100 kWh al mes, mientras que el Decreto 43-2022 cubría a los usuarios que consumieran hasta 125 kWh.</w:t>
                            </w:r>
                          </w:p>
                          <w:p w14:paraId="1BBE5F34" w14:textId="715703FC" w:rsidR="00B842A5" w:rsidRPr="00B842A5" w:rsidRDefault="00B842A5" w:rsidP="00B842A5">
                            <w:pPr>
                              <w:pStyle w:val="Prrafodelista"/>
                              <w:ind w:left="284"/>
                              <w:jc w:val="both"/>
                              <w:rPr>
                                <w:rFonts w:ascii="Times New Roman" w:eastAsia="Times New Roman" w:hAnsi="Times New Roman" w:cs="Times New Roman"/>
                                <w:bCs/>
                                <w:sz w:val="19"/>
                                <w:szCs w:val="19"/>
                                <w:lang w:val="es-MX"/>
                              </w:rPr>
                            </w:pPr>
                          </w:p>
                          <w:p w14:paraId="3240E04C" w14:textId="763706CA" w:rsidR="00B842A5" w:rsidRPr="00B842A5" w:rsidRDefault="00B842A5" w:rsidP="00B842A5">
                            <w:pPr>
                              <w:pStyle w:val="Prrafodelista"/>
                              <w:ind w:left="284"/>
                              <w:jc w:val="both"/>
                              <w:rPr>
                                <w:rFonts w:ascii="Times New Roman" w:hAnsi="Times New Roman" w:cs="Times New Roman"/>
                                <w:noProof/>
                                <w:sz w:val="20"/>
                                <w:szCs w:val="20"/>
                                <w:lang w:eastAsia="es-GT"/>
                              </w:rPr>
                            </w:pPr>
                            <w:r w:rsidRPr="00B842A5">
                              <w:rPr>
                                <w:rFonts w:ascii="Times New Roman" w:hAnsi="Times New Roman" w:cs="Times New Roman"/>
                                <w:noProof/>
                                <w:sz w:val="20"/>
                                <w:szCs w:val="20"/>
                                <w:lang w:eastAsia="es-GT"/>
                              </w:rPr>
                              <w:t>Para 2023 fue aprobado únicamente el Decreto Número 1-2023 “Ley de Fortalecimiento al Aporte Social de la Tarifa Eléctrica” el cual cubrió a los usuarios regulados que consumen mensualmente entre 89 kWh -125 kWh hasta junio del 2023. Para lo cual se contó con el presupuesto de Q197 millones provenientes de los recursos de caja y bancos, siendo un aporte al Instituto Nacional de Electrificación (INDE), por medio de las Obligaciones del Estado a Cargo del Tesoro. El subsidio fue ampliado por un mes más y se encontró vigente hasta agosto de 2023.</w:t>
                            </w:r>
                          </w:p>
                          <w:p w14:paraId="1A36D154" w14:textId="77777777" w:rsidR="00B842A5" w:rsidRPr="000D150A" w:rsidRDefault="00B842A5" w:rsidP="00B842A5">
                            <w:pPr>
                              <w:pStyle w:val="Prrafodelista"/>
                              <w:rPr>
                                <w:rFonts w:ascii="Times New Roman" w:hAnsi="Times New Roman" w:cs="Times New Roman"/>
                                <w:noProof/>
                                <w:color w:val="000000" w:themeColor="text1"/>
                                <w:sz w:val="20"/>
                                <w:szCs w:val="20"/>
                                <w:lang w:eastAsia="es-GT"/>
                              </w:rPr>
                            </w:pPr>
                          </w:p>
                          <w:p w14:paraId="440937D1" w14:textId="77777777" w:rsidR="00B842A5" w:rsidRPr="000D150A" w:rsidRDefault="00B842A5" w:rsidP="00B842A5">
                            <w:pPr>
                              <w:jc w:val="both"/>
                              <w:rPr>
                                <w:rFonts w:ascii="Times New Roman" w:hAnsi="Times New Roman" w:cs="Times New Roman"/>
                                <w:noProof/>
                                <w:color w:val="000000" w:themeColor="text1"/>
                                <w:sz w:val="2"/>
                                <w:szCs w:val="2"/>
                                <w:lang w:eastAsia="es-GT"/>
                              </w:rPr>
                            </w:pPr>
                          </w:p>
                          <w:p w14:paraId="30AF1E86" w14:textId="77777777" w:rsidR="00B842A5" w:rsidRDefault="00B842A5" w:rsidP="00B842A5">
                            <w:pPr>
                              <w:pStyle w:val="Prrafodelista"/>
                              <w:jc w:val="center"/>
                              <w:rPr>
                                <w:rFonts w:ascii="Times New Roman" w:hAnsi="Times New Roman" w:cs="Times New Roman"/>
                                <w:noProof/>
                                <w:color w:val="000000" w:themeColor="text1"/>
                                <w:sz w:val="20"/>
                                <w:szCs w:val="20"/>
                                <w:lang w:eastAsia="es-GT"/>
                              </w:rPr>
                            </w:pPr>
                          </w:p>
                          <w:p w14:paraId="4932CD1A" w14:textId="77777777" w:rsidR="00B842A5" w:rsidRPr="00066F88" w:rsidRDefault="00B842A5" w:rsidP="00B842A5">
                            <w:pPr>
                              <w:pStyle w:val="Prrafodelista"/>
                              <w:jc w:val="center"/>
                              <w:rPr>
                                <w:rFonts w:ascii="Times New Roman" w:hAnsi="Times New Roman" w:cs="Times New Roman"/>
                                <w:noProof/>
                                <w:color w:val="000000" w:themeColor="text1"/>
                                <w:sz w:val="20"/>
                                <w:szCs w:val="20"/>
                                <w:lang w:eastAsia="es-GT"/>
                              </w:rPr>
                            </w:pPr>
                          </w:p>
                          <w:p w14:paraId="3CF330CB" w14:textId="77777777" w:rsidR="00B842A5" w:rsidRPr="006F6A34" w:rsidRDefault="00B842A5" w:rsidP="00B842A5">
                            <w:pPr>
                              <w:pStyle w:val="Prrafodelista"/>
                              <w:jc w:val="both"/>
                              <w:rPr>
                                <w:rFonts w:ascii="Times New Roman" w:hAnsi="Times New Roman" w:cs="Times New Roman"/>
                                <w:noProof/>
                                <w:color w:val="000000" w:themeColor="text1"/>
                                <w:sz w:val="20"/>
                                <w:szCs w:val="20"/>
                                <w:lang w:eastAsia="es-GT"/>
                              </w:rPr>
                            </w:pPr>
                          </w:p>
                          <w:p w14:paraId="58A3A71F" w14:textId="77777777" w:rsidR="00B842A5" w:rsidRPr="006F6A34" w:rsidRDefault="00B842A5" w:rsidP="00B842A5">
                            <w:pPr>
                              <w:jc w:val="center"/>
                              <w:rPr>
                                <w:rFonts w:ascii="Times New Roman" w:hAnsi="Times New Roman" w:cs="Times New Roman"/>
                                <w:b/>
                                <w:bCs/>
                                <w:sz w:val="20"/>
                                <w:szCs w:val="20"/>
                              </w:rPr>
                            </w:pPr>
                          </w:p>
                          <w:p w14:paraId="194F4620" w14:textId="77777777" w:rsidR="00B842A5" w:rsidRPr="006F6A34" w:rsidRDefault="00B842A5" w:rsidP="00B842A5">
                            <w:pPr>
                              <w:jc w:val="center"/>
                              <w:rPr>
                                <w:rFonts w:ascii="Times New Roman" w:hAnsi="Times New Roman" w:cs="Times New Roman"/>
                                <w:b/>
                                <w:bCs/>
                                <w:sz w:val="20"/>
                                <w:szCs w:val="20"/>
                              </w:rPr>
                            </w:pPr>
                          </w:p>
                          <w:p w14:paraId="114208C1" w14:textId="77777777" w:rsidR="00B842A5" w:rsidRDefault="00B842A5" w:rsidP="00B842A5">
                            <w:pPr>
                              <w:jc w:val="center"/>
                              <w:rPr>
                                <w:rFonts w:ascii="Times New Roman" w:hAnsi="Times New Roman" w:cs="Times New Roman"/>
                                <w:b/>
                                <w:bCs/>
                              </w:rPr>
                            </w:pPr>
                          </w:p>
                          <w:p w14:paraId="2D568066" w14:textId="77777777" w:rsidR="00B842A5" w:rsidRDefault="00B842A5" w:rsidP="00B842A5">
                            <w:pPr>
                              <w:jc w:val="center"/>
                              <w:rPr>
                                <w:rFonts w:ascii="Times New Roman" w:hAnsi="Times New Roman" w:cs="Times New Roman"/>
                                <w:b/>
                                <w:bCs/>
                              </w:rPr>
                            </w:pPr>
                          </w:p>
                          <w:p w14:paraId="6A8889F1" w14:textId="77777777" w:rsidR="00B842A5" w:rsidRDefault="00B842A5" w:rsidP="00B842A5">
                            <w:pPr>
                              <w:jc w:val="center"/>
                              <w:rPr>
                                <w:rFonts w:ascii="Times New Roman" w:hAnsi="Times New Roman" w:cs="Times New Roman"/>
                                <w:b/>
                                <w:bCs/>
                              </w:rPr>
                            </w:pPr>
                          </w:p>
                          <w:p w14:paraId="1320C7EF" w14:textId="77777777" w:rsidR="00B842A5" w:rsidRDefault="00B842A5" w:rsidP="00B842A5">
                            <w:pPr>
                              <w:jc w:val="center"/>
                              <w:rPr>
                                <w:rFonts w:ascii="Times New Roman" w:hAnsi="Times New Roman" w:cs="Times New Roman"/>
                                <w:b/>
                                <w:bCs/>
                              </w:rPr>
                            </w:pPr>
                          </w:p>
                          <w:p w14:paraId="6BA2C615" w14:textId="77777777" w:rsidR="00B842A5" w:rsidRDefault="00B842A5" w:rsidP="00B842A5">
                            <w:pPr>
                              <w:jc w:val="center"/>
                              <w:rPr>
                                <w:rFonts w:ascii="Times New Roman" w:hAnsi="Times New Roman" w:cs="Times New Roman"/>
                                <w:b/>
                                <w:bCs/>
                              </w:rPr>
                            </w:pPr>
                          </w:p>
                          <w:p w14:paraId="5E95FE8D" w14:textId="77777777" w:rsidR="00B842A5" w:rsidRDefault="00B842A5" w:rsidP="00B842A5">
                            <w:pPr>
                              <w:jc w:val="center"/>
                              <w:rPr>
                                <w:rFonts w:ascii="Times New Roman" w:hAnsi="Times New Roman" w:cs="Times New Roman"/>
                                <w:b/>
                                <w:bCs/>
                              </w:rPr>
                            </w:pPr>
                          </w:p>
                          <w:p w14:paraId="3B5348DB" w14:textId="77777777" w:rsidR="00B842A5" w:rsidRDefault="00B842A5" w:rsidP="00B842A5">
                            <w:pPr>
                              <w:jc w:val="center"/>
                              <w:rPr>
                                <w:rFonts w:ascii="Times New Roman" w:hAnsi="Times New Roman" w:cs="Times New Roman"/>
                                <w:b/>
                                <w:bCs/>
                              </w:rPr>
                            </w:pPr>
                          </w:p>
                          <w:p w14:paraId="051EC70A" w14:textId="77777777" w:rsidR="00B842A5" w:rsidRDefault="00B842A5" w:rsidP="00B842A5">
                            <w:pPr>
                              <w:jc w:val="center"/>
                              <w:rPr>
                                <w:rFonts w:ascii="Times New Roman" w:hAnsi="Times New Roman" w:cs="Times New Roman"/>
                                <w:b/>
                                <w:bCs/>
                              </w:rPr>
                            </w:pPr>
                          </w:p>
                          <w:p w14:paraId="08C67712" w14:textId="77777777" w:rsidR="00B842A5" w:rsidRDefault="00B842A5" w:rsidP="00B842A5">
                            <w:pPr>
                              <w:jc w:val="center"/>
                              <w:rPr>
                                <w:rFonts w:ascii="Times New Roman" w:hAnsi="Times New Roman" w:cs="Times New Roman"/>
                                <w:b/>
                                <w:bCs/>
                              </w:rPr>
                            </w:pPr>
                          </w:p>
                          <w:p w14:paraId="40D29600" w14:textId="77777777" w:rsidR="00B842A5" w:rsidRDefault="00B842A5" w:rsidP="00B842A5">
                            <w:pPr>
                              <w:jc w:val="center"/>
                              <w:rPr>
                                <w:rFonts w:ascii="Times New Roman" w:hAnsi="Times New Roman" w:cs="Times New Roman"/>
                                <w:b/>
                                <w:bCs/>
                              </w:rPr>
                            </w:pPr>
                          </w:p>
                          <w:p w14:paraId="69D15B22" w14:textId="77777777" w:rsidR="00B842A5" w:rsidRDefault="00B842A5" w:rsidP="00B842A5">
                            <w:pPr>
                              <w:jc w:val="center"/>
                              <w:rPr>
                                <w:rFonts w:ascii="Times New Roman" w:hAnsi="Times New Roman" w:cs="Times New Roman"/>
                                <w:b/>
                                <w:bCs/>
                              </w:rPr>
                            </w:pPr>
                          </w:p>
                          <w:p w14:paraId="1FA21F17" w14:textId="77777777" w:rsidR="00B842A5" w:rsidRPr="008902B7" w:rsidRDefault="00B842A5" w:rsidP="00B842A5">
                            <w:pPr>
                              <w:jc w:val="center"/>
                              <w:rPr>
                                <w:rFonts w:ascii="Times New Roman" w:hAnsi="Times New Roman" w:cs="Times New Roman"/>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0998A75" id="Rectángulo 973" o:spid="_x0000_s1031" style="width:435.65pt;height:286.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" fillcolor="#dae3f3" strokecolor="windowText" strokeweight=".5pt">
                <v:path arrowok="t"/>
                <v:textbox>
                  <w:txbxContent>
                    <w:p w14:paraId="574892D5" w14:textId="77777777" w:rsidR="00B842A5" w:rsidRPr="00B842A5" w:rsidRDefault="00B842A5" w:rsidP="00B842A5">
                      <w:pPr>
                        <w:pStyle w:val="Prrafodelista"/>
                        <w:jc w:val="center"/>
                        <w:rPr>
                          <w:rFonts w:ascii="Times New Roman" w:eastAsia="Times New Roman" w:hAnsi="Times New Roman" w:cs="Times New Roman"/>
                          <w:b/>
                          <w:sz w:val="19"/>
                          <w:szCs w:val="19"/>
                          <w:lang w:val="es-MX"/>
                        </w:rPr>
                      </w:pPr>
                      <w:r w:rsidRPr="00B842A5">
                        <w:rPr>
                          <w:rFonts w:ascii="Times New Roman" w:eastAsia="Times New Roman" w:hAnsi="Times New Roman" w:cs="Times New Roman"/>
                          <w:b/>
                          <w:sz w:val="19"/>
                          <w:szCs w:val="19"/>
                          <w:lang w:val="es-MX"/>
                        </w:rPr>
                        <w:t>Pago a favor de la tropa que prestó servicio militar</w:t>
                      </w:r>
                    </w:p>
                    <w:p w14:paraId="1635CB1A" w14:textId="77777777" w:rsidR="00B842A5" w:rsidRPr="00B842A5" w:rsidRDefault="00B842A5" w:rsidP="00B842A5">
                      <w:pPr>
                        <w:pStyle w:val="Prrafodelista"/>
                        <w:jc w:val="both"/>
                        <w:rPr>
                          <w:rFonts w:ascii="Times New Roman" w:eastAsia="Times New Roman" w:hAnsi="Times New Roman" w:cs="Times New Roman"/>
                          <w:b/>
                          <w:sz w:val="19"/>
                          <w:szCs w:val="19"/>
                          <w:lang w:val="es-MX"/>
                        </w:rPr>
                      </w:pPr>
                    </w:p>
                    <w:p w14:paraId="48CFBFBA" w14:textId="77777777" w:rsidR="00B842A5" w:rsidRPr="00B842A5" w:rsidRDefault="00B842A5" w:rsidP="00B842A5">
                      <w:pPr>
                        <w:pStyle w:val="Prrafodelista"/>
                        <w:ind w:left="284"/>
                        <w:jc w:val="both"/>
                        <w:rPr>
                          <w:rFonts w:ascii="Times New Roman" w:eastAsia="Times New Roman" w:hAnsi="Times New Roman" w:cs="Times New Roman"/>
                          <w:bCs/>
                          <w:sz w:val="19"/>
                          <w:szCs w:val="19"/>
                          <w:lang w:val="es-MX"/>
                        </w:rPr>
                      </w:pPr>
                      <w:r w:rsidRPr="00B842A5">
                        <w:rPr>
                          <w:rFonts w:ascii="Times New Roman" w:eastAsia="Times New Roman" w:hAnsi="Times New Roman" w:cs="Times New Roman"/>
                          <w:bCs/>
                          <w:sz w:val="19"/>
                          <w:szCs w:val="19"/>
                          <w:lang w:val="es-MX"/>
                        </w:rPr>
                        <w:t xml:space="preserve">En 2022 la inflación cerró en 9.24%, mientras que en febrero de 2023 se alcanzó el mayor nivel registrado al ubicarse en 9.92%, esto llevó a que se continuaran con medidas en forma de apoyos temporales que venían observándose desde finales de 2021, tal es el caso del subsidio al gas propano. </w:t>
                      </w:r>
                    </w:p>
                    <w:p w14:paraId="64FB1404" w14:textId="77777777" w:rsidR="00B842A5" w:rsidRPr="00B842A5" w:rsidRDefault="00B842A5" w:rsidP="00B842A5">
                      <w:pPr>
                        <w:pStyle w:val="Prrafodelista"/>
                        <w:ind w:left="284"/>
                        <w:jc w:val="center"/>
                        <w:rPr>
                          <w:rFonts w:ascii="Times New Roman" w:eastAsia="Times New Roman" w:hAnsi="Times New Roman" w:cs="Times New Roman"/>
                          <w:bCs/>
                          <w:sz w:val="19"/>
                          <w:szCs w:val="19"/>
                          <w:lang w:val="es-MX"/>
                        </w:rPr>
                      </w:pPr>
                    </w:p>
                    <w:p w14:paraId="0F3BC84E" w14:textId="77777777" w:rsidR="00B842A5" w:rsidRPr="00B842A5" w:rsidRDefault="00B842A5" w:rsidP="00B842A5">
                      <w:pPr>
                        <w:pStyle w:val="Prrafodelista"/>
                        <w:ind w:left="284"/>
                        <w:jc w:val="both"/>
                        <w:rPr>
                          <w:rFonts w:ascii="Times New Roman" w:eastAsia="Times New Roman" w:hAnsi="Times New Roman" w:cs="Times New Roman"/>
                          <w:bCs/>
                          <w:sz w:val="19"/>
                          <w:szCs w:val="19"/>
                          <w:lang w:val="es-MX"/>
                        </w:rPr>
                      </w:pPr>
                      <w:r w:rsidRPr="00B842A5">
                        <w:rPr>
                          <w:rFonts w:ascii="Times New Roman" w:eastAsia="Times New Roman" w:hAnsi="Times New Roman" w:cs="Times New Roman"/>
                          <w:bCs/>
                          <w:sz w:val="19"/>
                          <w:szCs w:val="19"/>
                          <w:lang w:val="es-MX"/>
                        </w:rPr>
                        <w:t xml:space="preserve">En 2022 se aprobaron 5 decretos de apoyo temporal a los consumidores de gas propano, el último, el Decreto 55-2022 “Reforma a la Ley de Apoyo Social Temporal a los Consumidores de Gas Propano, Decreto 45-2022 del Congreso de la República de Guatemala” amplió la vigencia del subsidio a cuatro meses, con Q200 millones de presupuesto, por lo que esta medida estuvo vigente a principios del 2023. No obstante, se consideró necesaria nuevamente su ampliación y por ello se aprobó el Decreto 5-2023 “Ley de Apoyo Social Temporal a los Consumidores de Gas Propano” manteniendo las condiciones de apoyo de los decretos anteriores, con un presupuesto de Q150 millones y un período de tres meses. </w:t>
                      </w:r>
                    </w:p>
                    <w:p w14:paraId="03800C91" w14:textId="77777777" w:rsidR="00B842A5" w:rsidRPr="00B842A5" w:rsidRDefault="00B842A5" w:rsidP="00B842A5">
                      <w:pPr>
                        <w:pStyle w:val="Prrafodelista"/>
                        <w:ind w:left="284"/>
                        <w:jc w:val="center"/>
                        <w:rPr>
                          <w:rFonts w:ascii="Times New Roman" w:eastAsia="Times New Roman" w:hAnsi="Times New Roman" w:cs="Times New Roman"/>
                          <w:bCs/>
                          <w:sz w:val="19"/>
                          <w:szCs w:val="19"/>
                          <w:lang w:val="es-MX"/>
                        </w:rPr>
                      </w:pPr>
                    </w:p>
                    <w:p w14:paraId="2174D5B2" w14:textId="3B789379" w:rsidR="00B842A5" w:rsidRPr="00B842A5" w:rsidRDefault="00B842A5" w:rsidP="00B842A5">
                      <w:pPr>
                        <w:pStyle w:val="Prrafodelista"/>
                        <w:ind w:left="284"/>
                        <w:jc w:val="both"/>
                        <w:rPr>
                          <w:rFonts w:ascii="Times New Roman" w:eastAsia="Times New Roman" w:hAnsi="Times New Roman" w:cs="Times New Roman"/>
                          <w:bCs/>
                          <w:sz w:val="19"/>
                          <w:szCs w:val="19"/>
                          <w:lang w:val="es-MX"/>
                        </w:rPr>
                      </w:pPr>
                      <w:r w:rsidRPr="00B842A5">
                        <w:rPr>
                          <w:rFonts w:ascii="Times New Roman" w:eastAsia="Times New Roman" w:hAnsi="Times New Roman" w:cs="Times New Roman"/>
                          <w:bCs/>
                          <w:sz w:val="19"/>
                          <w:szCs w:val="19"/>
                          <w:lang w:val="es-MX"/>
                        </w:rPr>
                        <w:t>Por su parte, para la ampliación de la tarifa social de la energía eléctrica, en 2022 habían sido aprobados 2 decretos, el Decreto Número 25-2022 estuvo enfocado en usuarios regulados de distribución final de energía eléctrica que consumieran mensualmente entre 89 kWh hasta 100 kWh al mes, mientras que el Decreto 43-2022 cubría a los usuarios que consumieran hasta 125 kWh.</w:t>
                      </w:r>
                    </w:p>
                    <w:p w14:paraId="1BBE5F34" w14:textId="715703FC" w:rsidR="00B842A5" w:rsidRPr="00B842A5" w:rsidRDefault="00B842A5" w:rsidP="00B842A5">
                      <w:pPr>
                        <w:pStyle w:val="Prrafodelista"/>
                        <w:ind w:left="284"/>
                        <w:jc w:val="both"/>
                        <w:rPr>
                          <w:rFonts w:ascii="Times New Roman" w:eastAsia="Times New Roman" w:hAnsi="Times New Roman" w:cs="Times New Roman"/>
                          <w:bCs/>
                          <w:sz w:val="19"/>
                          <w:szCs w:val="19"/>
                          <w:lang w:val="es-MX"/>
                        </w:rPr>
                      </w:pPr>
                    </w:p>
                    <w:p w14:paraId="3240E04C" w14:textId="763706CA" w:rsidR="00B842A5" w:rsidRPr="00B842A5" w:rsidRDefault="00B842A5" w:rsidP="00B842A5">
                      <w:pPr>
                        <w:pStyle w:val="Prrafodelista"/>
                        <w:ind w:left="284"/>
                        <w:jc w:val="both"/>
                        <w:rPr>
                          <w:rFonts w:ascii="Times New Roman" w:hAnsi="Times New Roman" w:cs="Times New Roman"/>
                          <w:noProof/>
                          <w:sz w:val="20"/>
                          <w:szCs w:val="20"/>
                          <w:lang w:eastAsia="es-GT"/>
                        </w:rPr>
                      </w:pPr>
                      <w:r w:rsidRPr="00B842A5">
                        <w:rPr>
                          <w:rFonts w:ascii="Times New Roman" w:hAnsi="Times New Roman" w:cs="Times New Roman"/>
                          <w:noProof/>
                          <w:sz w:val="20"/>
                          <w:szCs w:val="20"/>
                          <w:lang w:eastAsia="es-GT"/>
                        </w:rPr>
                        <w:t>Para 2023 fue aprobado únicamente el Decreto Número 1-2023 “Ley de Fortalecimiento al Aporte Social de la Tarifa Eléctrica” el cual cubrió a los usuarios regulados que consumen mensualmente entre 89 kWh -125 kWh hasta junio del 2023. Para lo cual se contó con el presupuesto de Q197 millones provenientes de los recursos de caja y bancos, siendo un aporte al Instituto Nacional de Electrificación (INDE), por medio de las Obligaciones del Estado a Cargo del Tesoro. El subsidio fue ampliado por un mes más y se encontró vigente hasta agosto de 2023.</w:t>
                      </w:r>
                    </w:p>
                    <w:p w14:paraId="1A36D154" w14:textId="77777777" w:rsidR="00B842A5" w:rsidRPr="000D150A" w:rsidRDefault="00B842A5" w:rsidP="00B842A5">
                      <w:pPr>
                        <w:pStyle w:val="Prrafodelista"/>
                        <w:rPr>
                          <w:rFonts w:ascii="Times New Roman" w:hAnsi="Times New Roman" w:cs="Times New Roman"/>
                          <w:noProof/>
                          <w:color w:val="000000" w:themeColor="text1"/>
                          <w:sz w:val="20"/>
                          <w:szCs w:val="20"/>
                          <w:lang w:eastAsia="es-GT"/>
                        </w:rPr>
                      </w:pPr>
                    </w:p>
                    <w:p w14:paraId="440937D1" w14:textId="77777777" w:rsidR="00B842A5" w:rsidRPr="000D150A" w:rsidRDefault="00B842A5" w:rsidP="00B842A5">
                      <w:pPr>
                        <w:jc w:val="both"/>
                        <w:rPr>
                          <w:rFonts w:ascii="Times New Roman" w:hAnsi="Times New Roman" w:cs="Times New Roman"/>
                          <w:noProof/>
                          <w:color w:val="000000" w:themeColor="text1"/>
                          <w:sz w:val="2"/>
                          <w:szCs w:val="2"/>
                          <w:lang w:eastAsia="es-GT"/>
                        </w:rPr>
                      </w:pPr>
                    </w:p>
                    <w:p w14:paraId="30AF1E86" w14:textId="77777777" w:rsidR="00B842A5" w:rsidRDefault="00B842A5" w:rsidP="00B842A5">
                      <w:pPr>
                        <w:pStyle w:val="Prrafodelista"/>
                        <w:jc w:val="center"/>
                        <w:rPr>
                          <w:rFonts w:ascii="Times New Roman" w:hAnsi="Times New Roman" w:cs="Times New Roman"/>
                          <w:noProof/>
                          <w:color w:val="000000" w:themeColor="text1"/>
                          <w:sz w:val="20"/>
                          <w:szCs w:val="20"/>
                          <w:lang w:eastAsia="es-GT"/>
                        </w:rPr>
                      </w:pPr>
                    </w:p>
                    <w:p w14:paraId="4932CD1A" w14:textId="77777777" w:rsidR="00B842A5" w:rsidRPr="00066F88" w:rsidRDefault="00B842A5" w:rsidP="00B842A5">
                      <w:pPr>
                        <w:pStyle w:val="Prrafodelista"/>
                        <w:jc w:val="center"/>
                        <w:rPr>
                          <w:rFonts w:ascii="Times New Roman" w:hAnsi="Times New Roman" w:cs="Times New Roman"/>
                          <w:noProof/>
                          <w:color w:val="000000" w:themeColor="text1"/>
                          <w:sz w:val="20"/>
                          <w:szCs w:val="20"/>
                          <w:lang w:eastAsia="es-GT"/>
                        </w:rPr>
                      </w:pPr>
                    </w:p>
                    <w:p w14:paraId="3CF330CB" w14:textId="77777777" w:rsidR="00B842A5" w:rsidRPr="006F6A34" w:rsidRDefault="00B842A5" w:rsidP="00B842A5">
                      <w:pPr>
                        <w:pStyle w:val="Prrafodelista"/>
                        <w:jc w:val="both"/>
                        <w:rPr>
                          <w:rFonts w:ascii="Times New Roman" w:hAnsi="Times New Roman" w:cs="Times New Roman"/>
                          <w:noProof/>
                          <w:color w:val="000000" w:themeColor="text1"/>
                          <w:sz w:val="20"/>
                          <w:szCs w:val="20"/>
                          <w:lang w:eastAsia="es-GT"/>
                        </w:rPr>
                      </w:pPr>
                    </w:p>
                    <w:p w14:paraId="58A3A71F" w14:textId="77777777" w:rsidR="00B842A5" w:rsidRPr="006F6A34" w:rsidRDefault="00B842A5" w:rsidP="00B842A5">
                      <w:pPr>
                        <w:jc w:val="center"/>
                        <w:rPr>
                          <w:rFonts w:ascii="Times New Roman" w:hAnsi="Times New Roman" w:cs="Times New Roman"/>
                          <w:b/>
                          <w:bCs/>
                          <w:sz w:val="20"/>
                          <w:szCs w:val="20"/>
                        </w:rPr>
                      </w:pPr>
                    </w:p>
                    <w:p w14:paraId="194F4620" w14:textId="77777777" w:rsidR="00B842A5" w:rsidRPr="006F6A34" w:rsidRDefault="00B842A5" w:rsidP="00B842A5">
                      <w:pPr>
                        <w:jc w:val="center"/>
                        <w:rPr>
                          <w:rFonts w:ascii="Times New Roman" w:hAnsi="Times New Roman" w:cs="Times New Roman"/>
                          <w:b/>
                          <w:bCs/>
                          <w:sz w:val="20"/>
                          <w:szCs w:val="20"/>
                        </w:rPr>
                      </w:pPr>
                    </w:p>
                    <w:p w14:paraId="114208C1" w14:textId="77777777" w:rsidR="00B842A5" w:rsidRDefault="00B842A5" w:rsidP="00B842A5">
                      <w:pPr>
                        <w:jc w:val="center"/>
                        <w:rPr>
                          <w:rFonts w:ascii="Times New Roman" w:hAnsi="Times New Roman" w:cs="Times New Roman"/>
                          <w:b/>
                          <w:bCs/>
                        </w:rPr>
                      </w:pPr>
                    </w:p>
                    <w:p w14:paraId="2D568066" w14:textId="77777777" w:rsidR="00B842A5" w:rsidRDefault="00B842A5" w:rsidP="00B842A5">
                      <w:pPr>
                        <w:jc w:val="center"/>
                        <w:rPr>
                          <w:rFonts w:ascii="Times New Roman" w:hAnsi="Times New Roman" w:cs="Times New Roman"/>
                          <w:b/>
                          <w:bCs/>
                        </w:rPr>
                      </w:pPr>
                    </w:p>
                    <w:p w14:paraId="6A8889F1" w14:textId="77777777" w:rsidR="00B842A5" w:rsidRDefault="00B842A5" w:rsidP="00B842A5">
                      <w:pPr>
                        <w:jc w:val="center"/>
                        <w:rPr>
                          <w:rFonts w:ascii="Times New Roman" w:hAnsi="Times New Roman" w:cs="Times New Roman"/>
                          <w:b/>
                          <w:bCs/>
                        </w:rPr>
                      </w:pPr>
                    </w:p>
                    <w:p w14:paraId="1320C7EF" w14:textId="77777777" w:rsidR="00B842A5" w:rsidRDefault="00B842A5" w:rsidP="00B842A5">
                      <w:pPr>
                        <w:jc w:val="center"/>
                        <w:rPr>
                          <w:rFonts w:ascii="Times New Roman" w:hAnsi="Times New Roman" w:cs="Times New Roman"/>
                          <w:b/>
                          <w:bCs/>
                        </w:rPr>
                      </w:pPr>
                    </w:p>
                    <w:p w14:paraId="6BA2C615" w14:textId="77777777" w:rsidR="00B842A5" w:rsidRDefault="00B842A5" w:rsidP="00B842A5">
                      <w:pPr>
                        <w:jc w:val="center"/>
                        <w:rPr>
                          <w:rFonts w:ascii="Times New Roman" w:hAnsi="Times New Roman" w:cs="Times New Roman"/>
                          <w:b/>
                          <w:bCs/>
                        </w:rPr>
                      </w:pPr>
                    </w:p>
                    <w:p w14:paraId="5E95FE8D" w14:textId="77777777" w:rsidR="00B842A5" w:rsidRDefault="00B842A5" w:rsidP="00B842A5">
                      <w:pPr>
                        <w:jc w:val="center"/>
                        <w:rPr>
                          <w:rFonts w:ascii="Times New Roman" w:hAnsi="Times New Roman" w:cs="Times New Roman"/>
                          <w:b/>
                          <w:bCs/>
                        </w:rPr>
                      </w:pPr>
                    </w:p>
                    <w:p w14:paraId="3B5348DB" w14:textId="77777777" w:rsidR="00B842A5" w:rsidRDefault="00B842A5" w:rsidP="00B842A5">
                      <w:pPr>
                        <w:jc w:val="center"/>
                        <w:rPr>
                          <w:rFonts w:ascii="Times New Roman" w:hAnsi="Times New Roman" w:cs="Times New Roman"/>
                          <w:b/>
                          <w:bCs/>
                        </w:rPr>
                      </w:pPr>
                    </w:p>
                    <w:p w14:paraId="051EC70A" w14:textId="77777777" w:rsidR="00B842A5" w:rsidRDefault="00B842A5" w:rsidP="00B842A5">
                      <w:pPr>
                        <w:jc w:val="center"/>
                        <w:rPr>
                          <w:rFonts w:ascii="Times New Roman" w:hAnsi="Times New Roman" w:cs="Times New Roman"/>
                          <w:b/>
                          <w:bCs/>
                        </w:rPr>
                      </w:pPr>
                    </w:p>
                    <w:p w14:paraId="08C67712" w14:textId="77777777" w:rsidR="00B842A5" w:rsidRDefault="00B842A5" w:rsidP="00B842A5">
                      <w:pPr>
                        <w:jc w:val="center"/>
                        <w:rPr>
                          <w:rFonts w:ascii="Times New Roman" w:hAnsi="Times New Roman" w:cs="Times New Roman"/>
                          <w:b/>
                          <w:bCs/>
                        </w:rPr>
                      </w:pPr>
                    </w:p>
                    <w:p w14:paraId="40D29600" w14:textId="77777777" w:rsidR="00B842A5" w:rsidRDefault="00B842A5" w:rsidP="00B842A5">
                      <w:pPr>
                        <w:jc w:val="center"/>
                        <w:rPr>
                          <w:rFonts w:ascii="Times New Roman" w:hAnsi="Times New Roman" w:cs="Times New Roman"/>
                          <w:b/>
                          <w:bCs/>
                        </w:rPr>
                      </w:pPr>
                    </w:p>
                    <w:p w14:paraId="69D15B22" w14:textId="77777777" w:rsidR="00B842A5" w:rsidRDefault="00B842A5" w:rsidP="00B842A5">
                      <w:pPr>
                        <w:jc w:val="center"/>
                        <w:rPr>
                          <w:rFonts w:ascii="Times New Roman" w:hAnsi="Times New Roman" w:cs="Times New Roman"/>
                          <w:b/>
                          <w:bCs/>
                        </w:rPr>
                      </w:pPr>
                    </w:p>
                    <w:p w14:paraId="1FA21F17" w14:textId="77777777" w:rsidR="00B842A5" w:rsidRPr="008902B7" w:rsidRDefault="00B842A5" w:rsidP="00B842A5">
                      <w:pPr>
                        <w:jc w:val="center"/>
                        <w:rPr>
                          <w:rFonts w:ascii="Times New Roman" w:hAnsi="Times New Roman" w:cs="Times New Roman"/>
                          <w:b/>
                          <w:bCs/>
                        </w:rPr>
                      </w:pPr>
                    </w:p>
                  </w:txbxContent>
                </v:textbox>
                <w10:anchorlock/>
              </v:rect>
            </w:pict>
          </mc:Fallback>
        </mc:AlternateContent>
      </w:r>
    </w:p>
    <w:bookmarkEnd w:id="69"/>
    <w:p w14:paraId="6E012867" w14:textId="47883954" w:rsidR="0039645E" w:rsidRDefault="0039645E" w:rsidP="0039645E">
      <w:pPr>
        <w:jc w:val="both"/>
        <w:rPr>
          <w:rFonts w:ascii="Times New Roman" w:eastAsia="Times New Roman" w:hAnsi="Times New Roman" w:cs="Times New Roman"/>
          <w:sz w:val="22"/>
          <w:szCs w:val="22"/>
          <w:lang w:val="es-ES_tradnl" w:eastAsia="es-ES"/>
        </w:rPr>
      </w:pPr>
    </w:p>
    <w:p w14:paraId="500C237B" w14:textId="7CBA08F6" w:rsidR="00B842A5" w:rsidRDefault="00B842A5" w:rsidP="0039645E">
      <w:pPr>
        <w:jc w:val="both"/>
        <w:rPr>
          <w:rFonts w:ascii="Times New Roman" w:eastAsia="Times New Roman" w:hAnsi="Times New Roman" w:cs="Times New Roman"/>
          <w:sz w:val="22"/>
          <w:szCs w:val="22"/>
          <w:lang w:val="es-ES_tradnl" w:eastAsia="es-ES"/>
        </w:rPr>
      </w:pPr>
    </w:p>
    <w:p w14:paraId="07F6B90F" w14:textId="50E6D597" w:rsidR="00B842A5" w:rsidRDefault="00B842A5" w:rsidP="0039645E">
      <w:pPr>
        <w:jc w:val="both"/>
        <w:rPr>
          <w:rFonts w:ascii="Times New Roman" w:eastAsia="Times New Roman" w:hAnsi="Times New Roman" w:cs="Times New Roman"/>
          <w:sz w:val="22"/>
          <w:szCs w:val="22"/>
          <w:lang w:val="es-ES_tradnl" w:eastAsia="es-ES"/>
        </w:rPr>
      </w:pPr>
    </w:p>
    <w:p w14:paraId="52703E0B" w14:textId="39D71D8E" w:rsidR="00B842A5" w:rsidRDefault="00B842A5" w:rsidP="0039645E">
      <w:pPr>
        <w:jc w:val="both"/>
        <w:rPr>
          <w:rFonts w:ascii="Times New Roman" w:eastAsia="Times New Roman" w:hAnsi="Times New Roman" w:cs="Times New Roman"/>
          <w:sz w:val="22"/>
          <w:szCs w:val="22"/>
          <w:lang w:val="es-ES_tradnl" w:eastAsia="es-ES"/>
        </w:rPr>
      </w:pPr>
      <w:bookmarkStart w:id="70" w:name="_Hlk125446367"/>
    </w:p>
    <w:p w14:paraId="0C95B49E" w14:textId="56A0534E" w:rsidR="00B842A5" w:rsidRDefault="00B842A5" w:rsidP="0039645E">
      <w:pPr>
        <w:jc w:val="both"/>
        <w:rPr>
          <w:rFonts w:ascii="Times New Roman" w:eastAsia="Times New Roman" w:hAnsi="Times New Roman" w:cs="Times New Roman"/>
          <w:sz w:val="22"/>
          <w:szCs w:val="22"/>
          <w:lang w:val="es-ES_tradnl" w:eastAsia="es-ES"/>
        </w:rPr>
      </w:pPr>
    </w:p>
    <w:p w14:paraId="5FA8B6DE" w14:textId="0D81BA81" w:rsidR="00B842A5" w:rsidRPr="004A66F0" w:rsidRDefault="00B842A5" w:rsidP="0039645E">
      <w:pPr>
        <w:jc w:val="both"/>
        <w:rPr>
          <w:rFonts w:ascii="Times New Roman" w:eastAsia="Times New Roman" w:hAnsi="Times New Roman" w:cs="Times New Roman"/>
          <w:sz w:val="22"/>
          <w:szCs w:val="22"/>
          <w:lang w:val="es-ES_tradnl" w:eastAsia="es-ES"/>
        </w:rPr>
      </w:pPr>
      <w:r w:rsidRPr="00885B1F">
        <w:rPr>
          <w:rFonts w:ascii="Calibri" w:eastAsia="Times New Roman" w:hAnsi="Calibri" w:cs="Calibri"/>
          <w:noProof/>
          <w:color w:val="FF0000"/>
          <w:sz w:val="22"/>
          <w:szCs w:val="22"/>
        </w:rPr>
        <mc:AlternateContent>
          <mc:Choice Requires="wps">
            <w:drawing>
              <wp:inline distT="0" distB="0" distL="0" distR="0" wp14:anchorId="44DCAB1F" wp14:editId="53D1C750">
                <wp:extent cx="5532617" cy="3665552"/>
                <wp:effectExtent l="0" t="0" r="11430" b="11430"/>
                <wp:docPr id="974" name="Rectángulo 9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2617" cy="3665552"/>
                        </a:xfrm>
                        <a:prstGeom prst="rect">
                          <a:avLst/>
                        </a:prstGeom>
                        <a:solidFill>
                          <a:srgbClr val="4472C4">
                            <a:lumMod val="20000"/>
                            <a:lumOff val="80000"/>
                          </a:srgbClr>
                        </a:solidFill>
                        <a:ln w="6350" cap="flat" cmpd="sng" algn="ctr">
                          <a:solidFill>
                            <a:sysClr val="windowText" lastClr="000000"/>
                          </a:solidFill>
                          <a:prstDash val="solid"/>
                          <a:miter lim="800000"/>
                        </a:ln>
                        <a:effectLst/>
                      </wps:spPr>
                      <wps:txbx>
                        <w:txbxContent>
                          <w:p w14:paraId="0B4E078E" w14:textId="3E4E93D7" w:rsidR="00B842A5" w:rsidRPr="000D150A" w:rsidRDefault="00B842A5" w:rsidP="00B842A5">
                            <w:pPr>
                              <w:pStyle w:val="Prrafodelista"/>
                              <w:rPr>
                                <w:rFonts w:ascii="Times New Roman" w:hAnsi="Times New Roman" w:cs="Times New Roman"/>
                                <w:noProof/>
                                <w:color w:val="000000" w:themeColor="text1"/>
                                <w:sz w:val="20"/>
                                <w:szCs w:val="20"/>
                                <w:lang w:eastAsia="es-GT"/>
                              </w:rPr>
                            </w:pPr>
                            <w:r w:rsidRPr="004A66F0">
                              <w:rPr>
                                <w:rFonts w:ascii="Times New Roman" w:eastAsia="Times New Roman" w:hAnsi="Times New Roman" w:cs="Times New Roman"/>
                                <w:b/>
                                <w:noProof/>
                                <w:lang w:val="es-MX" w:eastAsia="es-ES"/>
                              </w:rPr>
                              <w:drawing>
                                <wp:inline distT="0" distB="0" distL="0" distR="0" wp14:anchorId="678A65D6" wp14:editId="4F21B0EE">
                                  <wp:extent cx="4867275" cy="2896870"/>
                                  <wp:effectExtent l="38100" t="0" r="9525" b="0"/>
                                  <wp:docPr id="23" name="Diagrama 2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4B847893" w14:textId="77777777" w:rsidR="00B842A5" w:rsidRPr="000D150A" w:rsidRDefault="00B842A5" w:rsidP="00B842A5">
                            <w:pPr>
                              <w:jc w:val="both"/>
                              <w:rPr>
                                <w:rFonts w:ascii="Times New Roman" w:hAnsi="Times New Roman" w:cs="Times New Roman"/>
                                <w:noProof/>
                                <w:color w:val="000000" w:themeColor="text1"/>
                                <w:sz w:val="2"/>
                                <w:szCs w:val="2"/>
                                <w:lang w:eastAsia="es-GT"/>
                              </w:rPr>
                            </w:pPr>
                          </w:p>
                          <w:p w14:paraId="44492B1E" w14:textId="26142384" w:rsidR="00B842A5" w:rsidRPr="00B842A5" w:rsidRDefault="00B842A5" w:rsidP="00B842A5">
                            <w:pPr>
                              <w:pStyle w:val="Prrafodelista"/>
                              <w:ind w:left="284"/>
                              <w:jc w:val="both"/>
                              <w:rPr>
                                <w:rFonts w:ascii="Times New Roman" w:hAnsi="Times New Roman" w:cs="Times New Roman"/>
                                <w:noProof/>
                                <w:color w:val="000000" w:themeColor="text1"/>
                                <w:sz w:val="20"/>
                                <w:szCs w:val="20"/>
                                <w:lang w:val="es-MX" w:eastAsia="es-GT"/>
                              </w:rPr>
                            </w:pPr>
                            <w:r w:rsidRPr="00B842A5">
                              <w:rPr>
                                <w:rFonts w:ascii="Times New Roman" w:hAnsi="Times New Roman" w:cs="Times New Roman"/>
                                <w:noProof/>
                                <w:color w:val="000000" w:themeColor="text1"/>
                                <w:sz w:val="20"/>
                                <w:szCs w:val="20"/>
                                <w:lang w:val="es-MX" w:eastAsia="es-GT"/>
                              </w:rPr>
                              <w:t>Cabe destacar que las medidas tuvieron el presupuesto de Q412.1 millones, incluyendo el Decreto Número 55-2022 que fue aprobado en noviembre de 2022 y estuvo vigente en los primeros meses de 2023. Resalta que ambos apoyos temporales fueron cubiertos con recursos de caja y bancos, es decir, con ahorros que había generado el gobierno en períodos anteriores.</w:t>
                            </w:r>
                          </w:p>
                          <w:p w14:paraId="4607F56A" w14:textId="77777777" w:rsidR="00B842A5" w:rsidRPr="006F6A34" w:rsidRDefault="00B842A5" w:rsidP="00B842A5">
                            <w:pPr>
                              <w:pStyle w:val="Prrafodelista"/>
                              <w:jc w:val="both"/>
                              <w:rPr>
                                <w:rFonts w:ascii="Times New Roman" w:hAnsi="Times New Roman" w:cs="Times New Roman"/>
                                <w:noProof/>
                                <w:color w:val="000000" w:themeColor="text1"/>
                                <w:sz w:val="20"/>
                                <w:szCs w:val="20"/>
                                <w:lang w:eastAsia="es-GT"/>
                              </w:rPr>
                            </w:pPr>
                          </w:p>
                          <w:p w14:paraId="3A5EC357" w14:textId="77777777" w:rsidR="00B842A5" w:rsidRPr="006F6A34" w:rsidRDefault="00B842A5" w:rsidP="00B842A5">
                            <w:pPr>
                              <w:jc w:val="center"/>
                              <w:rPr>
                                <w:rFonts w:ascii="Times New Roman" w:hAnsi="Times New Roman" w:cs="Times New Roman"/>
                                <w:b/>
                                <w:bCs/>
                                <w:sz w:val="20"/>
                                <w:szCs w:val="20"/>
                              </w:rPr>
                            </w:pPr>
                          </w:p>
                          <w:p w14:paraId="6078C6A8" w14:textId="77777777" w:rsidR="00B842A5" w:rsidRPr="006F6A34" w:rsidRDefault="00B842A5" w:rsidP="00B842A5">
                            <w:pPr>
                              <w:jc w:val="center"/>
                              <w:rPr>
                                <w:rFonts w:ascii="Times New Roman" w:hAnsi="Times New Roman" w:cs="Times New Roman"/>
                                <w:b/>
                                <w:bCs/>
                                <w:sz w:val="20"/>
                                <w:szCs w:val="20"/>
                              </w:rPr>
                            </w:pPr>
                          </w:p>
                          <w:p w14:paraId="146A0402" w14:textId="77777777" w:rsidR="00B842A5" w:rsidRDefault="00B842A5" w:rsidP="00B842A5">
                            <w:pPr>
                              <w:jc w:val="center"/>
                              <w:rPr>
                                <w:rFonts w:ascii="Times New Roman" w:hAnsi="Times New Roman" w:cs="Times New Roman"/>
                                <w:b/>
                                <w:bCs/>
                              </w:rPr>
                            </w:pPr>
                          </w:p>
                          <w:p w14:paraId="4228868F" w14:textId="77777777" w:rsidR="00B842A5" w:rsidRDefault="00B842A5" w:rsidP="00B842A5">
                            <w:pPr>
                              <w:jc w:val="center"/>
                              <w:rPr>
                                <w:rFonts w:ascii="Times New Roman" w:hAnsi="Times New Roman" w:cs="Times New Roman"/>
                                <w:b/>
                                <w:bCs/>
                              </w:rPr>
                            </w:pPr>
                          </w:p>
                          <w:p w14:paraId="27BF00E1" w14:textId="77777777" w:rsidR="00B842A5" w:rsidRDefault="00B842A5" w:rsidP="00B842A5">
                            <w:pPr>
                              <w:jc w:val="center"/>
                              <w:rPr>
                                <w:rFonts w:ascii="Times New Roman" w:hAnsi="Times New Roman" w:cs="Times New Roman"/>
                                <w:b/>
                                <w:bCs/>
                              </w:rPr>
                            </w:pPr>
                          </w:p>
                          <w:p w14:paraId="659184EA" w14:textId="77777777" w:rsidR="00B842A5" w:rsidRDefault="00B842A5" w:rsidP="00B842A5">
                            <w:pPr>
                              <w:jc w:val="center"/>
                              <w:rPr>
                                <w:rFonts w:ascii="Times New Roman" w:hAnsi="Times New Roman" w:cs="Times New Roman"/>
                                <w:b/>
                                <w:bCs/>
                              </w:rPr>
                            </w:pPr>
                          </w:p>
                          <w:p w14:paraId="1AA4E24C" w14:textId="77777777" w:rsidR="00B842A5" w:rsidRDefault="00B842A5" w:rsidP="00B842A5">
                            <w:pPr>
                              <w:jc w:val="center"/>
                              <w:rPr>
                                <w:rFonts w:ascii="Times New Roman" w:hAnsi="Times New Roman" w:cs="Times New Roman"/>
                                <w:b/>
                                <w:bCs/>
                              </w:rPr>
                            </w:pPr>
                          </w:p>
                          <w:p w14:paraId="428A368E" w14:textId="77777777" w:rsidR="00B842A5" w:rsidRDefault="00B842A5" w:rsidP="00B842A5">
                            <w:pPr>
                              <w:jc w:val="center"/>
                              <w:rPr>
                                <w:rFonts w:ascii="Times New Roman" w:hAnsi="Times New Roman" w:cs="Times New Roman"/>
                                <w:b/>
                                <w:bCs/>
                              </w:rPr>
                            </w:pPr>
                          </w:p>
                          <w:p w14:paraId="4B5BC139" w14:textId="77777777" w:rsidR="00B842A5" w:rsidRDefault="00B842A5" w:rsidP="00B842A5">
                            <w:pPr>
                              <w:jc w:val="center"/>
                              <w:rPr>
                                <w:rFonts w:ascii="Times New Roman" w:hAnsi="Times New Roman" w:cs="Times New Roman"/>
                                <w:b/>
                                <w:bCs/>
                              </w:rPr>
                            </w:pPr>
                          </w:p>
                          <w:p w14:paraId="1A10872B" w14:textId="77777777" w:rsidR="00B842A5" w:rsidRDefault="00B842A5" w:rsidP="00B842A5">
                            <w:pPr>
                              <w:jc w:val="center"/>
                              <w:rPr>
                                <w:rFonts w:ascii="Times New Roman" w:hAnsi="Times New Roman" w:cs="Times New Roman"/>
                                <w:b/>
                                <w:bCs/>
                              </w:rPr>
                            </w:pPr>
                          </w:p>
                          <w:p w14:paraId="071E3FD6" w14:textId="77777777" w:rsidR="00B842A5" w:rsidRDefault="00B842A5" w:rsidP="00B842A5">
                            <w:pPr>
                              <w:jc w:val="center"/>
                              <w:rPr>
                                <w:rFonts w:ascii="Times New Roman" w:hAnsi="Times New Roman" w:cs="Times New Roman"/>
                                <w:b/>
                                <w:bCs/>
                              </w:rPr>
                            </w:pPr>
                          </w:p>
                          <w:p w14:paraId="2E83A599" w14:textId="77777777" w:rsidR="00B842A5" w:rsidRDefault="00B842A5" w:rsidP="00B842A5">
                            <w:pPr>
                              <w:jc w:val="center"/>
                              <w:rPr>
                                <w:rFonts w:ascii="Times New Roman" w:hAnsi="Times New Roman" w:cs="Times New Roman"/>
                                <w:b/>
                                <w:bCs/>
                              </w:rPr>
                            </w:pPr>
                          </w:p>
                          <w:p w14:paraId="0B74A28C" w14:textId="77777777" w:rsidR="00B842A5" w:rsidRDefault="00B842A5" w:rsidP="00B842A5">
                            <w:pPr>
                              <w:jc w:val="center"/>
                              <w:rPr>
                                <w:rFonts w:ascii="Times New Roman" w:hAnsi="Times New Roman" w:cs="Times New Roman"/>
                                <w:b/>
                                <w:bCs/>
                              </w:rPr>
                            </w:pPr>
                          </w:p>
                          <w:p w14:paraId="148C7EAC" w14:textId="77777777" w:rsidR="00B842A5" w:rsidRPr="008902B7" w:rsidRDefault="00B842A5" w:rsidP="00B842A5">
                            <w:pPr>
                              <w:jc w:val="center"/>
                              <w:rPr>
                                <w:rFonts w:ascii="Times New Roman" w:hAnsi="Times New Roman" w:cs="Times New Roman"/>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4DCAB1F" id="Rectángulo 974" o:spid="_x0000_s1032" style="width:435.65pt;height:28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" fillcolor="#dae3f3" strokecolor="windowText" strokeweight=".5pt">
                <v:path arrowok="t"/>
                <v:textbox>
                  <w:txbxContent>
                    <w:p w14:paraId="0B4E078E" w14:textId="3E4E93D7" w:rsidR="00B842A5" w:rsidRPr="000D150A" w:rsidRDefault="00B842A5" w:rsidP="00B842A5">
                      <w:pPr>
                        <w:pStyle w:val="Prrafodelista"/>
                        <w:rPr>
                          <w:rFonts w:ascii="Times New Roman" w:hAnsi="Times New Roman" w:cs="Times New Roman"/>
                          <w:noProof/>
                          <w:color w:val="000000" w:themeColor="text1"/>
                          <w:sz w:val="20"/>
                          <w:szCs w:val="20"/>
                          <w:lang w:eastAsia="es-GT"/>
                        </w:rPr>
                      </w:pPr>
                      <w:r w:rsidRPr="004A66F0">
                        <w:rPr>
                          <w:rFonts w:ascii="Times New Roman" w:eastAsia="Times New Roman" w:hAnsi="Times New Roman" w:cs="Times New Roman"/>
                          <w:b/>
                          <w:noProof/>
                          <w:lang w:val="es-MX" w:eastAsia="es-ES"/>
                        </w:rPr>
                        <w:drawing>
                          <wp:inline distT="0" distB="0" distL="0" distR="0" wp14:anchorId="678A65D6" wp14:editId="4F21B0EE">
                            <wp:extent cx="4867275" cy="2896870"/>
                            <wp:effectExtent l="38100" t="0" r="9525" b="0"/>
                            <wp:docPr id="23" name="Diagrama 2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3" r:qs="rId34" r:cs="rId35"/>
                              </a:graphicData>
                            </a:graphic>
                          </wp:inline>
                        </w:drawing>
                      </w:r>
                    </w:p>
                    <w:p w14:paraId="4B847893" w14:textId="77777777" w:rsidR="00B842A5" w:rsidRPr="000D150A" w:rsidRDefault="00B842A5" w:rsidP="00B842A5">
                      <w:pPr>
                        <w:jc w:val="both"/>
                        <w:rPr>
                          <w:rFonts w:ascii="Times New Roman" w:hAnsi="Times New Roman" w:cs="Times New Roman"/>
                          <w:noProof/>
                          <w:color w:val="000000" w:themeColor="text1"/>
                          <w:sz w:val="2"/>
                          <w:szCs w:val="2"/>
                          <w:lang w:eastAsia="es-GT"/>
                        </w:rPr>
                      </w:pPr>
                    </w:p>
                    <w:p w14:paraId="44492B1E" w14:textId="26142384" w:rsidR="00B842A5" w:rsidRPr="00B842A5" w:rsidRDefault="00B842A5" w:rsidP="00B842A5">
                      <w:pPr>
                        <w:pStyle w:val="Prrafodelista"/>
                        <w:ind w:left="284"/>
                        <w:jc w:val="both"/>
                        <w:rPr>
                          <w:rFonts w:ascii="Times New Roman" w:hAnsi="Times New Roman" w:cs="Times New Roman"/>
                          <w:noProof/>
                          <w:color w:val="000000" w:themeColor="text1"/>
                          <w:sz w:val="20"/>
                          <w:szCs w:val="20"/>
                          <w:lang w:val="es-MX" w:eastAsia="es-GT"/>
                        </w:rPr>
                      </w:pPr>
                      <w:r w:rsidRPr="00B842A5">
                        <w:rPr>
                          <w:rFonts w:ascii="Times New Roman" w:hAnsi="Times New Roman" w:cs="Times New Roman"/>
                          <w:noProof/>
                          <w:color w:val="000000" w:themeColor="text1"/>
                          <w:sz w:val="20"/>
                          <w:szCs w:val="20"/>
                          <w:lang w:val="es-MX" w:eastAsia="es-GT"/>
                        </w:rPr>
                        <w:t>Cabe destacar que las medidas tuvieron el presupuesto de Q412.1 millones, incluyendo el Decreto Número 55-2022 que fue aprobado en noviembre de 2022 y estuvo vigente en los primeros meses de 2023. Resalta que ambos apoyos temporales fueron cubiertos con recursos de caja y bancos, es decir, con ahorros que había generado el gobierno en períodos anteriores.</w:t>
                      </w:r>
                    </w:p>
                    <w:p w14:paraId="4607F56A" w14:textId="77777777" w:rsidR="00B842A5" w:rsidRPr="006F6A34" w:rsidRDefault="00B842A5" w:rsidP="00B842A5">
                      <w:pPr>
                        <w:pStyle w:val="Prrafodelista"/>
                        <w:jc w:val="both"/>
                        <w:rPr>
                          <w:rFonts w:ascii="Times New Roman" w:hAnsi="Times New Roman" w:cs="Times New Roman"/>
                          <w:noProof/>
                          <w:color w:val="000000" w:themeColor="text1"/>
                          <w:sz w:val="20"/>
                          <w:szCs w:val="20"/>
                          <w:lang w:eastAsia="es-GT"/>
                        </w:rPr>
                      </w:pPr>
                    </w:p>
                    <w:p w14:paraId="3A5EC357" w14:textId="77777777" w:rsidR="00B842A5" w:rsidRPr="006F6A34" w:rsidRDefault="00B842A5" w:rsidP="00B842A5">
                      <w:pPr>
                        <w:jc w:val="center"/>
                        <w:rPr>
                          <w:rFonts w:ascii="Times New Roman" w:hAnsi="Times New Roman" w:cs="Times New Roman"/>
                          <w:b/>
                          <w:bCs/>
                          <w:sz w:val="20"/>
                          <w:szCs w:val="20"/>
                        </w:rPr>
                      </w:pPr>
                    </w:p>
                    <w:p w14:paraId="6078C6A8" w14:textId="77777777" w:rsidR="00B842A5" w:rsidRPr="006F6A34" w:rsidRDefault="00B842A5" w:rsidP="00B842A5">
                      <w:pPr>
                        <w:jc w:val="center"/>
                        <w:rPr>
                          <w:rFonts w:ascii="Times New Roman" w:hAnsi="Times New Roman" w:cs="Times New Roman"/>
                          <w:b/>
                          <w:bCs/>
                          <w:sz w:val="20"/>
                          <w:szCs w:val="20"/>
                        </w:rPr>
                      </w:pPr>
                    </w:p>
                    <w:p w14:paraId="146A0402" w14:textId="77777777" w:rsidR="00B842A5" w:rsidRDefault="00B842A5" w:rsidP="00B842A5">
                      <w:pPr>
                        <w:jc w:val="center"/>
                        <w:rPr>
                          <w:rFonts w:ascii="Times New Roman" w:hAnsi="Times New Roman" w:cs="Times New Roman"/>
                          <w:b/>
                          <w:bCs/>
                        </w:rPr>
                      </w:pPr>
                    </w:p>
                    <w:p w14:paraId="4228868F" w14:textId="77777777" w:rsidR="00B842A5" w:rsidRDefault="00B842A5" w:rsidP="00B842A5">
                      <w:pPr>
                        <w:jc w:val="center"/>
                        <w:rPr>
                          <w:rFonts w:ascii="Times New Roman" w:hAnsi="Times New Roman" w:cs="Times New Roman"/>
                          <w:b/>
                          <w:bCs/>
                        </w:rPr>
                      </w:pPr>
                    </w:p>
                    <w:p w14:paraId="27BF00E1" w14:textId="77777777" w:rsidR="00B842A5" w:rsidRDefault="00B842A5" w:rsidP="00B842A5">
                      <w:pPr>
                        <w:jc w:val="center"/>
                        <w:rPr>
                          <w:rFonts w:ascii="Times New Roman" w:hAnsi="Times New Roman" w:cs="Times New Roman"/>
                          <w:b/>
                          <w:bCs/>
                        </w:rPr>
                      </w:pPr>
                    </w:p>
                    <w:p w14:paraId="659184EA" w14:textId="77777777" w:rsidR="00B842A5" w:rsidRDefault="00B842A5" w:rsidP="00B842A5">
                      <w:pPr>
                        <w:jc w:val="center"/>
                        <w:rPr>
                          <w:rFonts w:ascii="Times New Roman" w:hAnsi="Times New Roman" w:cs="Times New Roman"/>
                          <w:b/>
                          <w:bCs/>
                        </w:rPr>
                      </w:pPr>
                    </w:p>
                    <w:p w14:paraId="1AA4E24C" w14:textId="77777777" w:rsidR="00B842A5" w:rsidRDefault="00B842A5" w:rsidP="00B842A5">
                      <w:pPr>
                        <w:jc w:val="center"/>
                        <w:rPr>
                          <w:rFonts w:ascii="Times New Roman" w:hAnsi="Times New Roman" w:cs="Times New Roman"/>
                          <w:b/>
                          <w:bCs/>
                        </w:rPr>
                      </w:pPr>
                    </w:p>
                    <w:p w14:paraId="428A368E" w14:textId="77777777" w:rsidR="00B842A5" w:rsidRDefault="00B842A5" w:rsidP="00B842A5">
                      <w:pPr>
                        <w:jc w:val="center"/>
                        <w:rPr>
                          <w:rFonts w:ascii="Times New Roman" w:hAnsi="Times New Roman" w:cs="Times New Roman"/>
                          <w:b/>
                          <w:bCs/>
                        </w:rPr>
                      </w:pPr>
                    </w:p>
                    <w:p w14:paraId="4B5BC139" w14:textId="77777777" w:rsidR="00B842A5" w:rsidRDefault="00B842A5" w:rsidP="00B842A5">
                      <w:pPr>
                        <w:jc w:val="center"/>
                        <w:rPr>
                          <w:rFonts w:ascii="Times New Roman" w:hAnsi="Times New Roman" w:cs="Times New Roman"/>
                          <w:b/>
                          <w:bCs/>
                        </w:rPr>
                      </w:pPr>
                    </w:p>
                    <w:p w14:paraId="1A10872B" w14:textId="77777777" w:rsidR="00B842A5" w:rsidRDefault="00B842A5" w:rsidP="00B842A5">
                      <w:pPr>
                        <w:jc w:val="center"/>
                        <w:rPr>
                          <w:rFonts w:ascii="Times New Roman" w:hAnsi="Times New Roman" w:cs="Times New Roman"/>
                          <w:b/>
                          <w:bCs/>
                        </w:rPr>
                      </w:pPr>
                    </w:p>
                    <w:p w14:paraId="071E3FD6" w14:textId="77777777" w:rsidR="00B842A5" w:rsidRDefault="00B842A5" w:rsidP="00B842A5">
                      <w:pPr>
                        <w:jc w:val="center"/>
                        <w:rPr>
                          <w:rFonts w:ascii="Times New Roman" w:hAnsi="Times New Roman" w:cs="Times New Roman"/>
                          <w:b/>
                          <w:bCs/>
                        </w:rPr>
                      </w:pPr>
                    </w:p>
                    <w:p w14:paraId="2E83A599" w14:textId="77777777" w:rsidR="00B842A5" w:rsidRDefault="00B842A5" w:rsidP="00B842A5">
                      <w:pPr>
                        <w:jc w:val="center"/>
                        <w:rPr>
                          <w:rFonts w:ascii="Times New Roman" w:hAnsi="Times New Roman" w:cs="Times New Roman"/>
                          <w:b/>
                          <w:bCs/>
                        </w:rPr>
                      </w:pPr>
                    </w:p>
                    <w:p w14:paraId="0B74A28C" w14:textId="77777777" w:rsidR="00B842A5" w:rsidRDefault="00B842A5" w:rsidP="00B842A5">
                      <w:pPr>
                        <w:jc w:val="center"/>
                        <w:rPr>
                          <w:rFonts w:ascii="Times New Roman" w:hAnsi="Times New Roman" w:cs="Times New Roman"/>
                          <w:b/>
                          <w:bCs/>
                        </w:rPr>
                      </w:pPr>
                    </w:p>
                    <w:p w14:paraId="148C7EAC" w14:textId="77777777" w:rsidR="00B842A5" w:rsidRPr="008902B7" w:rsidRDefault="00B842A5" w:rsidP="00B842A5">
                      <w:pPr>
                        <w:jc w:val="center"/>
                        <w:rPr>
                          <w:rFonts w:ascii="Times New Roman" w:hAnsi="Times New Roman" w:cs="Times New Roman"/>
                          <w:b/>
                          <w:bCs/>
                        </w:rPr>
                      </w:pPr>
                    </w:p>
                  </w:txbxContent>
                </v:textbox>
                <w10:anchorlock/>
              </v:rect>
            </w:pict>
          </mc:Fallback>
        </mc:AlternateContent>
      </w:r>
    </w:p>
    <w:bookmarkEnd w:id="70"/>
    <w:p w14:paraId="4A93D85C" w14:textId="77777777" w:rsidR="00B842A5" w:rsidRDefault="00B842A5" w:rsidP="0039645E">
      <w:pPr>
        <w:jc w:val="both"/>
        <w:rPr>
          <w:rFonts w:ascii="Times New Roman" w:eastAsia="Times New Roman" w:hAnsi="Times New Roman" w:cs="Times New Roman"/>
          <w:sz w:val="22"/>
          <w:szCs w:val="22"/>
          <w:lang w:val="es-ES_tradnl" w:eastAsia="es-ES"/>
        </w:rPr>
      </w:pPr>
    </w:p>
    <w:p w14:paraId="7D206B13" w14:textId="31D81B16" w:rsidR="00D26B7C" w:rsidRDefault="0039645E" w:rsidP="0039645E">
      <w:pPr>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Por su parte, el resto de entidades se encuentra por debajo de la ejecución institucional total. Siendo el caso de</w:t>
      </w:r>
      <w:r w:rsidR="00D26B7C" w:rsidRPr="00D26B7C">
        <w:t xml:space="preserve"> </w:t>
      </w:r>
      <w:r w:rsidR="00D26B7C" w:rsidRPr="00D26B7C">
        <w:rPr>
          <w:rFonts w:ascii="Times New Roman" w:eastAsia="Times New Roman" w:hAnsi="Times New Roman" w:cs="Times New Roman"/>
          <w:sz w:val="22"/>
          <w:szCs w:val="22"/>
          <w:lang w:val="es-ES_tradnl" w:eastAsia="es-ES"/>
        </w:rPr>
        <w:t>Salud Pública (9</w:t>
      </w:r>
      <w:r w:rsidR="00D26B7C">
        <w:rPr>
          <w:rFonts w:ascii="Times New Roman" w:eastAsia="Times New Roman" w:hAnsi="Times New Roman" w:cs="Times New Roman"/>
          <w:sz w:val="22"/>
          <w:szCs w:val="22"/>
          <w:lang w:val="es-ES_tradnl" w:eastAsia="es-ES"/>
        </w:rPr>
        <w:t>6</w:t>
      </w:r>
      <w:r w:rsidR="00D26B7C" w:rsidRPr="00D26B7C">
        <w:rPr>
          <w:rFonts w:ascii="Times New Roman" w:eastAsia="Times New Roman" w:hAnsi="Times New Roman" w:cs="Times New Roman"/>
          <w:sz w:val="22"/>
          <w:szCs w:val="22"/>
          <w:lang w:val="es-ES_tradnl" w:eastAsia="es-ES"/>
        </w:rPr>
        <w:t>.</w:t>
      </w:r>
      <w:r w:rsidR="00D26B7C">
        <w:rPr>
          <w:rFonts w:ascii="Times New Roman" w:eastAsia="Times New Roman" w:hAnsi="Times New Roman" w:cs="Times New Roman"/>
          <w:sz w:val="22"/>
          <w:szCs w:val="22"/>
          <w:lang w:val="es-ES_tradnl" w:eastAsia="es-ES"/>
        </w:rPr>
        <w:t>9</w:t>
      </w:r>
      <w:r w:rsidR="00D26B7C" w:rsidRPr="00D26B7C">
        <w:rPr>
          <w:rFonts w:ascii="Times New Roman" w:eastAsia="Times New Roman" w:hAnsi="Times New Roman" w:cs="Times New Roman"/>
          <w:sz w:val="22"/>
          <w:szCs w:val="22"/>
          <w:lang w:val="es-ES_tradnl" w:eastAsia="es-ES"/>
        </w:rPr>
        <w:t>%),</w:t>
      </w:r>
      <w:r w:rsidR="00D26B7C" w:rsidRPr="00D26B7C">
        <w:t xml:space="preserve"> </w:t>
      </w:r>
      <w:r w:rsidR="00D00D8F">
        <w:rPr>
          <w:rFonts w:ascii="Times New Roman" w:eastAsia="Times New Roman" w:hAnsi="Times New Roman" w:cs="Times New Roman"/>
          <w:sz w:val="22"/>
          <w:szCs w:val="22"/>
          <w:lang w:val="es-ES_tradnl" w:eastAsia="es-ES"/>
        </w:rPr>
        <w:t>Se</w:t>
      </w:r>
      <w:r w:rsidR="00D00D8F" w:rsidRPr="00D26B7C">
        <w:rPr>
          <w:rFonts w:ascii="Times New Roman" w:eastAsia="Times New Roman" w:hAnsi="Times New Roman" w:cs="Times New Roman"/>
          <w:sz w:val="22"/>
          <w:szCs w:val="22"/>
          <w:lang w:val="es-ES_tradnl" w:eastAsia="es-ES"/>
        </w:rPr>
        <w:t>cretar</w:t>
      </w:r>
      <w:r w:rsidR="00820EAD">
        <w:rPr>
          <w:rFonts w:ascii="Times New Roman" w:eastAsia="Times New Roman" w:hAnsi="Times New Roman" w:cs="Times New Roman"/>
          <w:sz w:val="22"/>
          <w:szCs w:val="22"/>
          <w:lang w:val="es-ES_tradnl" w:eastAsia="es-ES"/>
        </w:rPr>
        <w:t>í</w:t>
      </w:r>
      <w:r w:rsidR="00D00D8F" w:rsidRPr="00D26B7C">
        <w:rPr>
          <w:rFonts w:ascii="Times New Roman" w:eastAsia="Times New Roman" w:hAnsi="Times New Roman" w:cs="Times New Roman"/>
          <w:sz w:val="22"/>
          <w:szCs w:val="22"/>
          <w:lang w:val="es-ES_tradnl" w:eastAsia="es-ES"/>
        </w:rPr>
        <w:t>as</w:t>
      </w:r>
      <w:r w:rsidR="00D26B7C" w:rsidRPr="00D26B7C">
        <w:rPr>
          <w:rFonts w:ascii="Times New Roman" w:eastAsia="Times New Roman" w:hAnsi="Times New Roman" w:cs="Times New Roman"/>
          <w:sz w:val="22"/>
          <w:szCs w:val="22"/>
          <w:lang w:val="es-ES_tradnl" w:eastAsia="es-ES"/>
        </w:rPr>
        <w:t xml:space="preserve"> (9</w:t>
      </w:r>
      <w:r w:rsidR="00D26B7C">
        <w:rPr>
          <w:rFonts w:ascii="Times New Roman" w:eastAsia="Times New Roman" w:hAnsi="Times New Roman" w:cs="Times New Roman"/>
          <w:sz w:val="22"/>
          <w:szCs w:val="22"/>
          <w:lang w:val="es-ES_tradnl" w:eastAsia="es-ES"/>
        </w:rPr>
        <w:t>5</w:t>
      </w:r>
      <w:r w:rsidR="00D26B7C" w:rsidRPr="00D26B7C">
        <w:rPr>
          <w:rFonts w:ascii="Times New Roman" w:eastAsia="Times New Roman" w:hAnsi="Times New Roman" w:cs="Times New Roman"/>
          <w:sz w:val="22"/>
          <w:szCs w:val="22"/>
          <w:lang w:val="es-ES_tradnl" w:eastAsia="es-ES"/>
        </w:rPr>
        <w:t>.</w:t>
      </w:r>
      <w:r w:rsidR="00D26B7C">
        <w:rPr>
          <w:rFonts w:ascii="Times New Roman" w:eastAsia="Times New Roman" w:hAnsi="Times New Roman" w:cs="Times New Roman"/>
          <w:sz w:val="22"/>
          <w:szCs w:val="22"/>
          <w:lang w:val="es-ES_tradnl" w:eastAsia="es-ES"/>
        </w:rPr>
        <w:t>9</w:t>
      </w:r>
      <w:r w:rsidR="00D26B7C" w:rsidRPr="00D26B7C">
        <w:rPr>
          <w:rFonts w:ascii="Times New Roman" w:eastAsia="Times New Roman" w:hAnsi="Times New Roman" w:cs="Times New Roman"/>
          <w:sz w:val="22"/>
          <w:szCs w:val="22"/>
          <w:lang w:val="es-ES_tradnl" w:eastAsia="es-ES"/>
        </w:rPr>
        <w:t>%),</w:t>
      </w:r>
      <w:r w:rsidR="00D26B7C">
        <w:rPr>
          <w:rFonts w:ascii="Times New Roman" w:eastAsia="Times New Roman" w:hAnsi="Times New Roman" w:cs="Times New Roman"/>
          <w:sz w:val="22"/>
          <w:szCs w:val="22"/>
          <w:lang w:val="es-ES_tradnl" w:eastAsia="es-ES"/>
        </w:rPr>
        <w:t xml:space="preserve"> Economía (95.4%), Obligaciones (95.3%), la PGN (93.3%), Comunicaciones (92.8%) y Trabajo y Previsión Social (92.4%).</w:t>
      </w:r>
    </w:p>
    <w:p w14:paraId="49F212C8" w14:textId="796EB4F0" w:rsidR="00D26B7C" w:rsidRDefault="00D26B7C" w:rsidP="0039645E">
      <w:pPr>
        <w:jc w:val="both"/>
        <w:rPr>
          <w:rFonts w:ascii="Times New Roman" w:eastAsia="Times New Roman" w:hAnsi="Times New Roman" w:cs="Times New Roman"/>
          <w:sz w:val="22"/>
          <w:szCs w:val="22"/>
          <w:lang w:val="es-ES_tradnl" w:eastAsia="es-ES"/>
        </w:rPr>
      </w:pPr>
    </w:p>
    <w:p w14:paraId="27204E47" w14:textId="42BC4F41" w:rsidR="00D26B7C" w:rsidRDefault="00D26B7C" w:rsidP="00B43E10">
      <w:pPr>
        <w:jc w:val="both"/>
        <w:rPr>
          <w:rFonts w:ascii="Times New Roman" w:eastAsia="Times New Roman" w:hAnsi="Times New Roman" w:cs="Times New Roman"/>
          <w:sz w:val="22"/>
          <w:szCs w:val="22"/>
          <w:lang w:val="es-ES_tradnl" w:eastAsia="es-ES"/>
        </w:rPr>
      </w:pPr>
      <w:r>
        <w:rPr>
          <w:rFonts w:ascii="Times New Roman" w:eastAsia="Times New Roman" w:hAnsi="Times New Roman" w:cs="Times New Roman"/>
          <w:sz w:val="22"/>
          <w:szCs w:val="22"/>
          <w:lang w:val="es-ES_tradnl" w:eastAsia="es-ES"/>
        </w:rPr>
        <w:t xml:space="preserve">En el caso de las Obligaciones del Estado a </w:t>
      </w:r>
      <w:r w:rsidR="00413BC2">
        <w:rPr>
          <w:rFonts w:ascii="Times New Roman" w:eastAsia="Times New Roman" w:hAnsi="Times New Roman" w:cs="Times New Roman"/>
          <w:sz w:val="22"/>
          <w:szCs w:val="22"/>
          <w:lang w:val="es-ES_tradnl" w:eastAsia="es-ES"/>
        </w:rPr>
        <w:t>C</w:t>
      </w:r>
      <w:r>
        <w:rPr>
          <w:rFonts w:ascii="Times New Roman" w:eastAsia="Times New Roman" w:hAnsi="Times New Roman" w:cs="Times New Roman"/>
          <w:sz w:val="22"/>
          <w:szCs w:val="22"/>
          <w:lang w:val="es-ES_tradnl" w:eastAsia="es-ES"/>
        </w:rPr>
        <w:t xml:space="preserve">argo del Tesoro, es relevante </w:t>
      </w:r>
      <w:r w:rsidR="00B43E10">
        <w:rPr>
          <w:rFonts w:ascii="Times New Roman" w:eastAsia="Times New Roman" w:hAnsi="Times New Roman" w:cs="Times New Roman"/>
          <w:sz w:val="22"/>
          <w:szCs w:val="22"/>
          <w:lang w:val="es-ES_tradnl" w:eastAsia="es-ES"/>
        </w:rPr>
        <w:t xml:space="preserve">indicar </w:t>
      </w:r>
      <w:r w:rsidR="00B43E10" w:rsidRPr="00B43E10">
        <w:rPr>
          <w:rFonts w:ascii="Times New Roman" w:eastAsia="Times New Roman" w:hAnsi="Times New Roman" w:cs="Times New Roman"/>
          <w:sz w:val="22"/>
          <w:szCs w:val="22"/>
          <w:lang w:val="es-ES_tradnl" w:eastAsia="es-ES"/>
        </w:rPr>
        <w:t xml:space="preserve">que en 2022 se aprobó </w:t>
      </w:r>
      <w:r w:rsidR="00757B2C">
        <w:rPr>
          <w:rFonts w:ascii="Times New Roman" w:eastAsia="Times New Roman" w:hAnsi="Times New Roman" w:cs="Times New Roman"/>
          <w:sz w:val="22"/>
          <w:szCs w:val="22"/>
          <w:lang w:val="es-ES_tradnl" w:eastAsia="es-ES"/>
        </w:rPr>
        <w:t xml:space="preserve">el </w:t>
      </w:r>
      <w:r w:rsidR="00B43E10" w:rsidRPr="00B43E10">
        <w:rPr>
          <w:rFonts w:ascii="Times New Roman" w:eastAsia="Times New Roman" w:hAnsi="Times New Roman" w:cs="Times New Roman"/>
          <w:sz w:val="22"/>
          <w:szCs w:val="22"/>
          <w:lang w:val="es-ES_tradnl" w:eastAsia="es-ES"/>
        </w:rPr>
        <w:t xml:space="preserve">aumento de 10% para los beneficiarios del régimen de clases pasivas y civiles del Estado, </w:t>
      </w:r>
      <w:r w:rsidR="00B43E10">
        <w:rPr>
          <w:rFonts w:ascii="Times New Roman" w:eastAsia="Times New Roman" w:hAnsi="Times New Roman" w:cs="Times New Roman"/>
          <w:sz w:val="22"/>
          <w:szCs w:val="22"/>
          <w:lang w:val="es-ES_tradnl" w:eastAsia="es-ES"/>
        </w:rPr>
        <w:t>y d</w:t>
      </w:r>
      <w:r w:rsidR="00B43E10" w:rsidRPr="00B43E10">
        <w:rPr>
          <w:rFonts w:ascii="Times New Roman" w:eastAsia="Times New Roman" w:hAnsi="Times New Roman" w:cs="Times New Roman"/>
          <w:sz w:val="22"/>
          <w:szCs w:val="22"/>
          <w:lang w:val="es-ES_tradnl" w:eastAsia="es-ES"/>
        </w:rPr>
        <w:t>entro del Presupuesto General de Ingresos y Egresos del Estado para el ejercicio 2023, se autoriz</w:t>
      </w:r>
      <w:r w:rsidR="00D00D8F">
        <w:rPr>
          <w:rFonts w:ascii="Times New Roman" w:eastAsia="Times New Roman" w:hAnsi="Times New Roman" w:cs="Times New Roman"/>
          <w:sz w:val="22"/>
          <w:szCs w:val="22"/>
          <w:lang w:val="es-ES_tradnl" w:eastAsia="es-ES"/>
        </w:rPr>
        <w:t>ó</w:t>
      </w:r>
      <w:r w:rsidR="00B43E10" w:rsidRPr="00B43E10">
        <w:rPr>
          <w:rFonts w:ascii="Times New Roman" w:eastAsia="Times New Roman" w:hAnsi="Times New Roman" w:cs="Times New Roman"/>
          <w:sz w:val="22"/>
          <w:szCs w:val="22"/>
          <w:lang w:val="es-ES_tradnl" w:eastAsia="es-ES"/>
        </w:rPr>
        <w:t xml:space="preserve"> ampliar el presupuesto, en el caso que </w:t>
      </w:r>
      <w:r w:rsidR="00757B2C">
        <w:rPr>
          <w:rFonts w:ascii="Times New Roman" w:eastAsia="Times New Roman" w:hAnsi="Times New Roman" w:cs="Times New Roman"/>
          <w:sz w:val="22"/>
          <w:szCs w:val="22"/>
          <w:lang w:val="es-ES_tradnl" w:eastAsia="es-ES"/>
        </w:rPr>
        <w:t>existiera</w:t>
      </w:r>
      <w:r w:rsidR="00757B2C" w:rsidRPr="00B43E10">
        <w:rPr>
          <w:rFonts w:ascii="Times New Roman" w:eastAsia="Times New Roman" w:hAnsi="Times New Roman" w:cs="Times New Roman"/>
          <w:sz w:val="22"/>
          <w:szCs w:val="22"/>
          <w:lang w:val="es-ES_tradnl" w:eastAsia="es-ES"/>
        </w:rPr>
        <w:t xml:space="preserve"> </w:t>
      </w:r>
      <w:r w:rsidR="00B43E10" w:rsidRPr="00B43E10">
        <w:rPr>
          <w:rFonts w:ascii="Times New Roman" w:eastAsia="Times New Roman" w:hAnsi="Times New Roman" w:cs="Times New Roman"/>
          <w:sz w:val="22"/>
          <w:szCs w:val="22"/>
          <w:lang w:val="es-ES_tradnl" w:eastAsia="es-ES"/>
        </w:rPr>
        <w:t>disponibilidad de saldos de caja de recursos del tesoro de ejercicios anteriores, hasta por Q600 millones para el financiamiento del incremento en las jubilaciones y pensiones del régimen de clases pasivas y civiles del Estado.</w:t>
      </w:r>
      <w:r w:rsidR="00B43E10">
        <w:rPr>
          <w:rFonts w:ascii="Times New Roman" w:eastAsia="Times New Roman" w:hAnsi="Times New Roman" w:cs="Times New Roman"/>
          <w:sz w:val="22"/>
          <w:szCs w:val="22"/>
          <w:lang w:val="es-ES_tradnl" w:eastAsia="es-ES"/>
        </w:rPr>
        <w:t xml:space="preserve"> Efectivamente, el presupuesto fue ampliado por dicho monto y los jubilados y pensionados fueron beneficiados con dicho aumento.</w:t>
      </w:r>
    </w:p>
    <w:p w14:paraId="7A019EAC" w14:textId="2B311D8E" w:rsidR="00B43E10" w:rsidRDefault="00B43E10" w:rsidP="00B43E10">
      <w:pPr>
        <w:jc w:val="both"/>
        <w:rPr>
          <w:rFonts w:ascii="Times New Roman" w:eastAsia="Times New Roman" w:hAnsi="Times New Roman" w:cs="Times New Roman"/>
          <w:sz w:val="22"/>
          <w:szCs w:val="22"/>
          <w:lang w:val="es-ES_tradnl" w:eastAsia="es-ES"/>
        </w:rPr>
      </w:pPr>
    </w:p>
    <w:p w14:paraId="72B91788" w14:textId="5AFBC42D" w:rsidR="00090E74" w:rsidRDefault="00090E74" w:rsidP="00090E74">
      <w:pPr>
        <w:jc w:val="both"/>
        <w:rPr>
          <w:rFonts w:ascii="Times New Roman" w:eastAsia="Times New Roman" w:hAnsi="Times New Roman" w:cs="Times New Roman"/>
          <w:sz w:val="22"/>
          <w:szCs w:val="22"/>
          <w:lang w:val="es-ES_tradnl" w:eastAsia="es-ES"/>
        </w:rPr>
      </w:pPr>
      <w:r w:rsidRPr="00090E74">
        <w:rPr>
          <w:rFonts w:ascii="Times New Roman" w:eastAsia="Times New Roman" w:hAnsi="Times New Roman" w:cs="Times New Roman"/>
          <w:sz w:val="22"/>
          <w:szCs w:val="22"/>
          <w:lang w:val="es-ES_tradnl" w:eastAsia="es-ES"/>
        </w:rPr>
        <w:t xml:space="preserve">En el Ministerio de Trabajo </w:t>
      </w:r>
      <w:r w:rsidR="00E61C95">
        <w:rPr>
          <w:rFonts w:ascii="Times New Roman" w:eastAsia="Times New Roman" w:hAnsi="Times New Roman" w:cs="Times New Roman"/>
          <w:sz w:val="22"/>
          <w:szCs w:val="22"/>
          <w:lang w:val="es-ES_tradnl" w:eastAsia="es-ES"/>
        </w:rPr>
        <w:t>fue</w:t>
      </w:r>
      <w:r w:rsidR="00E61C95" w:rsidRPr="00090E74">
        <w:rPr>
          <w:rFonts w:ascii="Times New Roman" w:eastAsia="Times New Roman" w:hAnsi="Times New Roman" w:cs="Times New Roman"/>
          <w:sz w:val="22"/>
          <w:szCs w:val="22"/>
          <w:lang w:val="es-ES_tradnl" w:eastAsia="es-ES"/>
        </w:rPr>
        <w:t xml:space="preserve"> </w:t>
      </w:r>
      <w:r w:rsidRPr="00090E74">
        <w:rPr>
          <w:rFonts w:ascii="Times New Roman" w:eastAsia="Times New Roman" w:hAnsi="Times New Roman" w:cs="Times New Roman"/>
          <w:sz w:val="22"/>
          <w:szCs w:val="22"/>
          <w:lang w:val="es-ES_tradnl" w:eastAsia="es-ES"/>
        </w:rPr>
        <w:t xml:space="preserve">importante </w:t>
      </w:r>
      <w:r>
        <w:rPr>
          <w:rFonts w:ascii="Times New Roman" w:eastAsia="Times New Roman" w:hAnsi="Times New Roman" w:cs="Times New Roman"/>
          <w:sz w:val="22"/>
          <w:szCs w:val="22"/>
          <w:lang w:val="es-ES_tradnl" w:eastAsia="es-ES"/>
        </w:rPr>
        <w:t>la</w:t>
      </w:r>
      <w:r w:rsidRPr="00090E74">
        <w:rPr>
          <w:rFonts w:ascii="Times New Roman" w:eastAsia="Times New Roman" w:hAnsi="Times New Roman" w:cs="Times New Roman"/>
          <w:sz w:val="22"/>
          <w:szCs w:val="22"/>
          <w:lang w:val="es-ES_tradnl" w:eastAsia="es-ES"/>
        </w:rPr>
        <w:t xml:space="preserve"> ampl</w:t>
      </w:r>
      <w:r>
        <w:rPr>
          <w:rFonts w:ascii="Times New Roman" w:eastAsia="Times New Roman" w:hAnsi="Times New Roman" w:cs="Times New Roman"/>
          <w:sz w:val="22"/>
          <w:szCs w:val="22"/>
          <w:lang w:val="es-ES_tradnl" w:eastAsia="es-ES"/>
        </w:rPr>
        <w:t>i</w:t>
      </w:r>
      <w:r w:rsidRPr="00090E74">
        <w:rPr>
          <w:rFonts w:ascii="Times New Roman" w:eastAsia="Times New Roman" w:hAnsi="Times New Roman" w:cs="Times New Roman"/>
          <w:sz w:val="22"/>
          <w:szCs w:val="22"/>
          <w:lang w:val="es-ES_tradnl" w:eastAsia="es-ES"/>
        </w:rPr>
        <w:t>a</w:t>
      </w:r>
      <w:r>
        <w:rPr>
          <w:rFonts w:ascii="Times New Roman" w:eastAsia="Times New Roman" w:hAnsi="Times New Roman" w:cs="Times New Roman"/>
          <w:sz w:val="22"/>
          <w:szCs w:val="22"/>
          <w:lang w:val="es-ES_tradnl" w:eastAsia="es-ES"/>
        </w:rPr>
        <w:t>ción d</w:t>
      </w:r>
      <w:r w:rsidRPr="00090E74">
        <w:rPr>
          <w:rFonts w:ascii="Times New Roman" w:eastAsia="Times New Roman" w:hAnsi="Times New Roman" w:cs="Times New Roman"/>
          <w:sz w:val="22"/>
          <w:szCs w:val="22"/>
          <w:lang w:val="es-ES_tradnl" w:eastAsia="es-ES"/>
        </w:rPr>
        <w:t xml:space="preserve">el techo presupuestario para fortalecer el programa de Aporte Económico al Adulto Mayor. Este fue aprobado por medio del Decreto </w:t>
      </w:r>
      <w:r w:rsidR="00A72256">
        <w:rPr>
          <w:rFonts w:ascii="Times New Roman" w:eastAsia="Times New Roman" w:hAnsi="Times New Roman" w:cs="Times New Roman"/>
          <w:sz w:val="22"/>
          <w:szCs w:val="22"/>
          <w:lang w:val="es-ES_tradnl" w:eastAsia="es-ES"/>
        </w:rPr>
        <w:t>N</w:t>
      </w:r>
      <w:r w:rsidR="00A72256" w:rsidRPr="00090E74">
        <w:rPr>
          <w:rFonts w:ascii="Times New Roman" w:eastAsia="Times New Roman" w:hAnsi="Times New Roman" w:cs="Times New Roman"/>
          <w:sz w:val="22"/>
          <w:szCs w:val="22"/>
          <w:lang w:val="es-ES_tradnl" w:eastAsia="es-ES"/>
        </w:rPr>
        <w:t xml:space="preserve">úmero </w:t>
      </w:r>
      <w:r w:rsidRPr="00090E74">
        <w:rPr>
          <w:rFonts w:ascii="Times New Roman" w:eastAsia="Times New Roman" w:hAnsi="Times New Roman" w:cs="Times New Roman"/>
          <w:sz w:val="22"/>
          <w:szCs w:val="22"/>
          <w:lang w:val="es-ES_tradnl" w:eastAsia="es-ES"/>
        </w:rPr>
        <w:t>10-2023 “Ampliación del Programa de Aporte Económico al Adulto Mayor” viabilizando el traslado de recursos financieros no utilizados para la atención de la pandemia COVID-19, para el fortalecimiento de dicho programa.</w:t>
      </w:r>
    </w:p>
    <w:p w14:paraId="3CF25845" w14:textId="77777777" w:rsidR="0053330C" w:rsidRPr="00090E74" w:rsidRDefault="0053330C" w:rsidP="00090E74">
      <w:pPr>
        <w:jc w:val="both"/>
        <w:rPr>
          <w:rFonts w:ascii="Times New Roman" w:eastAsia="Times New Roman" w:hAnsi="Times New Roman" w:cs="Times New Roman"/>
          <w:sz w:val="22"/>
          <w:szCs w:val="22"/>
          <w:lang w:val="es-ES_tradnl" w:eastAsia="es-ES"/>
        </w:rPr>
      </w:pPr>
    </w:p>
    <w:p w14:paraId="1F46CCEF" w14:textId="4FA21BF5" w:rsidR="00B43E10" w:rsidRDefault="00090E74" w:rsidP="00090E74">
      <w:pPr>
        <w:jc w:val="both"/>
        <w:rPr>
          <w:rFonts w:ascii="Times New Roman" w:eastAsia="Times New Roman" w:hAnsi="Times New Roman" w:cs="Times New Roman"/>
          <w:sz w:val="22"/>
          <w:szCs w:val="22"/>
          <w:lang w:val="es-ES_tradnl" w:eastAsia="es-ES"/>
        </w:rPr>
      </w:pPr>
      <w:r w:rsidRPr="00090E74">
        <w:rPr>
          <w:rFonts w:ascii="Times New Roman" w:eastAsia="Times New Roman" w:hAnsi="Times New Roman" w:cs="Times New Roman"/>
          <w:sz w:val="22"/>
          <w:szCs w:val="22"/>
          <w:lang w:val="es-ES_tradnl" w:eastAsia="es-ES"/>
        </w:rPr>
        <w:t xml:space="preserve">Adicionalmente, </w:t>
      </w:r>
      <w:r w:rsidR="00E61C95">
        <w:rPr>
          <w:rFonts w:ascii="Times New Roman" w:eastAsia="Times New Roman" w:hAnsi="Times New Roman" w:cs="Times New Roman"/>
          <w:sz w:val="22"/>
          <w:szCs w:val="22"/>
          <w:lang w:val="es-ES_tradnl" w:eastAsia="es-ES"/>
        </w:rPr>
        <w:t xml:space="preserve">se </w:t>
      </w:r>
      <w:r w:rsidRPr="00090E74">
        <w:rPr>
          <w:rFonts w:ascii="Times New Roman" w:eastAsia="Times New Roman" w:hAnsi="Times New Roman" w:cs="Times New Roman"/>
          <w:sz w:val="22"/>
          <w:szCs w:val="22"/>
          <w:lang w:val="es-ES_tradnl" w:eastAsia="es-ES"/>
        </w:rPr>
        <w:t>establecería la adhesión de 65 mil adultos mayores para alcanzar hasta 210 mil beneficiarios en 2023, brindando un apoyo económico, el cual consiste en Q500 mensuales para cada beneficiario.</w:t>
      </w:r>
    </w:p>
    <w:p w14:paraId="3BA34D8C" w14:textId="38312FCD" w:rsidR="00090E74" w:rsidRDefault="00090E74" w:rsidP="00090E74">
      <w:pPr>
        <w:jc w:val="both"/>
        <w:rPr>
          <w:rFonts w:ascii="Times New Roman" w:eastAsia="Times New Roman" w:hAnsi="Times New Roman" w:cs="Times New Roman"/>
          <w:sz w:val="22"/>
          <w:szCs w:val="22"/>
          <w:lang w:val="es-ES_tradnl" w:eastAsia="es-ES"/>
        </w:rPr>
      </w:pPr>
    </w:p>
    <w:p w14:paraId="5203920E" w14:textId="6E0700F8" w:rsidR="0053330C" w:rsidRDefault="0053330C" w:rsidP="00090E74">
      <w:pPr>
        <w:jc w:val="both"/>
        <w:rPr>
          <w:rFonts w:ascii="Times New Roman" w:eastAsia="Times New Roman" w:hAnsi="Times New Roman" w:cs="Times New Roman"/>
          <w:sz w:val="22"/>
          <w:szCs w:val="22"/>
          <w:lang w:val="es-ES_tradnl" w:eastAsia="es-ES"/>
        </w:rPr>
      </w:pPr>
    </w:p>
    <w:p w14:paraId="1DBD1ACA" w14:textId="75D99542" w:rsidR="0053330C" w:rsidRDefault="0053330C" w:rsidP="00090E74">
      <w:pPr>
        <w:jc w:val="both"/>
        <w:rPr>
          <w:rFonts w:ascii="Times New Roman" w:eastAsia="Times New Roman" w:hAnsi="Times New Roman" w:cs="Times New Roman"/>
          <w:sz w:val="22"/>
          <w:szCs w:val="22"/>
          <w:lang w:val="es-ES_tradnl" w:eastAsia="es-ES"/>
        </w:rPr>
      </w:pPr>
    </w:p>
    <w:p w14:paraId="3740051B" w14:textId="34A3C914" w:rsidR="0053330C" w:rsidRDefault="0053330C" w:rsidP="00090E74">
      <w:pPr>
        <w:jc w:val="both"/>
        <w:rPr>
          <w:rFonts w:ascii="Times New Roman" w:eastAsia="Times New Roman" w:hAnsi="Times New Roman" w:cs="Times New Roman"/>
          <w:sz w:val="22"/>
          <w:szCs w:val="22"/>
          <w:lang w:val="es-ES_tradnl" w:eastAsia="es-ES"/>
        </w:rPr>
      </w:pPr>
    </w:p>
    <w:p w14:paraId="135F5E8E" w14:textId="5BB159A7" w:rsidR="0039645E" w:rsidRPr="00B842A5" w:rsidRDefault="00B842A5" w:rsidP="00B842A5">
      <w:pPr>
        <w:pStyle w:val="Descripcin"/>
        <w:keepNext/>
        <w:spacing w:after="0"/>
        <w:jc w:val="center"/>
        <w:rPr>
          <w:sz w:val="22"/>
          <w:szCs w:val="22"/>
        </w:rPr>
      </w:pPr>
      <w:bookmarkStart w:id="71" w:name="_Toc125539789"/>
      <w:bookmarkStart w:id="72" w:name="_Toc158103861"/>
      <w:r w:rsidRPr="00B842A5">
        <w:rPr>
          <w:sz w:val="22"/>
          <w:szCs w:val="22"/>
        </w:rPr>
        <w:lastRenderedPageBreak/>
        <w:t xml:space="preserve">Gráfico </w:t>
      </w:r>
      <w:r w:rsidRPr="00B842A5">
        <w:rPr>
          <w:sz w:val="22"/>
          <w:szCs w:val="22"/>
        </w:rPr>
        <w:fldChar w:fldCharType="begin"/>
      </w:r>
      <w:r w:rsidRPr="00B842A5">
        <w:rPr>
          <w:sz w:val="22"/>
          <w:szCs w:val="22"/>
        </w:rPr>
        <w:instrText xml:space="preserve"> SEQ Gráfico \* ARABIC </w:instrText>
      </w:r>
      <w:r w:rsidRPr="00B842A5">
        <w:rPr>
          <w:sz w:val="22"/>
          <w:szCs w:val="22"/>
        </w:rPr>
        <w:fldChar w:fldCharType="separate"/>
      </w:r>
      <w:r w:rsidR="00C015DC">
        <w:rPr>
          <w:noProof/>
          <w:sz w:val="22"/>
          <w:szCs w:val="22"/>
        </w:rPr>
        <w:t>16</w:t>
      </w:r>
      <w:r w:rsidRPr="00B842A5">
        <w:rPr>
          <w:sz w:val="22"/>
          <w:szCs w:val="22"/>
        </w:rPr>
        <w:fldChar w:fldCharType="end"/>
      </w:r>
      <w:r w:rsidRPr="00B842A5">
        <w:rPr>
          <w:sz w:val="22"/>
          <w:szCs w:val="22"/>
        </w:rPr>
        <w:t xml:space="preserve">.  </w:t>
      </w:r>
      <w:r w:rsidR="0039645E" w:rsidRPr="00B842A5">
        <w:rPr>
          <w:rFonts w:eastAsia="Times New Roman" w:cs="Times New Roman"/>
          <w:sz w:val="22"/>
          <w:szCs w:val="22"/>
        </w:rPr>
        <w:t>Ejecución Institucional 202</w:t>
      </w:r>
      <w:bookmarkEnd w:id="71"/>
      <w:r w:rsidR="001A7CCB" w:rsidRPr="00B842A5">
        <w:rPr>
          <w:rFonts w:eastAsia="Times New Roman" w:cs="Times New Roman"/>
          <w:sz w:val="22"/>
          <w:szCs w:val="22"/>
        </w:rPr>
        <w:t>3</w:t>
      </w:r>
      <w:bookmarkEnd w:id="72"/>
    </w:p>
    <w:p w14:paraId="4CBB1A78" w14:textId="77777777" w:rsidR="0039645E" w:rsidRPr="004A66F0" w:rsidRDefault="0039645E" w:rsidP="0039645E">
      <w:pPr>
        <w:jc w:val="center"/>
        <w:rPr>
          <w:rFonts w:ascii="Times New Roman" w:eastAsia="Times New Roman" w:hAnsi="Times New Roman" w:cs="Times New Roman"/>
          <w:sz w:val="20"/>
          <w:szCs w:val="22"/>
        </w:rPr>
      </w:pPr>
      <w:r w:rsidRPr="004A66F0">
        <w:rPr>
          <w:rFonts w:ascii="Calibri" w:eastAsia="Times New Roman" w:hAnsi="Calibri" w:cs="Calibri"/>
          <w:noProof/>
          <w:sz w:val="22"/>
          <w:szCs w:val="22"/>
        </w:rPr>
        <w:drawing>
          <wp:anchor distT="0" distB="1143" distL="114300" distR="116459" simplePos="0" relativeHeight="251664384" behindDoc="0" locked="0" layoutInCell="1" allowOverlap="1" wp14:anchorId="1C248594" wp14:editId="5BE631A3">
            <wp:simplePos x="0" y="0"/>
            <wp:positionH relativeFrom="margin">
              <wp:align>center</wp:align>
            </wp:positionH>
            <wp:positionV relativeFrom="paragraph">
              <wp:posOffset>235585</wp:posOffset>
            </wp:positionV>
            <wp:extent cx="5923280" cy="3590925"/>
            <wp:effectExtent l="0" t="0" r="1270" b="0"/>
            <wp:wrapSquare wrapText="bothSides"/>
            <wp:docPr id="34" name="Gráfico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Pr="004A66F0">
        <w:rPr>
          <w:rFonts w:ascii="Times New Roman" w:eastAsia="Times New Roman" w:hAnsi="Times New Roman" w:cs="Times New Roman"/>
          <w:sz w:val="20"/>
          <w:szCs w:val="22"/>
        </w:rPr>
        <w:t>Millones de quetzales y Porcentajes de Ejecución</w:t>
      </w:r>
    </w:p>
    <w:p w14:paraId="40F33FDE" w14:textId="0D70033F" w:rsidR="0039645E" w:rsidRPr="004A66F0" w:rsidRDefault="0039645E" w:rsidP="0039645E">
      <w:pPr>
        <w:rPr>
          <w:rFonts w:ascii="Times New Roman" w:eastAsia="Times New Roman" w:hAnsi="Times New Roman" w:cs="Times New Roman"/>
          <w:sz w:val="18"/>
          <w:szCs w:val="22"/>
          <w:lang w:val="es-ES_tradnl" w:eastAsia="es-ES"/>
        </w:rPr>
      </w:pPr>
      <w:r w:rsidRPr="004A66F0">
        <w:rPr>
          <w:rFonts w:ascii="Times New Roman" w:eastAsia="Times New Roman" w:hAnsi="Times New Roman" w:cs="Times New Roman"/>
          <w:sz w:val="18"/>
          <w:szCs w:val="22"/>
          <w:lang w:val="es-ES_tradnl" w:eastAsia="es-ES"/>
        </w:rPr>
        <w:t xml:space="preserve">          Fuente: Dirección de Análisis y Política Fiscal</w:t>
      </w:r>
      <w:r w:rsidR="000015E4">
        <w:rPr>
          <w:rFonts w:ascii="Times New Roman" w:eastAsia="Times New Roman" w:hAnsi="Times New Roman" w:cs="Times New Roman"/>
          <w:sz w:val="18"/>
          <w:szCs w:val="22"/>
          <w:lang w:val="es-ES_tradnl" w:eastAsia="es-ES"/>
        </w:rPr>
        <w:t>.</w:t>
      </w:r>
    </w:p>
    <w:p w14:paraId="4EE5EC0F" w14:textId="34EF761B" w:rsidR="0039645E" w:rsidRDefault="0039645E" w:rsidP="0039645E">
      <w:pPr>
        <w:jc w:val="both"/>
        <w:rPr>
          <w:rFonts w:ascii="Times New Roman" w:eastAsia="Times New Roman" w:hAnsi="Times New Roman" w:cs="Times New Roman"/>
          <w:sz w:val="20"/>
          <w:szCs w:val="22"/>
        </w:rPr>
      </w:pPr>
    </w:p>
    <w:p w14:paraId="67E5BBD1" w14:textId="56B6A471" w:rsidR="0053330C" w:rsidRDefault="0053330C" w:rsidP="0053330C">
      <w:pPr>
        <w:jc w:val="both"/>
        <w:rPr>
          <w:rFonts w:ascii="Times New Roman" w:eastAsia="Times New Roman" w:hAnsi="Times New Roman" w:cs="Times New Roman"/>
          <w:sz w:val="22"/>
          <w:szCs w:val="22"/>
          <w:lang w:val="es-ES_tradnl" w:eastAsia="es-ES"/>
        </w:rPr>
      </w:pPr>
      <w:r>
        <w:rPr>
          <w:rFonts w:ascii="Times New Roman" w:eastAsia="Times New Roman" w:hAnsi="Times New Roman" w:cs="Times New Roman"/>
          <w:sz w:val="22"/>
          <w:szCs w:val="22"/>
          <w:lang w:val="es-ES_tradnl" w:eastAsia="es-ES"/>
        </w:rPr>
        <w:t xml:space="preserve">Destaca el caso del </w:t>
      </w:r>
      <w:r w:rsidRPr="004A66F0">
        <w:rPr>
          <w:rFonts w:ascii="Times New Roman" w:eastAsia="Times New Roman" w:hAnsi="Times New Roman" w:cs="Times New Roman"/>
          <w:sz w:val="22"/>
          <w:szCs w:val="22"/>
          <w:lang w:val="es-ES_tradnl" w:eastAsia="es-ES"/>
        </w:rPr>
        <w:t>Ministerio de Comunicaciones</w:t>
      </w:r>
      <w:r>
        <w:rPr>
          <w:rFonts w:ascii="Times New Roman" w:eastAsia="Times New Roman" w:hAnsi="Times New Roman" w:cs="Times New Roman"/>
          <w:sz w:val="22"/>
          <w:szCs w:val="22"/>
          <w:lang w:val="es-ES_tradnl" w:eastAsia="es-ES"/>
        </w:rPr>
        <w:t xml:space="preserve"> </w:t>
      </w:r>
      <w:r w:rsidR="00B929A9">
        <w:rPr>
          <w:rFonts w:ascii="Times New Roman" w:eastAsia="Times New Roman" w:hAnsi="Times New Roman" w:cs="Times New Roman"/>
          <w:sz w:val="22"/>
          <w:szCs w:val="22"/>
          <w:lang w:val="es-ES_tradnl" w:eastAsia="es-ES"/>
        </w:rPr>
        <w:t xml:space="preserve">que </w:t>
      </w:r>
      <w:r>
        <w:rPr>
          <w:rFonts w:ascii="Times New Roman" w:eastAsia="Times New Roman" w:hAnsi="Times New Roman" w:cs="Times New Roman"/>
          <w:sz w:val="22"/>
          <w:szCs w:val="22"/>
          <w:lang w:val="es-ES_tradnl" w:eastAsia="es-ES"/>
        </w:rPr>
        <w:t>tuvo una menor ejecución que la observada en el ejercicio 2022, debido a que el mantenimiento y construcción de infraestructura estratégica (</w:t>
      </w:r>
      <w:r w:rsidRPr="00B929A9">
        <w:rPr>
          <w:rFonts w:ascii="Times New Roman" w:eastAsia="Times New Roman" w:hAnsi="Times New Roman" w:cs="Times New Roman"/>
          <w:sz w:val="22"/>
          <w:szCs w:val="22"/>
          <w:lang w:val="es-ES_tradnl" w:eastAsia="es-ES"/>
        </w:rPr>
        <w:t xml:space="preserve">Decreto </w:t>
      </w:r>
      <w:r w:rsidR="00A72256" w:rsidRPr="00111633">
        <w:rPr>
          <w:rFonts w:ascii="Times New Roman" w:eastAsia="Times New Roman" w:hAnsi="Times New Roman" w:cs="Times New Roman"/>
          <w:bCs/>
          <w:sz w:val="22"/>
          <w:szCs w:val="22"/>
          <w:lang w:val="es-MX" w:eastAsia="es-ES"/>
        </w:rPr>
        <w:t xml:space="preserve">Número </w:t>
      </w:r>
      <w:r w:rsidRPr="00B929A9">
        <w:rPr>
          <w:rFonts w:ascii="Times New Roman" w:eastAsia="Times New Roman" w:hAnsi="Times New Roman" w:cs="Times New Roman"/>
          <w:sz w:val="22"/>
          <w:szCs w:val="22"/>
          <w:lang w:val="es-ES_tradnl" w:eastAsia="es-ES"/>
        </w:rPr>
        <w:t>21-2022)</w:t>
      </w:r>
      <w:r>
        <w:rPr>
          <w:rFonts w:ascii="Times New Roman" w:eastAsia="Times New Roman" w:hAnsi="Times New Roman" w:cs="Times New Roman"/>
          <w:sz w:val="22"/>
          <w:szCs w:val="22"/>
          <w:lang w:val="es-ES_tradnl" w:eastAsia="es-ES"/>
        </w:rPr>
        <w:t xml:space="preserve"> cont</w:t>
      </w:r>
      <w:r w:rsidR="00F31E98">
        <w:rPr>
          <w:rFonts w:ascii="Times New Roman" w:eastAsia="Times New Roman" w:hAnsi="Times New Roman" w:cs="Times New Roman"/>
          <w:sz w:val="22"/>
          <w:szCs w:val="22"/>
          <w:lang w:val="es-ES_tradnl" w:eastAsia="es-ES"/>
        </w:rPr>
        <w:t>ó</w:t>
      </w:r>
      <w:r>
        <w:rPr>
          <w:rFonts w:ascii="Times New Roman" w:eastAsia="Times New Roman" w:hAnsi="Times New Roman" w:cs="Times New Roman"/>
          <w:sz w:val="22"/>
          <w:szCs w:val="22"/>
          <w:lang w:val="es-ES_tradnl" w:eastAsia="es-ES"/>
        </w:rPr>
        <w:t xml:space="preserve"> con mayores intervenciones en 2022, asociado </w:t>
      </w:r>
      <w:r w:rsidR="00FD7DEB">
        <w:rPr>
          <w:rFonts w:ascii="Times New Roman" w:eastAsia="Times New Roman" w:hAnsi="Times New Roman" w:cs="Times New Roman"/>
          <w:sz w:val="22"/>
          <w:szCs w:val="22"/>
          <w:lang w:val="es-ES_tradnl" w:eastAsia="es-ES"/>
        </w:rPr>
        <w:t xml:space="preserve">a </w:t>
      </w:r>
      <w:r>
        <w:rPr>
          <w:rFonts w:ascii="Times New Roman" w:eastAsia="Times New Roman" w:hAnsi="Times New Roman" w:cs="Times New Roman"/>
          <w:sz w:val="22"/>
          <w:szCs w:val="22"/>
          <w:lang w:val="es-ES_tradnl" w:eastAsia="es-ES"/>
        </w:rPr>
        <w:t xml:space="preserve">que en ese ejercicio ocurrió el mayor daño a la infraestructura pública por la época lluviosa. Adicionalmente, este ministerio tuvo menores intervenciones en la atención por desastres y calamidades públicas, en 2023 los daños ocasionados por la temporada de lluvias fueron menores y no hubo declaratoria de calamidad pública. </w:t>
      </w:r>
    </w:p>
    <w:p w14:paraId="7443B4CE" w14:textId="23A7C146" w:rsidR="0053330C" w:rsidRDefault="0053330C" w:rsidP="0039645E">
      <w:pPr>
        <w:jc w:val="both"/>
        <w:rPr>
          <w:rFonts w:ascii="Times New Roman" w:eastAsia="Times New Roman" w:hAnsi="Times New Roman" w:cs="Times New Roman"/>
          <w:sz w:val="20"/>
          <w:szCs w:val="22"/>
          <w:lang w:val="es-ES_tradnl"/>
        </w:rPr>
      </w:pPr>
    </w:p>
    <w:p w14:paraId="75AE4F53" w14:textId="1011E162" w:rsidR="00B842A5" w:rsidRDefault="00B842A5" w:rsidP="0039645E">
      <w:pPr>
        <w:jc w:val="both"/>
        <w:rPr>
          <w:rFonts w:ascii="Times New Roman" w:eastAsia="Times New Roman" w:hAnsi="Times New Roman" w:cs="Times New Roman"/>
          <w:sz w:val="20"/>
          <w:szCs w:val="22"/>
          <w:lang w:val="es-ES_tradnl"/>
        </w:rPr>
      </w:pPr>
      <w:r w:rsidRPr="00885B1F">
        <w:rPr>
          <w:rFonts w:ascii="Calibri" w:eastAsia="Times New Roman" w:hAnsi="Calibri" w:cs="Calibri"/>
          <w:noProof/>
          <w:color w:val="FF0000"/>
          <w:sz w:val="22"/>
          <w:szCs w:val="22"/>
        </w:rPr>
        <mc:AlternateContent>
          <mc:Choice Requires="wps">
            <w:drawing>
              <wp:inline distT="0" distB="0" distL="0" distR="0" wp14:anchorId="19002E94" wp14:editId="2D6F147C">
                <wp:extent cx="5532617" cy="2242268"/>
                <wp:effectExtent l="0" t="0" r="11430" b="24765"/>
                <wp:docPr id="976" name="Rectángulo 9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2617" cy="2242268"/>
                        </a:xfrm>
                        <a:prstGeom prst="rect">
                          <a:avLst/>
                        </a:prstGeom>
                        <a:solidFill>
                          <a:srgbClr val="4472C4">
                            <a:lumMod val="20000"/>
                            <a:lumOff val="80000"/>
                          </a:srgbClr>
                        </a:solidFill>
                        <a:ln w="6350" cap="flat" cmpd="sng" algn="ctr">
                          <a:solidFill>
                            <a:sysClr val="windowText" lastClr="000000"/>
                          </a:solidFill>
                          <a:prstDash val="solid"/>
                          <a:miter lim="800000"/>
                        </a:ln>
                        <a:effectLst/>
                      </wps:spPr>
                      <wps:txbx>
                        <w:txbxContent>
                          <w:p w14:paraId="6B565A28" w14:textId="77777777" w:rsidR="00B842A5" w:rsidRPr="00B842A5" w:rsidRDefault="00B842A5" w:rsidP="00B842A5">
                            <w:pPr>
                              <w:pStyle w:val="Prrafodelista"/>
                              <w:jc w:val="center"/>
                              <w:rPr>
                                <w:rFonts w:ascii="Times New Roman" w:hAnsi="Times New Roman" w:cs="Times New Roman"/>
                                <w:b/>
                                <w:bCs/>
                                <w:noProof/>
                                <w:color w:val="000000" w:themeColor="text1"/>
                                <w:sz w:val="20"/>
                                <w:szCs w:val="20"/>
                                <w:lang w:eastAsia="es-GT"/>
                              </w:rPr>
                            </w:pPr>
                            <w:r w:rsidRPr="00B842A5">
                              <w:rPr>
                                <w:rFonts w:ascii="Times New Roman" w:hAnsi="Times New Roman" w:cs="Times New Roman"/>
                                <w:b/>
                                <w:bCs/>
                                <w:noProof/>
                                <w:color w:val="000000" w:themeColor="text1"/>
                                <w:sz w:val="20"/>
                                <w:szCs w:val="20"/>
                                <w:lang w:eastAsia="es-GT"/>
                              </w:rPr>
                              <w:t>Seguimiento de Programas de Infraestructura Estratégica</w:t>
                            </w:r>
                          </w:p>
                          <w:p w14:paraId="4EAAC9D4" w14:textId="6ACDAB43" w:rsidR="00B842A5" w:rsidRPr="00B842A5" w:rsidRDefault="00B842A5" w:rsidP="00B842A5">
                            <w:pPr>
                              <w:pStyle w:val="Prrafodelista"/>
                              <w:jc w:val="center"/>
                              <w:rPr>
                                <w:rFonts w:ascii="Times New Roman" w:hAnsi="Times New Roman" w:cs="Times New Roman"/>
                                <w:b/>
                                <w:bCs/>
                                <w:noProof/>
                                <w:color w:val="000000" w:themeColor="text1"/>
                                <w:sz w:val="20"/>
                                <w:szCs w:val="20"/>
                                <w:lang w:eastAsia="es-GT"/>
                              </w:rPr>
                            </w:pPr>
                            <w:r w:rsidRPr="00B842A5">
                              <w:rPr>
                                <w:rFonts w:ascii="Times New Roman" w:hAnsi="Times New Roman" w:cs="Times New Roman"/>
                                <w:b/>
                                <w:bCs/>
                                <w:noProof/>
                                <w:color w:val="000000" w:themeColor="text1"/>
                                <w:sz w:val="20"/>
                                <w:szCs w:val="20"/>
                                <w:lang w:eastAsia="es-GT"/>
                              </w:rPr>
                              <w:t>(Decreto Número 21-2022)</w:t>
                            </w:r>
                          </w:p>
                          <w:p w14:paraId="090DA80E" w14:textId="77777777" w:rsidR="00B842A5" w:rsidRPr="000D150A" w:rsidRDefault="00B842A5" w:rsidP="00B842A5">
                            <w:pPr>
                              <w:jc w:val="both"/>
                              <w:rPr>
                                <w:rFonts w:ascii="Times New Roman" w:hAnsi="Times New Roman" w:cs="Times New Roman"/>
                                <w:noProof/>
                                <w:color w:val="000000" w:themeColor="text1"/>
                                <w:sz w:val="2"/>
                                <w:szCs w:val="2"/>
                                <w:lang w:eastAsia="es-GT"/>
                              </w:rPr>
                            </w:pPr>
                          </w:p>
                          <w:p w14:paraId="778FFF96" w14:textId="77777777" w:rsidR="00B842A5" w:rsidRDefault="00B842A5" w:rsidP="00B842A5">
                            <w:pPr>
                              <w:pStyle w:val="Prrafodelista"/>
                              <w:ind w:left="284"/>
                              <w:jc w:val="both"/>
                              <w:rPr>
                                <w:rFonts w:ascii="Times New Roman" w:hAnsi="Times New Roman" w:cs="Times New Roman"/>
                                <w:noProof/>
                                <w:color w:val="000000" w:themeColor="text1"/>
                                <w:sz w:val="20"/>
                                <w:szCs w:val="20"/>
                                <w:lang w:val="es-MX" w:eastAsia="es-GT"/>
                              </w:rPr>
                            </w:pPr>
                          </w:p>
                          <w:p w14:paraId="22538146" w14:textId="44010E57" w:rsidR="00B842A5" w:rsidRPr="00B842A5" w:rsidRDefault="00B842A5" w:rsidP="00B842A5">
                            <w:pPr>
                              <w:pStyle w:val="Prrafodelista"/>
                              <w:ind w:left="284"/>
                              <w:jc w:val="both"/>
                              <w:rPr>
                                <w:rFonts w:ascii="Times New Roman" w:hAnsi="Times New Roman" w:cs="Times New Roman"/>
                                <w:noProof/>
                                <w:color w:val="000000" w:themeColor="text1"/>
                                <w:sz w:val="20"/>
                                <w:szCs w:val="20"/>
                                <w:lang w:val="es-MX" w:eastAsia="es-GT"/>
                              </w:rPr>
                            </w:pPr>
                            <w:r w:rsidRPr="00B842A5">
                              <w:rPr>
                                <w:rFonts w:ascii="Times New Roman" w:hAnsi="Times New Roman" w:cs="Times New Roman"/>
                                <w:noProof/>
                                <w:color w:val="000000" w:themeColor="text1"/>
                                <w:sz w:val="20"/>
                                <w:szCs w:val="20"/>
                                <w:lang w:val="es-MX" w:eastAsia="es-GT"/>
                              </w:rPr>
                              <w:t xml:space="preserve">El Ministerio de Comunicaciones, Infraestructa y Vivienda tiene a su cargo la ejecución de las actividades que conforman la infraestructura estratégica (Decreto Número 21-2022). </w:t>
                            </w:r>
                          </w:p>
                          <w:p w14:paraId="7893188B" w14:textId="77777777" w:rsidR="00B842A5" w:rsidRPr="00B842A5" w:rsidRDefault="00B842A5" w:rsidP="00B842A5">
                            <w:pPr>
                              <w:pStyle w:val="Prrafodelista"/>
                              <w:ind w:left="284"/>
                              <w:jc w:val="both"/>
                              <w:rPr>
                                <w:rFonts w:ascii="Times New Roman" w:hAnsi="Times New Roman" w:cs="Times New Roman"/>
                                <w:noProof/>
                                <w:color w:val="000000" w:themeColor="text1"/>
                                <w:sz w:val="20"/>
                                <w:szCs w:val="20"/>
                                <w:lang w:val="es-MX" w:eastAsia="es-GT"/>
                              </w:rPr>
                            </w:pPr>
                          </w:p>
                          <w:p w14:paraId="3E217C97" w14:textId="77777777" w:rsidR="00B842A5" w:rsidRPr="00B842A5" w:rsidRDefault="00B842A5" w:rsidP="00B842A5">
                            <w:pPr>
                              <w:pStyle w:val="Prrafodelista"/>
                              <w:ind w:left="284"/>
                              <w:jc w:val="both"/>
                              <w:rPr>
                                <w:rFonts w:ascii="Times New Roman" w:hAnsi="Times New Roman" w:cs="Times New Roman"/>
                                <w:noProof/>
                                <w:color w:val="000000" w:themeColor="text1"/>
                                <w:sz w:val="20"/>
                                <w:szCs w:val="20"/>
                                <w:lang w:val="es-MX" w:eastAsia="es-GT"/>
                              </w:rPr>
                            </w:pPr>
                            <w:r w:rsidRPr="00B842A5">
                              <w:rPr>
                                <w:rFonts w:ascii="Times New Roman" w:hAnsi="Times New Roman" w:cs="Times New Roman"/>
                                <w:noProof/>
                                <w:color w:val="000000" w:themeColor="text1"/>
                                <w:sz w:val="20"/>
                                <w:szCs w:val="20"/>
                                <w:lang w:val="es-MX" w:eastAsia="es-GT"/>
                              </w:rPr>
                              <w:t>Entre estas se encuentra el mantenimiento de la red vial:</w:t>
                            </w:r>
                          </w:p>
                          <w:p w14:paraId="25B57C82" w14:textId="5D63F34F" w:rsidR="00B842A5" w:rsidRPr="00B842A5" w:rsidRDefault="00B842A5" w:rsidP="002C0B5C">
                            <w:pPr>
                              <w:pStyle w:val="Prrafodelista"/>
                              <w:numPr>
                                <w:ilvl w:val="0"/>
                                <w:numId w:val="29"/>
                              </w:numPr>
                              <w:jc w:val="both"/>
                              <w:rPr>
                                <w:rFonts w:ascii="Times New Roman" w:hAnsi="Times New Roman" w:cs="Times New Roman"/>
                                <w:noProof/>
                                <w:color w:val="000000" w:themeColor="text1"/>
                                <w:sz w:val="20"/>
                                <w:szCs w:val="20"/>
                                <w:lang w:val="es-MX" w:eastAsia="es-GT"/>
                              </w:rPr>
                            </w:pPr>
                            <w:r w:rsidRPr="00B842A5">
                              <w:rPr>
                                <w:rFonts w:ascii="Times New Roman" w:hAnsi="Times New Roman" w:cs="Times New Roman"/>
                                <w:noProof/>
                                <w:color w:val="000000" w:themeColor="text1"/>
                                <w:sz w:val="20"/>
                                <w:szCs w:val="20"/>
                                <w:lang w:val="es-MX" w:eastAsia="es-GT"/>
                              </w:rPr>
                              <w:t>Rutas Centroamericanas</w:t>
                            </w:r>
                          </w:p>
                          <w:p w14:paraId="3E763DED" w14:textId="5E79F3F1" w:rsidR="00B842A5" w:rsidRPr="00B842A5" w:rsidRDefault="00B842A5" w:rsidP="002C0B5C">
                            <w:pPr>
                              <w:pStyle w:val="Prrafodelista"/>
                              <w:numPr>
                                <w:ilvl w:val="0"/>
                                <w:numId w:val="29"/>
                              </w:numPr>
                              <w:jc w:val="both"/>
                              <w:rPr>
                                <w:rFonts w:ascii="Times New Roman" w:hAnsi="Times New Roman" w:cs="Times New Roman"/>
                                <w:noProof/>
                                <w:color w:val="000000" w:themeColor="text1"/>
                                <w:sz w:val="20"/>
                                <w:szCs w:val="20"/>
                                <w:lang w:val="es-MX" w:eastAsia="es-GT"/>
                              </w:rPr>
                            </w:pPr>
                            <w:r w:rsidRPr="00B842A5">
                              <w:rPr>
                                <w:rFonts w:ascii="Times New Roman" w:hAnsi="Times New Roman" w:cs="Times New Roman"/>
                                <w:noProof/>
                                <w:color w:val="000000" w:themeColor="text1"/>
                                <w:sz w:val="20"/>
                                <w:szCs w:val="20"/>
                                <w:lang w:val="es-MX" w:eastAsia="es-GT"/>
                              </w:rPr>
                              <w:t>Rutas Nacionales</w:t>
                            </w:r>
                          </w:p>
                          <w:p w14:paraId="59327780" w14:textId="07904104" w:rsidR="00B842A5" w:rsidRPr="00B842A5" w:rsidRDefault="00B842A5" w:rsidP="002C0B5C">
                            <w:pPr>
                              <w:pStyle w:val="Prrafodelista"/>
                              <w:numPr>
                                <w:ilvl w:val="0"/>
                                <w:numId w:val="29"/>
                              </w:numPr>
                              <w:jc w:val="both"/>
                              <w:rPr>
                                <w:rFonts w:ascii="Times New Roman" w:hAnsi="Times New Roman" w:cs="Times New Roman"/>
                                <w:noProof/>
                                <w:color w:val="000000" w:themeColor="text1"/>
                                <w:sz w:val="20"/>
                                <w:szCs w:val="20"/>
                                <w:lang w:val="es-MX" w:eastAsia="es-GT"/>
                              </w:rPr>
                            </w:pPr>
                            <w:r w:rsidRPr="00B842A5">
                              <w:rPr>
                                <w:rFonts w:ascii="Times New Roman" w:hAnsi="Times New Roman" w:cs="Times New Roman"/>
                                <w:noProof/>
                                <w:color w:val="000000" w:themeColor="text1"/>
                                <w:sz w:val="20"/>
                                <w:szCs w:val="20"/>
                                <w:lang w:val="es-MX" w:eastAsia="es-GT"/>
                              </w:rPr>
                              <w:t>Rutas Departamentales</w:t>
                            </w:r>
                          </w:p>
                          <w:p w14:paraId="001F5181" w14:textId="77777777" w:rsidR="00B842A5" w:rsidRPr="00B842A5" w:rsidRDefault="00B842A5" w:rsidP="00B842A5">
                            <w:pPr>
                              <w:pStyle w:val="Prrafodelista"/>
                              <w:ind w:left="284"/>
                              <w:jc w:val="both"/>
                              <w:rPr>
                                <w:rFonts w:ascii="Times New Roman" w:hAnsi="Times New Roman" w:cs="Times New Roman"/>
                                <w:noProof/>
                                <w:color w:val="000000" w:themeColor="text1"/>
                                <w:sz w:val="20"/>
                                <w:szCs w:val="20"/>
                                <w:lang w:val="es-MX" w:eastAsia="es-GT"/>
                              </w:rPr>
                            </w:pPr>
                          </w:p>
                          <w:p w14:paraId="2A4F0CB4" w14:textId="4C8679D6" w:rsidR="00B842A5" w:rsidRPr="006F6A34" w:rsidRDefault="00B842A5" w:rsidP="00B842A5">
                            <w:pPr>
                              <w:pStyle w:val="Prrafodelista"/>
                              <w:ind w:left="284"/>
                              <w:jc w:val="both"/>
                              <w:rPr>
                                <w:rFonts w:ascii="Times New Roman" w:hAnsi="Times New Roman" w:cs="Times New Roman"/>
                                <w:noProof/>
                                <w:color w:val="000000" w:themeColor="text1"/>
                                <w:sz w:val="20"/>
                                <w:szCs w:val="20"/>
                                <w:lang w:eastAsia="es-GT"/>
                              </w:rPr>
                            </w:pPr>
                            <w:r w:rsidRPr="00B842A5">
                              <w:rPr>
                                <w:rFonts w:ascii="Times New Roman" w:hAnsi="Times New Roman" w:cs="Times New Roman"/>
                                <w:noProof/>
                                <w:color w:val="000000" w:themeColor="text1"/>
                                <w:sz w:val="20"/>
                                <w:szCs w:val="20"/>
                                <w:lang w:val="es-MX" w:eastAsia="es-GT"/>
                              </w:rPr>
                              <w:t>Además, los servicios de asistencia técnica y adquisición de puentes, contrucción de carreteras, mejoramiento de carreteras, construcción de puentes, construcción de pasos a desnivel, mejoramiento de calles y de la infraestructura educativa.</w:t>
                            </w:r>
                          </w:p>
                          <w:p w14:paraId="35A7124F" w14:textId="77777777" w:rsidR="00B842A5" w:rsidRPr="006F6A34" w:rsidRDefault="00B842A5" w:rsidP="00B842A5">
                            <w:pPr>
                              <w:jc w:val="center"/>
                              <w:rPr>
                                <w:rFonts w:ascii="Times New Roman" w:hAnsi="Times New Roman" w:cs="Times New Roman"/>
                                <w:b/>
                                <w:bCs/>
                                <w:sz w:val="20"/>
                                <w:szCs w:val="20"/>
                              </w:rPr>
                            </w:pPr>
                          </w:p>
                          <w:p w14:paraId="65762E06" w14:textId="77777777" w:rsidR="00B842A5" w:rsidRPr="006F6A34" w:rsidRDefault="00B842A5" w:rsidP="00B842A5">
                            <w:pPr>
                              <w:jc w:val="center"/>
                              <w:rPr>
                                <w:rFonts w:ascii="Times New Roman" w:hAnsi="Times New Roman" w:cs="Times New Roman"/>
                                <w:b/>
                                <w:bCs/>
                                <w:sz w:val="20"/>
                                <w:szCs w:val="20"/>
                              </w:rPr>
                            </w:pPr>
                          </w:p>
                          <w:p w14:paraId="01D08768" w14:textId="77777777" w:rsidR="00B842A5" w:rsidRDefault="00B842A5" w:rsidP="00B842A5">
                            <w:pPr>
                              <w:jc w:val="center"/>
                              <w:rPr>
                                <w:rFonts w:ascii="Times New Roman" w:hAnsi="Times New Roman" w:cs="Times New Roman"/>
                                <w:b/>
                                <w:bCs/>
                              </w:rPr>
                            </w:pPr>
                          </w:p>
                          <w:p w14:paraId="37E7517C" w14:textId="77777777" w:rsidR="00B842A5" w:rsidRDefault="00B842A5" w:rsidP="00B842A5">
                            <w:pPr>
                              <w:jc w:val="center"/>
                              <w:rPr>
                                <w:rFonts w:ascii="Times New Roman" w:hAnsi="Times New Roman" w:cs="Times New Roman"/>
                                <w:b/>
                                <w:bCs/>
                              </w:rPr>
                            </w:pPr>
                          </w:p>
                          <w:p w14:paraId="402DDE70" w14:textId="77777777" w:rsidR="00B842A5" w:rsidRDefault="00B842A5" w:rsidP="00B842A5">
                            <w:pPr>
                              <w:jc w:val="center"/>
                              <w:rPr>
                                <w:rFonts w:ascii="Times New Roman" w:hAnsi="Times New Roman" w:cs="Times New Roman"/>
                                <w:b/>
                                <w:bCs/>
                              </w:rPr>
                            </w:pPr>
                          </w:p>
                          <w:p w14:paraId="3ABB37BE" w14:textId="77777777" w:rsidR="00B842A5" w:rsidRDefault="00B842A5" w:rsidP="00B842A5">
                            <w:pPr>
                              <w:jc w:val="center"/>
                              <w:rPr>
                                <w:rFonts w:ascii="Times New Roman" w:hAnsi="Times New Roman" w:cs="Times New Roman"/>
                                <w:b/>
                                <w:bCs/>
                              </w:rPr>
                            </w:pPr>
                          </w:p>
                          <w:p w14:paraId="3B5651AF" w14:textId="77777777" w:rsidR="00B842A5" w:rsidRDefault="00B842A5" w:rsidP="00B842A5">
                            <w:pPr>
                              <w:jc w:val="center"/>
                              <w:rPr>
                                <w:rFonts w:ascii="Times New Roman" w:hAnsi="Times New Roman" w:cs="Times New Roman"/>
                                <w:b/>
                                <w:bCs/>
                              </w:rPr>
                            </w:pPr>
                          </w:p>
                          <w:p w14:paraId="7988825C" w14:textId="77777777" w:rsidR="00B842A5" w:rsidRDefault="00B842A5" w:rsidP="00B842A5">
                            <w:pPr>
                              <w:jc w:val="center"/>
                              <w:rPr>
                                <w:rFonts w:ascii="Times New Roman" w:hAnsi="Times New Roman" w:cs="Times New Roman"/>
                                <w:b/>
                                <w:bCs/>
                              </w:rPr>
                            </w:pPr>
                          </w:p>
                          <w:p w14:paraId="04FDF0D2" w14:textId="77777777" w:rsidR="00B842A5" w:rsidRDefault="00B842A5" w:rsidP="00B842A5">
                            <w:pPr>
                              <w:jc w:val="center"/>
                              <w:rPr>
                                <w:rFonts w:ascii="Times New Roman" w:hAnsi="Times New Roman" w:cs="Times New Roman"/>
                                <w:b/>
                                <w:bCs/>
                              </w:rPr>
                            </w:pPr>
                          </w:p>
                          <w:p w14:paraId="1D0C6343" w14:textId="77777777" w:rsidR="00B842A5" w:rsidRDefault="00B842A5" w:rsidP="00B842A5">
                            <w:pPr>
                              <w:jc w:val="center"/>
                              <w:rPr>
                                <w:rFonts w:ascii="Times New Roman" w:hAnsi="Times New Roman" w:cs="Times New Roman"/>
                                <w:b/>
                                <w:bCs/>
                              </w:rPr>
                            </w:pPr>
                          </w:p>
                          <w:p w14:paraId="7F48B2F0" w14:textId="77777777" w:rsidR="00B842A5" w:rsidRDefault="00B842A5" w:rsidP="00B842A5">
                            <w:pPr>
                              <w:jc w:val="center"/>
                              <w:rPr>
                                <w:rFonts w:ascii="Times New Roman" w:hAnsi="Times New Roman" w:cs="Times New Roman"/>
                                <w:b/>
                                <w:bCs/>
                              </w:rPr>
                            </w:pPr>
                          </w:p>
                          <w:p w14:paraId="2305AAD5" w14:textId="77777777" w:rsidR="00B842A5" w:rsidRDefault="00B842A5" w:rsidP="00B842A5">
                            <w:pPr>
                              <w:jc w:val="center"/>
                              <w:rPr>
                                <w:rFonts w:ascii="Times New Roman" w:hAnsi="Times New Roman" w:cs="Times New Roman"/>
                                <w:b/>
                                <w:bCs/>
                              </w:rPr>
                            </w:pPr>
                          </w:p>
                          <w:p w14:paraId="2B777AC8" w14:textId="77777777" w:rsidR="00B842A5" w:rsidRDefault="00B842A5" w:rsidP="00B842A5">
                            <w:pPr>
                              <w:jc w:val="center"/>
                              <w:rPr>
                                <w:rFonts w:ascii="Times New Roman" w:hAnsi="Times New Roman" w:cs="Times New Roman"/>
                                <w:b/>
                                <w:bCs/>
                              </w:rPr>
                            </w:pPr>
                          </w:p>
                          <w:p w14:paraId="21AE167C" w14:textId="77777777" w:rsidR="00B842A5" w:rsidRPr="008902B7" w:rsidRDefault="00B842A5" w:rsidP="00B842A5">
                            <w:pPr>
                              <w:jc w:val="center"/>
                              <w:rPr>
                                <w:rFonts w:ascii="Times New Roman" w:hAnsi="Times New Roman" w:cs="Times New Roman"/>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9002E94" id="Rectángulo 976" o:spid="_x0000_s1033" style="width:435.65pt;height:176.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" fillcolor="#dae3f3" strokecolor="windowText" strokeweight=".5pt">
                <v:path arrowok="t"/>
                <v:textbox>
                  <w:txbxContent>
                    <w:p w14:paraId="6B565A28" w14:textId="77777777" w:rsidR="00B842A5" w:rsidRPr="00B842A5" w:rsidRDefault="00B842A5" w:rsidP="00B842A5">
                      <w:pPr>
                        <w:pStyle w:val="Prrafodelista"/>
                        <w:jc w:val="center"/>
                        <w:rPr>
                          <w:rFonts w:ascii="Times New Roman" w:hAnsi="Times New Roman" w:cs="Times New Roman"/>
                          <w:b/>
                          <w:bCs/>
                          <w:noProof/>
                          <w:color w:val="000000" w:themeColor="text1"/>
                          <w:sz w:val="20"/>
                          <w:szCs w:val="20"/>
                          <w:lang w:eastAsia="es-GT"/>
                        </w:rPr>
                      </w:pPr>
                      <w:r w:rsidRPr="00B842A5">
                        <w:rPr>
                          <w:rFonts w:ascii="Times New Roman" w:hAnsi="Times New Roman" w:cs="Times New Roman"/>
                          <w:b/>
                          <w:bCs/>
                          <w:noProof/>
                          <w:color w:val="000000" w:themeColor="text1"/>
                          <w:sz w:val="20"/>
                          <w:szCs w:val="20"/>
                          <w:lang w:eastAsia="es-GT"/>
                        </w:rPr>
                        <w:t>Seguimiento de Programas de Infraestructura Estratégica</w:t>
                      </w:r>
                    </w:p>
                    <w:p w14:paraId="4EAAC9D4" w14:textId="6ACDAB43" w:rsidR="00B842A5" w:rsidRPr="00B842A5" w:rsidRDefault="00B842A5" w:rsidP="00B842A5">
                      <w:pPr>
                        <w:pStyle w:val="Prrafodelista"/>
                        <w:jc w:val="center"/>
                        <w:rPr>
                          <w:rFonts w:ascii="Times New Roman" w:hAnsi="Times New Roman" w:cs="Times New Roman"/>
                          <w:b/>
                          <w:bCs/>
                          <w:noProof/>
                          <w:color w:val="000000" w:themeColor="text1"/>
                          <w:sz w:val="20"/>
                          <w:szCs w:val="20"/>
                          <w:lang w:eastAsia="es-GT"/>
                        </w:rPr>
                      </w:pPr>
                      <w:r w:rsidRPr="00B842A5">
                        <w:rPr>
                          <w:rFonts w:ascii="Times New Roman" w:hAnsi="Times New Roman" w:cs="Times New Roman"/>
                          <w:b/>
                          <w:bCs/>
                          <w:noProof/>
                          <w:color w:val="000000" w:themeColor="text1"/>
                          <w:sz w:val="20"/>
                          <w:szCs w:val="20"/>
                          <w:lang w:eastAsia="es-GT"/>
                        </w:rPr>
                        <w:t>(Decreto Número 21-2022)</w:t>
                      </w:r>
                    </w:p>
                    <w:p w14:paraId="090DA80E" w14:textId="77777777" w:rsidR="00B842A5" w:rsidRPr="000D150A" w:rsidRDefault="00B842A5" w:rsidP="00B842A5">
                      <w:pPr>
                        <w:jc w:val="both"/>
                        <w:rPr>
                          <w:rFonts w:ascii="Times New Roman" w:hAnsi="Times New Roman" w:cs="Times New Roman"/>
                          <w:noProof/>
                          <w:color w:val="000000" w:themeColor="text1"/>
                          <w:sz w:val="2"/>
                          <w:szCs w:val="2"/>
                          <w:lang w:eastAsia="es-GT"/>
                        </w:rPr>
                      </w:pPr>
                    </w:p>
                    <w:p w14:paraId="778FFF96" w14:textId="77777777" w:rsidR="00B842A5" w:rsidRDefault="00B842A5" w:rsidP="00B842A5">
                      <w:pPr>
                        <w:pStyle w:val="Prrafodelista"/>
                        <w:ind w:left="284"/>
                        <w:jc w:val="both"/>
                        <w:rPr>
                          <w:rFonts w:ascii="Times New Roman" w:hAnsi="Times New Roman" w:cs="Times New Roman"/>
                          <w:noProof/>
                          <w:color w:val="000000" w:themeColor="text1"/>
                          <w:sz w:val="20"/>
                          <w:szCs w:val="20"/>
                          <w:lang w:val="es-MX" w:eastAsia="es-GT"/>
                        </w:rPr>
                      </w:pPr>
                    </w:p>
                    <w:p w14:paraId="22538146" w14:textId="44010E57" w:rsidR="00B842A5" w:rsidRPr="00B842A5" w:rsidRDefault="00B842A5" w:rsidP="00B842A5">
                      <w:pPr>
                        <w:pStyle w:val="Prrafodelista"/>
                        <w:ind w:left="284"/>
                        <w:jc w:val="both"/>
                        <w:rPr>
                          <w:rFonts w:ascii="Times New Roman" w:hAnsi="Times New Roman" w:cs="Times New Roman"/>
                          <w:noProof/>
                          <w:color w:val="000000" w:themeColor="text1"/>
                          <w:sz w:val="20"/>
                          <w:szCs w:val="20"/>
                          <w:lang w:val="es-MX" w:eastAsia="es-GT"/>
                        </w:rPr>
                      </w:pPr>
                      <w:r w:rsidRPr="00B842A5">
                        <w:rPr>
                          <w:rFonts w:ascii="Times New Roman" w:hAnsi="Times New Roman" w:cs="Times New Roman"/>
                          <w:noProof/>
                          <w:color w:val="000000" w:themeColor="text1"/>
                          <w:sz w:val="20"/>
                          <w:szCs w:val="20"/>
                          <w:lang w:val="es-MX" w:eastAsia="es-GT"/>
                        </w:rPr>
                        <w:t xml:space="preserve">El Ministerio de Comunicaciones, Infraestructa y Vivienda tiene a su cargo la ejecución de las actividades que conforman la infraestructura estratégica (Decreto Número 21-2022). </w:t>
                      </w:r>
                    </w:p>
                    <w:p w14:paraId="7893188B" w14:textId="77777777" w:rsidR="00B842A5" w:rsidRPr="00B842A5" w:rsidRDefault="00B842A5" w:rsidP="00B842A5">
                      <w:pPr>
                        <w:pStyle w:val="Prrafodelista"/>
                        <w:ind w:left="284"/>
                        <w:jc w:val="both"/>
                        <w:rPr>
                          <w:rFonts w:ascii="Times New Roman" w:hAnsi="Times New Roman" w:cs="Times New Roman"/>
                          <w:noProof/>
                          <w:color w:val="000000" w:themeColor="text1"/>
                          <w:sz w:val="20"/>
                          <w:szCs w:val="20"/>
                          <w:lang w:val="es-MX" w:eastAsia="es-GT"/>
                        </w:rPr>
                      </w:pPr>
                    </w:p>
                    <w:p w14:paraId="3E217C97" w14:textId="77777777" w:rsidR="00B842A5" w:rsidRPr="00B842A5" w:rsidRDefault="00B842A5" w:rsidP="00B842A5">
                      <w:pPr>
                        <w:pStyle w:val="Prrafodelista"/>
                        <w:ind w:left="284"/>
                        <w:jc w:val="both"/>
                        <w:rPr>
                          <w:rFonts w:ascii="Times New Roman" w:hAnsi="Times New Roman" w:cs="Times New Roman"/>
                          <w:noProof/>
                          <w:color w:val="000000" w:themeColor="text1"/>
                          <w:sz w:val="20"/>
                          <w:szCs w:val="20"/>
                          <w:lang w:val="es-MX" w:eastAsia="es-GT"/>
                        </w:rPr>
                      </w:pPr>
                      <w:r w:rsidRPr="00B842A5">
                        <w:rPr>
                          <w:rFonts w:ascii="Times New Roman" w:hAnsi="Times New Roman" w:cs="Times New Roman"/>
                          <w:noProof/>
                          <w:color w:val="000000" w:themeColor="text1"/>
                          <w:sz w:val="20"/>
                          <w:szCs w:val="20"/>
                          <w:lang w:val="es-MX" w:eastAsia="es-GT"/>
                        </w:rPr>
                        <w:t>Entre estas se encuentra el mantenimiento de la red vial:</w:t>
                      </w:r>
                    </w:p>
                    <w:p w14:paraId="25B57C82" w14:textId="5D63F34F" w:rsidR="00B842A5" w:rsidRPr="00B842A5" w:rsidRDefault="00B842A5" w:rsidP="002C0B5C">
                      <w:pPr>
                        <w:pStyle w:val="Prrafodelista"/>
                        <w:numPr>
                          <w:ilvl w:val="0"/>
                          <w:numId w:val="29"/>
                        </w:numPr>
                        <w:jc w:val="both"/>
                        <w:rPr>
                          <w:rFonts w:ascii="Times New Roman" w:hAnsi="Times New Roman" w:cs="Times New Roman"/>
                          <w:noProof/>
                          <w:color w:val="000000" w:themeColor="text1"/>
                          <w:sz w:val="20"/>
                          <w:szCs w:val="20"/>
                          <w:lang w:val="es-MX" w:eastAsia="es-GT"/>
                        </w:rPr>
                      </w:pPr>
                      <w:r w:rsidRPr="00B842A5">
                        <w:rPr>
                          <w:rFonts w:ascii="Times New Roman" w:hAnsi="Times New Roman" w:cs="Times New Roman"/>
                          <w:noProof/>
                          <w:color w:val="000000" w:themeColor="text1"/>
                          <w:sz w:val="20"/>
                          <w:szCs w:val="20"/>
                          <w:lang w:val="es-MX" w:eastAsia="es-GT"/>
                        </w:rPr>
                        <w:t>Rutas Centroamericanas</w:t>
                      </w:r>
                    </w:p>
                    <w:p w14:paraId="3E763DED" w14:textId="5E79F3F1" w:rsidR="00B842A5" w:rsidRPr="00B842A5" w:rsidRDefault="00B842A5" w:rsidP="002C0B5C">
                      <w:pPr>
                        <w:pStyle w:val="Prrafodelista"/>
                        <w:numPr>
                          <w:ilvl w:val="0"/>
                          <w:numId w:val="29"/>
                        </w:numPr>
                        <w:jc w:val="both"/>
                        <w:rPr>
                          <w:rFonts w:ascii="Times New Roman" w:hAnsi="Times New Roman" w:cs="Times New Roman"/>
                          <w:noProof/>
                          <w:color w:val="000000" w:themeColor="text1"/>
                          <w:sz w:val="20"/>
                          <w:szCs w:val="20"/>
                          <w:lang w:val="es-MX" w:eastAsia="es-GT"/>
                        </w:rPr>
                      </w:pPr>
                      <w:r w:rsidRPr="00B842A5">
                        <w:rPr>
                          <w:rFonts w:ascii="Times New Roman" w:hAnsi="Times New Roman" w:cs="Times New Roman"/>
                          <w:noProof/>
                          <w:color w:val="000000" w:themeColor="text1"/>
                          <w:sz w:val="20"/>
                          <w:szCs w:val="20"/>
                          <w:lang w:val="es-MX" w:eastAsia="es-GT"/>
                        </w:rPr>
                        <w:t>Rutas Nacionales</w:t>
                      </w:r>
                    </w:p>
                    <w:p w14:paraId="59327780" w14:textId="07904104" w:rsidR="00B842A5" w:rsidRPr="00B842A5" w:rsidRDefault="00B842A5" w:rsidP="002C0B5C">
                      <w:pPr>
                        <w:pStyle w:val="Prrafodelista"/>
                        <w:numPr>
                          <w:ilvl w:val="0"/>
                          <w:numId w:val="29"/>
                        </w:numPr>
                        <w:jc w:val="both"/>
                        <w:rPr>
                          <w:rFonts w:ascii="Times New Roman" w:hAnsi="Times New Roman" w:cs="Times New Roman"/>
                          <w:noProof/>
                          <w:color w:val="000000" w:themeColor="text1"/>
                          <w:sz w:val="20"/>
                          <w:szCs w:val="20"/>
                          <w:lang w:val="es-MX" w:eastAsia="es-GT"/>
                        </w:rPr>
                      </w:pPr>
                      <w:r w:rsidRPr="00B842A5">
                        <w:rPr>
                          <w:rFonts w:ascii="Times New Roman" w:hAnsi="Times New Roman" w:cs="Times New Roman"/>
                          <w:noProof/>
                          <w:color w:val="000000" w:themeColor="text1"/>
                          <w:sz w:val="20"/>
                          <w:szCs w:val="20"/>
                          <w:lang w:val="es-MX" w:eastAsia="es-GT"/>
                        </w:rPr>
                        <w:t>Rutas Departamentales</w:t>
                      </w:r>
                    </w:p>
                    <w:p w14:paraId="001F5181" w14:textId="77777777" w:rsidR="00B842A5" w:rsidRPr="00B842A5" w:rsidRDefault="00B842A5" w:rsidP="00B842A5">
                      <w:pPr>
                        <w:pStyle w:val="Prrafodelista"/>
                        <w:ind w:left="284"/>
                        <w:jc w:val="both"/>
                        <w:rPr>
                          <w:rFonts w:ascii="Times New Roman" w:hAnsi="Times New Roman" w:cs="Times New Roman"/>
                          <w:noProof/>
                          <w:color w:val="000000" w:themeColor="text1"/>
                          <w:sz w:val="20"/>
                          <w:szCs w:val="20"/>
                          <w:lang w:val="es-MX" w:eastAsia="es-GT"/>
                        </w:rPr>
                      </w:pPr>
                    </w:p>
                    <w:p w14:paraId="2A4F0CB4" w14:textId="4C8679D6" w:rsidR="00B842A5" w:rsidRPr="006F6A34" w:rsidRDefault="00B842A5" w:rsidP="00B842A5">
                      <w:pPr>
                        <w:pStyle w:val="Prrafodelista"/>
                        <w:ind w:left="284"/>
                        <w:jc w:val="both"/>
                        <w:rPr>
                          <w:rFonts w:ascii="Times New Roman" w:hAnsi="Times New Roman" w:cs="Times New Roman"/>
                          <w:noProof/>
                          <w:color w:val="000000" w:themeColor="text1"/>
                          <w:sz w:val="20"/>
                          <w:szCs w:val="20"/>
                          <w:lang w:eastAsia="es-GT"/>
                        </w:rPr>
                      </w:pPr>
                      <w:r w:rsidRPr="00B842A5">
                        <w:rPr>
                          <w:rFonts w:ascii="Times New Roman" w:hAnsi="Times New Roman" w:cs="Times New Roman"/>
                          <w:noProof/>
                          <w:color w:val="000000" w:themeColor="text1"/>
                          <w:sz w:val="20"/>
                          <w:szCs w:val="20"/>
                          <w:lang w:val="es-MX" w:eastAsia="es-GT"/>
                        </w:rPr>
                        <w:t>Además, los servicios de asistencia técnica y adquisición de puentes, contrucción de carreteras, mejoramiento de carreteras, construcción de puentes, construcción de pasos a desnivel, mejoramiento de calles y de la infraestructura educativa.</w:t>
                      </w:r>
                    </w:p>
                    <w:p w14:paraId="35A7124F" w14:textId="77777777" w:rsidR="00B842A5" w:rsidRPr="006F6A34" w:rsidRDefault="00B842A5" w:rsidP="00B842A5">
                      <w:pPr>
                        <w:jc w:val="center"/>
                        <w:rPr>
                          <w:rFonts w:ascii="Times New Roman" w:hAnsi="Times New Roman" w:cs="Times New Roman"/>
                          <w:b/>
                          <w:bCs/>
                          <w:sz w:val="20"/>
                          <w:szCs w:val="20"/>
                        </w:rPr>
                      </w:pPr>
                    </w:p>
                    <w:p w14:paraId="65762E06" w14:textId="77777777" w:rsidR="00B842A5" w:rsidRPr="006F6A34" w:rsidRDefault="00B842A5" w:rsidP="00B842A5">
                      <w:pPr>
                        <w:jc w:val="center"/>
                        <w:rPr>
                          <w:rFonts w:ascii="Times New Roman" w:hAnsi="Times New Roman" w:cs="Times New Roman"/>
                          <w:b/>
                          <w:bCs/>
                          <w:sz w:val="20"/>
                          <w:szCs w:val="20"/>
                        </w:rPr>
                      </w:pPr>
                    </w:p>
                    <w:p w14:paraId="01D08768" w14:textId="77777777" w:rsidR="00B842A5" w:rsidRDefault="00B842A5" w:rsidP="00B842A5">
                      <w:pPr>
                        <w:jc w:val="center"/>
                        <w:rPr>
                          <w:rFonts w:ascii="Times New Roman" w:hAnsi="Times New Roman" w:cs="Times New Roman"/>
                          <w:b/>
                          <w:bCs/>
                        </w:rPr>
                      </w:pPr>
                    </w:p>
                    <w:p w14:paraId="37E7517C" w14:textId="77777777" w:rsidR="00B842A5" w:rsidRDefault="00B842A5" w:rsidP="00B842A5">
                      <w:pPr>
                        <w:jc w:val="center"/>
                        <w:rPr>
                          <w:rFonts w:ascii="Times New Roman" w:hAnsi="Times New Roman" w:cs="Times New Roman"/>
                          <w:b/>
                          <w:bCs/>
                        </w:rPr>
                      </w:pPr>
                    </w:p>
                    <w:p w14:paraId="402DDE70" w14:textId="77777777" w:rsidR="00B842A5" w:rsidRDefault="00B842A5" w:rsidP="00B842A5">
                      <w:pPr>
                        <w:jc w:val="center"/>
                        <w:rPr>
                          <w:rFonts w:ascii="Times New Roman" w:hAnsi="Times New Roman" w:cs="Times New Roman"/>
                          <w:b/>
                          <w:bCs/>
                        </w:rPr>
                      </w:pPr>
                    </w:p>
                    <w:p w14:paraId="3ABB37BE" w14:textId="77777777" w:rsidR="00B842A5" w:rsidRDefault="00B842A5" w:rsidP="00B842A5">
                      <w:pPr>
                        <w:jc w:val="center"/>
                        <w:rPr>
                          <w:rFonts w:ascii="Times New Roman" w:hAnsi="Times New Roman" w:cs="Times New Roman"/>
                          <w:b/>
                          <w:bCs/>
                        </w:rPr>
                      </w:pPr>
                    </w:p>
                    <w:p w14:paraId="3B5651AF" w14:textId="77777777" w:rsidR="00B842A5" w:rsidRDefault="00B842A5" w:rsidP="00B842A5">
                      <w:pPr>
                        <w:jc w:val="center"/>
                        <w:rPr>
                          <w:rFonts w:ascii="Times New Roman" w:hAnsi="Times New Roman" w:cs="Times New Roman"/>
                          <w:b/>
                          <w:bCs/>
                        </w:rPr>
                      </w:pPr>
                    </w:p>
                    <w:p w14:paraId="7988825C" w14:textId="77777777" w:rsidR="00B842A5" w:rsidRDefault="00B842A5" w:rsidP="00B842A5">
                      <w:pPr>
                        <w:jc w:val="center"/>
                        <w:rPr>
                          <w:rFonts w:ascii="Times New Roman" w:hAnsi="Times New Roman" w:cs="Times New Roman"/>
                          <w:b/>
                          <w:bCs/>
                        </w:rPr>
                      </w:pPr>
                    </w:p>
                    <w:p w14:paraId="04FDF0D2" w14:textId="77777777" w:rsidR="00B842A5" w:rsidRDefault="00B842A5" w:rsidP="00B842A5">
                      <w:pPr>
                        <w:jc w:val="center"/>
                        <w:rPr>
                          <w:rFonts w:ascii="Times New Roman" w:hAnsi="Times New Roman" w:cs="Times New Roman"/>
                          <w:b/>
                          <w:bCs/>
                        </w:rPr>
                      </w:pPr>
                    </w:p>
                    <w:p w14:paraId="1D0C6343" w14:textId="77777777" w:rsidR="00B842A5" w:rsidRDefault="00B842A5" w:rsidP="00B842A5">
                      <w:pPr>
                        <w:jc w:val="center"/>
                        <w:rPr>
                          <w:rFonts w:ascii="Times New Roman" w:hAnsi="Times New Roman" w:cs="Times New Roman"/>
                          <w:b/>
                          <w:bCs/>
                        </w:rPr>
                      </w:pPr>
                    </w:p>
                    <w:p w14:paraId="7F48B2F0" w14:textId="77777777" w:rsidR="00B842A5" w:rsidRDefault="00B842A5" w:rsidP="00B842A5">
                      <w:pPr>
                        <w:jc w:val="center"/>
                        <w:rPr>
                          <w:rFonts w:ascii="Times New Roman" w:hAnsi="Times New Roman" w:cs="Times New Roman"/>
                          <w:b/>
                          <w:bCs/>
                        </w:rPr>
                      </w:pPr>
                    </w:p>
                    <w:p w14:paraId="2305AAD5" w14:textId="77777777" w:rsidR="00B842A5" w:rsidRDefault="00B842A5" w:rsidP="00B842A5">
                      <w:pPr>
                        <w:jc w:val="center"/>
                        <w:rPr>
                          <w:rFonts w:ascii="Times New Roman" w:hAnsi="Times New Roman" w:cs="Times New Roman"/>
                          <w:b/>
                          <w:bCs/>
                        </w:rPr>
                      </w:pPr>
                    </w:p>
                    <w:p w14:paraId="2B777AC8" w14:textId="77777777" w:rsidR="00B842A5" w:rsidRDefault="00B842A5" w:rsidP="00B842A5">
                      <w:pPr>
                        <w:jc w:val="center"/>
                        <w:rPr>
                          <w:rFonts w:ascii="Times New Roman" w:hAnsi="Times New Roman" w:cs="Times New Roman"/>
                          <w:b/>
                          <w:bCs/>
                        </w:rPr>
                      </w:pPr>
                    </w:p>
                    <w:p w14:paraId="21AE167C" w14:textId="77777777" w:rsidR="00B842A5" w:rsidRPr="008902B7" w:rsidRDefault="00B842A5" w:rsidP="00B842A5">
                      <w:pPr>
                        <w:jc w:val="center"/>
                        <w:rPr>
                          <w:rFonts w:ascii="Times New Roman" w:hAnsi="Times New Roman" w:cs="Times New Roman"/>
                          <w:b/>
                          <w:bCs/>
                        </w:rPr>
                      </w:pPr>
                    </w:p>
                  </w:txbxContent>
                </v:textbox>
                <w10:anchorlock/>
              </v:rect>
            </w:pict>
          </mc:Fallback>
        </mc:AlternateContent>
      </w:r>
    </w:p>
    <w:p w14:paraId="4285DC07" w14:textId="2456D4DB" w:rsidR="00B842A5" w:rsidRDefault="00B842A5" w:rsidP="0039645E">
      <w:pPr>
        <w:jc w:val="both"/>
        <w:rPr>
          <w:rFonts w:ascii="Times New Roman" w:eastAsia="Times New Roman" w:hAnsi="Times New Roman" w:cs="Times New Roman"/>
          <w:sz w:val="20"/>
          <w:szCs w:val="22"/>
          <w:lang w:val="es-ES_tradnl"/>
        </w:rPr>
      </w:pPr>
    </w:p>
    <w:p w14:paraId="3230A702" w14:textId="0F83BC37" w:rsidR="00B842A5" w:rsidRDefault="00B842A5" w:rsidP="0039645E">
      <w:pPr>
        <w:jc w:val="both"/>
        <w:rPr>
          <w:rFonts w:ascii="Times New Roman" w:eastAsia="Times New Roman" w:hAnsi="Times New Roman" w:cs="Times New Roman"/>
          <w:sz w:val="20"/>
          <w:szCs w:val="22"/>
          <w:lang w:val="es-ES_tradnl"/>
        </w:rPr>
      </w:pPr>
    </w:p>
    <w:p w14:paraId="0FCFF312" w14:textId="37ACC1FF" w:rsidR="00B842A5" w:rsidRDefault="00B842A5" w:rsidP="0039645E">
      <w:pPr>
        <w:jc w:val="both"/>
        <w:rPr>
          <w:rFonts w:ascii="Times New Roman" w:eastAsia="Times New Roman" w:hAnsi="Times New Roman" w:cs="Times New Roman"/>
          <w:sz w:val="20"/>
          <w:szCs w:val="22"/>
          <w:lang w:val="es-ES_tradnl"/>
        </w:rPr>
      </w:pPr>
    </w:p>
    <w:p w14:paraId="799B1FE9" w14:textId="77F1FBF8" w:rsidR="00B842A5" w:rsidRDefault="00B842A5" w:rsidP="0039645E">
      <w:pPr>
        <w:jc w:val="both"/>
        <w:rPr>
          <w:rFonts w:ascii="Times New Roman" w:eastAsia="Times New Roman" w:hAnsi="Times New Roman" w:cs="Times New Roman"/>
          <w:sz w:val="20"/>
          <w:szCs w:val="22"/>
          <w:lang w:val="es-ES_tradnl"/>
        </w:rPr>
      </w:pPr>
      <w:r w:rsidRPr="00885B1F">
        <w:rPr>
          <w:rFonts w:ascii="Calibri" w:eastAsia="Times New Roman" w:hAnsi="Calibri" w:cs="Calibri"/>
          <w:noProof/>
          <w:color w:val="FF0000"/>
          <w:sz w:val="22"/>
          <w:szCs w:val="22"/>
        </w:rPr>
        <w:lastRenderedPageBreak/>
        <mc:AlternateContent>
          <mc:Choice Requires="wps">
            <w:drawing>
              <wp:inline distT="0" distB="0" distL="0" distR="0" wp14:anchorId="195C4DD6" wp14:editId="5196097E">
                <wp:extent cx="5532617" cy="4699221"/>
                <wp:effectExtent l="0" t="0" r="11430" b="25400"/>
                <wp:docPr id="978" name="Rectángulo 9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2617" cy="4699221"/>
                        </a:xfrm>
                        <a:prstGeom prst="rect">
                          <a:avLst/>
                        </a:prstGeom>
                        <a:solidFill>
                          <a:srgbClr val="4472C4">
                            <a:lumMod val="20000"/>
                            <a:lumOff val="80000"/>
                          </a:srgbClr>
                        </a:solidFill>
                        <a:ln w="6350" cap="flat" cmpd="sng" algn="ctr">
                          <a:solidFill>
                            <a:sysClr val="windowText" lastClr="000000"/>
                          </a:solidFill>
                          <a:prstDash val="solid"/>
                          <a:miter lim="800000"/>
                        </a:ln>
                        <a:effectLst/>
                      </wps:spPr>
                      <wps:txbx>
                        <w:txbxContent>
                          <w:p w14:paraId="51B1497A" w14:textId="77777777" w:rsidR="00B842A5" w:rsidRPr="000D150A" w:rsidRDefault="00B842A5" w:rsidP="00B842A5">
                            <w:pPr>
                              <w:jc w:val="both"/>
                              <w:rPr>
                                <w:rFonts w:ascii="Times New Roman" w:hAnsi="Times New Roman" w:cs="Times New Roman"/>
                                <w:noProof/>
                                <w:color w:val="000000" w:themeColor="text1"/>
                                <w:sz w:val="2"/>
                                <w:szCs w:val="2"/>
                                <w:lang w:eastAsia="es-GT"/>
                              </w:rPr>
                            </w:pPr>
                          </w:p>
                          <w:p w14:paraId="195CBE04" w14:textId="77777777" w:rsidR="00B842A5" w:rsidRDefault="00B842A5" w:rsidP="00B842A5">
                            <w:pPr>
                              <w:pStyle w:val="Prrafodelista"/>
                              <w:ind w:left="284"/>
                              <w:jc w:val="both"/>
                              <w:rPr>
                                <w:rFonts w:ascii="Times New Roman" w:hAnsi="Times New Roman" w:cs="Times New Roman"/>
                                <w:noProof/>
                                <w:color w:val="000000" w:themeColor="text1"/>
                                <w:sz w:val="20"/>
                                <w:szCs w:val="20"/>
                                <w:lang w:val="es-MX" w:eastAsia="es-GT"/>
                              </w:rPr>
                            </w:pPr>
                          </w:p>
                          <w:p w14:paraId="63CFF758" w14:textId="77777777" w:rsidR="00B842A5" w:rsidRPr="00B842A5" w:rsidRDefault="00B842A5" w:rsidP="00B842A5">
                            <w:pPr>
                              <w:jc w:val="both"/>
                              <w:rPr>
                                <w:rFonts w:ascii="Times New Roman" w:eastAsiaTheme="minorHAnsi" w:hAnsi="Times New Roman" w:cs="Times New Roman"/>
                                <w:noProof/>
                                <w:color w:val="000000" w:themeColor="text1"/>
                                <w:sz w:val="20"/>
                                <w:szCs w:val="20"/>
                                <w:lang w:val="es-MX" w:eastAsia="es-GT"/>
                              </w:rPr>
                            </w:pPr>
                            <w:r w:rsidRPr="00B842A5">
                              <w:rPr>
                                <w:rFonts w:ascii="Times New Roman" w:eastAsiaTheme="minorHAnsi" w:hAnsi="Times New Roman" w:cs="Times New Roman"/>
                                <w:noProof/>
                                <w:color w:val="000000" w:themeColor="text1"/>
                                <w:sz w:val="20"/>
                                <w:szCs w:val="20"/>
                                <w:lang w:val="es-MX" w:eastAsia="es-GT"/>
                              </w:rPr>
                              <w:t>Este programa cuenta con una ejecución de Q1,543.7 millones, siendo el mantenimiento de las rutas centroamericanas la actividad con la mayor ejecución.</w:t>
                            </w:r>
                          </w:p>
                          <w:p w14:paraId="3C50D54B" w14:textId="77777777" w:rsidR="00B842A5" w:rsidRPr="00B842A5" w:rsidRDefault="00B842A5" w:rsidP="00B842A5">
                            <w:pPr>
                              <w:jc w:val="both"/>
                              <w:rPr>
                                <w:rFonts w:ascii="Times New Roman" w:eastAsiaTheme="minorHAnsi" w:hAnsi="Times New Roman" w:cs="Times New Roman"/>
                                <w:noProof/>
                                <w:color w:val="000000" w:themeColor="text1"/>
                                <w:sz w:val="20"/>
                                <w:szCs w:val="20"/>
                                <w:lang w:val="es-MX" w:eastAsia="es-GT"/>
                              </w:rPr>
                            </w:pPr>
                            <w:r w:rsidRPr="00B842A5">
                              <w:rPr>
                                <w:rFonts w:ascii="Times New Roman" w:eastAsiaTheme="minorHAnsi" w:hAnsi="Times New Roman" w:cs="Times New Roman"/>
                                <w:noProof/>
                                <w:color w:val="000000" w:themeColor="text1"/>
                                <w:sz w:val="20"/>
                                <w:szCs w:val="20"/>
                                <w:lang w:val="es-MX" w:eastAsia="es-GT"/>
                              </w:rPr>
                              <w:t xml:space="preserve">Para atender la infraestructura estratégica, fue necesario realizar una ampliación presupuestaria por Q1,126.8 millones. Este programa fue creado en 2022 pero su ejecución no fue la deseada, dado que fue necesario reorientar recursos del programa para el Fondo Emergente, ante las declaratorias de Estado de Calamidad Pública en 2022 por los eventos y siniestros acontecidos asociados a la temporada de lluvias. </w:t>
                            </w:r>
                          </w:p>
                          <w:p w14:paraId="04136E6C" w14:textId="77777777" w:rsidR="00B842A5" w:rsidRPr="00B842A5" w:rsidRDefault="00B842A5" w:rsidP="00B842A5">
                            <w:pPr>
                              <w:jc w:val="both"/>
                              <w:rPr>
                                <w:rFonts w:ascii="Times New Roman" w:eastAsiaTheme="minorHAnsi" w:hAnsi="Times New Roman" w:cs="Times New Roman"/>
                                <w:noProof/>
                                <w:color w:val="000000" w:themeColor="text1"/>
                                <w:sz w:val="20"/>
                                <w:szCs w:val="20"/>
                                <w:lang w:val="es-MX" w:eastAsia="es-GT"/>
                              </w:rPr>
                            </w:pPr>
                          </w:p>
                          <w:p w14:paraId="7AFDE8B1" w14:textId="787FE658" w:rsidR="00B842A5" w:rsidRPr="006F6A34" w:rsidRDefault="00B842A5" w:rsidP="00B842A5">
                            <w:pPr>
                              <w:jc w:val="both"/>
                              <w:rPr>
                                <w:rFonts w:ascii="Times New Roman" w:hAnsi="Times New Roman" w:cs="Times New Roman"/>
                                <w:b/>
                                <w:bCs/>
                                <w:sz w:val="20"/>
                                <w:szCs w:val="20"/>
                              </w:rPr>
                            </w:pPr>
                            <w:r w:rsidRPr="00B842A5">
                              <w:rPr>
                                <w:rFonts w:ascii="Times New Roman" w:eastAsiaTheme="minorHAnsi" w:hAnsi="Times New Roman" w:cs="Times New Roman"/>
                                <w:noProof/>
                                <w:color w:val="000000" w:themeColor="text1"/>
                                <w:sz w:val="20"/>
                                <w:szCs w:val="20"/>
                                <w:lang w:val="es-MX" w:eastAsia="es-GT"/>
                              </w:rPr>
                              <w:t>No obstante, en 2023 con el presupuesto asignado más la ampliación presupuestaria se tuvo un presupuesto de Q1,612.8 millones, siendo el nivel de ejecución de 95.7%.</w:t>
                            </w:r>
                          </w:p>
                          <w:p w14:paraId="79D4D086" w14:textId="77777777" w:rsidR="00B842A5" w:rsidRPr="006F6A34" w:rsidRDefault="00B842A5" w:rsidP="00B842A5">
                            <w:pPr>
                              <w:jc w:val="center"/>
                              <w:rPr>
                                <w:rFonts w:ascii="Times New Roman" w:hAnsi="Times New Roman" w:cs="Times New Roman"/>
                                <w:b/>
                                <w:bCs/>
                                <w:sz w:val="20"/>
                                <w:szCs w:val="20"/>
                              </w:rPr>
                            </w:pPr>
                          </w:p>
                          <w:p w14:paraId="1152B18D" w14:textId="6F8428F6" w:rsidR="00B842A5" w:rsidRPr="000015E4" w:rsidRDefault="000015E4" w:rsidP="000015E4">
                            <w:pPr>
                              <w:pStyle w:val="Descripcin"/>
                              <w:keepNext/>
                              <w:spacing w:after="0"/>
                              <w:jc w:val="center"/>
                              <w:rPr>
                                <w:sz w:val="22"/>
                                <w:szCs w:val="22"/>
                              </w:rPr>
                            </w:pPr>
                            <w:bookmarkStart w:id="73" w:name="_Toc160196919"/>
                            <w:r w:rsidRPr="000015E4">
                              <w:rPr>
                                <w:sz w:val="22"/>
                                <w:szCs w:val="22"/>
                              </w:rPr>
                              <w:t xml:space="preserve">Tabla </w:t>
                            </w:r>
                            <w:r w:rsidRPr="000015E4">
                              <w:rPr>
                                <w:sz w:val="22"/>
                                <w:szCs w:val="22"/>
                              </w:rPr>
                              <w:fldChar w:fldCharType="begin"/>
                            </w:r>
                            <w:r w:rsidRPr="000015E4">
                              <w:rPr>
                                <w:sz w:val="22"/>
                                <w:szCs w:val="22"/>
                              </w:rPr>
                              <w:instrText xml:space="preserve"> SEQ Tabla \* ARABIC </w:instrText>
                            </w:r>
                            <w:r w:rsidRPr="000015E4">
                              <w:rPr>
                                <w:sz w:val="22"/>
                                <w:szCs w:val="22"/>
                              </w:rPr>
                              <w:fldChar w:fldCharType="separate"/>
                            </w:r>
                            <w:r w:rsidR="00C015DC">
                              <w:rPr>
                                <w:noProof/>
                                <w:sz w:val="22"/>
                                <w:szCs w:val="22"/>
                              </w:rPr>
                              <w:t>4</w:t>
                            </w:r>
                            <w:r w:rsidRPr="000015E4">
                              <w:rPr>
                                <w:sz w:val="22"/>
                                <w:szCs w:val="22"/>
                              </w:rPr>
                              <w:fldChar w:fldCharType="end"/>
                            </w:r>
                            <w:r w:rsidRPr="000015E4">
                              <w:rPr>
                                <w:sz w:val="22"/>
                                <w:szCs w:val="22"/>
                              </w:rPr>
                              <w:t xml:space="preserve">.  </w:t>
                            </w:r>
                            <w:r w:rsidR="00B842A5" w:rsidRPr="000015E4">
                              <w:rPr>
                                <w:rFonts w:cs="Times New Roman"/>
                                <w:sz w:val="22"/>
                                <w:szCs w:val="22"/>
                              </w:rPr>
                              <w:t xml:space="preserve">Seguimiento de Programas de </w:t>
                            </w:r>
                            <w:r w:rsidRPr="000015E4">
                              <w:rPr>
                                <w:rFonts w:cs="Times New Roman"/>
                                <w:sz w:val="22"/>
                                <w:szCs w:val="22"/>
                              </w:rPr>
                              <w:t>Infraestructura</w:t>
                            </w:r>
                            <w:r w:rsidR="00B842A5" w:rsidRPr="000015E4">
                              <w:rPr>
                                <w:rFonts w:cs="Times New Roman"/>
                                <w:sz w:val="22"/>
                                <w:szCs w:val="22"/>
                              </w:rPr>
                              <w:t xml:space="preserve"> Estratégica</w:t>
                            </w:r>
                            <w:bookmarkEnd w:id="73"/>
                          </w:p>
                          <w:p w14:paraId="74509931" w14:textId="2C7218B5" w:rsidR="00B842A5" w:rsidRPr="00B842A5" w:rsidRDefault="00B842A5" w:rsidP="00B842A5">
                            <w:pPr>
                              <w:jc w:val="center"/>
                              <w:rPr>
                                <w:rFonts w:ascii="Times New Roman" w:hAnsi="Times New Roman" w:cs="Times New Roman"/>
                              </w:rPr>
                            </w:pPr>
                            <w:r w:rsidRPr="00B842A5">
                              <w:rPr>
                                <w:rFonts w:ascii="Times New Roman" w:hAnsi="Times New Roman" w:cs="Times New Roman"/>
                                <w:sz w:val="22"/>
                                <w:szCs w:val="22"/>
                              </w:rPr>
                              <w:t>Cifras en millones de quetzales y porcentajes de ejecución</w:t>
                            </w:r>
                          </w:p>
                          <w:p w14:paraId="5311D806" w14:textId="20A8D3B5" w:rsidR="00B842A5" w:rsidRDefault="00B842A5" w:rsidP="00B842A5">
                            <w:pPr>
                              <w:jc w:val="center"/>
                              <w:rPr>
                                <w:rFonts w:ascii="Times New Roman" w:hAnsi="Times New Roman" w:cs="Times New Roman"/>
                                <w:b/>
                                <w:bCs/>
                              </w:rPr>
                            </w:pPr>
                            <w:r w:rsidRPr="0053330C">
                              <w:rPr>
                                <w:noProof/>
                              </w:rPr>
                              <w:drawing>
                                <wp:inline distT="0" distB="0" distL="0" distR="0" wp14:anchorId="07CE7B35" wp14:editId="440D2A1E">
                                  <wp:extent cx="5210533" cy="2417196"/>
                                  <wp:effectExtent l="0" t="0" r="0" b="254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42008" cy="2431797"/>
                                          </a:xfrm>
                                          <a:prstGeom prst="rect">
                                            <a:avLst/>
                                          </a:prstGeom>
                                          <a:noFill/>
                                          <a:ln>
                                            <a:noFill/>
                                          </a:ln>
                                        </pic:spPr>
                                      </pic:pic>
                                    </a:graphicData>
                                  </a:graphic>
                                </wp:inline>
                              </w:drawing>
                            </w:r>
                          </w:p>
                          <w:p w14:paraId="6E993552" w14:textId="2F1DF76F" w:rsidR="00B842A5" w:rsidRDefault="000015E4" w:rsidP="000015E4">
                            <w:pPr>
                              <w:rPr>
                                <w:rFonts w:ascii="Times New Roman" w:hAnsi="Times New Roman" w:cs="Times New Roman"/>
                                <w:b/>
                                <w:bCs/>
                              </w:rPr>
                            </w:pPr>
                            <w:r>
                              <w:rPr>
                                <w:rFonts w:ascii="Times New Roman" w:eastAsia="Times New Roman" w:hAnsi="Times New Roman" w:cs="Times New Roman"/>
                                <w:sz w:val="18"/>
                                <w:szCs w:val="22"/>
                                <w:lang w:val="es-ES_tradnl" w:eastAsia="es-ES"/>
                              </w:rPr>
                              <w:t xml:space="preserve">               </w:t>
                            </w:r>
                            <w:r w:rsidRPr="004A66F0">
                              <w:rPr>
                                <w:rFonts w:ascii="Times New Roman" w:eastAsia="Times New Roman" w:hAnsi="Times New Roman" w:cs="Times New Roman"/>
                                <w:sz w:val="18"/>
                                <w:szCs w:val="22"/>
                                <w:lang w:val="es-ES_tradnl" w:eastAsia="es-ES"/>
                              </w:rPr>
                              <w:t>Fuente: Dirección de Análisis y Política Fiscal</w:t>
                            </w:r>
                            <w:r>
                              <w:rPr>
                                <w:rFonts w:ascii="Times New Roman" w:eastAsia="Times New Roman" w:hAnsi="Times New Roman" w:cs="Times New Roman"/>
                                <w:sz w:val="18"/>
                                <w:szCs w:val="22"/>
                                <w:lang w:val="es-ES_tradnl" w:eastAsia="es-ES"/>
                              </w:rPr>
                              <w:t>.</w:t>
                            </w:r>
                          </w:p>
                          <w:p w14:paraId="069F6E26" w14:textId="77777777" w:rsidR="00B842A5" w:rsidRDefault="00B842A5" w:rsidP="00B842A5">
                            <w:pPr>
                              <w:jc w:val="center"/>
                              <w:rPr>
                                <w:rFonts w:ascii="Times New Roman" w:hAnsi="Times New Roman" w:cs="Times New Roman"/>
                                <w:b/>
                                <w:bCs/>
                              </w:rPr>
                            </w:pPr>
                          </w:p>
                          <w:p w14:paraId="2D5155E3" w14:textId="77777777" w:rsidR="00B842A5" w:rsidRDefault="00B842A5" w:rsidP="00B842A5">
                            <w:pPr>
                              <w:jc w:val="center"/>
                              <w:rPr>
                                <w:rFonts w:ascii="Times New Roman" w:hAnsi="Times New Roman" w:cs="Times New Roman"/>
                                <w:b/>
                                <w:bCs/>
                              </w:rPr>
                            </w:pPr>
                          </w:p>
                          <w:p w14:paraId="2458B424" w14:textId="77777777" w:rsidR="00B842A5" w:rsidRDefault="00B842A5" w:rsidP="00B842A5">
                            <w:pPr>
                              <w:jc w:val="center"/>
                              <w:rPr>
                                <w:rFonts w:ascii="Times New Roman" w:hAnsi="Times New Roman" w:cs="Times New Roman"/>
                                <w:b/>
                                <w:bCs/>
                              </w:rPr>
                            </w:pPr>
                          </w:p>
                          <w:p w14:paraId="7A039846" w14:textId="77777777" w:rsidR="00B842A5" w:rsidRDefault="00B842A5" w:rsidP="00B842A5">
                            <w:pPr>
                              <w:jc w:val="center"/>
                              <w:rPr>
                                <w:rFonts w:ascii="Times New Roman" w:hAnsi="Times New Roman" w:cs="Times New Roman"/>
                                <w:b/>
                                <w:bCs/>
                              </w:rPr>
                            </w:pPr>
                          </w:p>
                          <w:p w14:paraId="76F5B567" w14:textId="77777777" w:rsidR="00B842A5" w:rsidRDefault="00B842A5" w:rsidP="00B842A5">
                            <w:pPr>
                              <w:jc w:val="center"/>
                              <w:rPr>
                                <w:rFonts w:ascii="Times New Roman" w:hAnsi="Times New Roman" w:cs="Times New Roman"/>
                                <w:b/>
                                <w:bCs/>
                              </w:rPr>
                            </w:pPr>
                          </w:p>
                          <w:p w14:paraId="4B3D39E9" w14:textId="77777777" w:rsidR="00B842A5" w:rsidRDefault="00B842A5" w:rsidP="00B842A5">
                            <w:pPr>
                              <w:jc w:val="center"/>
                              <w:rPr>
                                <w:rFonts w:ascii="Times New Roman" w:hAnsi="Times New Roman" w:cs="Times New Roman"/>
                                <w:b/>
                                <w:bCs/>
                              </w:rPr>
                            </w:pPr>
                          </w:p>
                          <w:p w14:paraId="06E3857A" w14:textId="77777777" w:rsidR="00B842A5" w:rsidRDefault="00B842A5" w:rsidP="00B842A5">
                            <w:pPr>
                              <w:jc w:val="center"/>
                              <w:rPr>
                                <w:rFonts w:ascii="Times New Roman" w:hAnsi="Times New Roman" w:cs="Times New Roman"/>
                                <w:b/>
                                <w:bCs/>
                              </w:rPr>
                            </w:pPr>
                          </w:p>
                          <w:p w14:paraId="61844706" w14:textId="77777777" w:rsidR="00B842A5" w:rsidRDefault="00B842A5" w:rsidP="00B842A5">
                            <w:pPr>
                              <w:jc w:val="center"/>
                              <w:rPr>
                                <w:rFonts w:ascii="Times New Roman" w:hAnsi="Times New Roman" w:cs="Times New Roman"/>
                                <w:b/>
                                <w:bCs/>
                              </w:rPr>
                            </w:pPr>
                          </w:p>
                          <w:p w14:paraId="2AA5A9BE" w14:textId="77777777" w:rsidR="00B842A5" w:rsidRPr="008902B7" w:rsidRDefault="00B842A5" w:rsidP="00B842A5">
                            <w:pPr>
                              <w:jc w:val="center"/>
                              <w:rPr>
                                <w:rFonts w:ascii="Times New Roman" w:hAnsi="Times New Roman" w:cs="Times New Roman"/>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95C4DD6" id="Rectángulo 978" o:spid="_x0000_s1034" style="width:435.65pt;height:37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" fillcolor="#dae3f3" strokecolor="windowText" strokeweight=".5pt">
                <v:path arrowok="t"/>
                <v:textbox>
                  <w:txbxContent>
                    <w:p w14:paraId="51B1497A" w14:textId="77777777" w:rsidR="00B842A5" w:rsidRPr="000D150A" w:rsidRDefault="00B842A5" w:rsidP="00B842A5">
                      <w:pPr>
                        <w:jc w:val="both"/>
                        <w:rPr>
                          <w:rFonts w:ascii="Times New Roman" w:hAnsi="Times New Roman" w:cs="Times New Roman"/>
                          <w:noProof/>
                          <w:color w:val="000000" w:themeColor="text1"/>
                          <w:sz w:val="2"/>
                          <w:szCs w:val="2"/>
                          <w:lang w:eastAsia="es-GT"/>
                        </w:rPr>
                      </w:pPr>
                    </w:p>
                    <w:p w14:paraId="195CBE04" w14:textId="77777777" w:rsidR="00B842A5" w:rsidRDefault="00B842A5" w:rsidP="00B842A5">
                      <w:pPr>
                        <w:pStyle w:val="Prrafodelista"/>
                        <w:ind w:left="284"/>
                        <w:jc w:val="both"/>
                        <w:rPr>
                          <w:rFonts w:ascii="Times New Roman" w:hAnsi="Times New Roman" w:cs="Times New Roman"/>
                          <w:noProof/>
                          <w:color w:val="000000" w:themeColor="text1"/>
                          <w:sz w:val="20"/>
                          <w:szCs w:val="20"/>
                          <w:lang w:val="es-MX" w:eastAsia="es-GT"/>
                        </w:rPr>
                      </w:pPr>
                    </w:p>
                    <w:p w14:paraId="63CFF758" w14:textId="77777777" w:rsidR="00B842A5" w:rsidRPr="00B842A5" w:rsidRDefault="00B842A5" w:rsidP="00B842A5">
                      <w:pPr>
                        <w:jc w:val="both"/>
                        <w:rPr>
                          <w:rFonts w:ascii="Times New Roman" w:eastAsiaTheme="minorHAnsi" w:hAnsi="Times New Roman" w:cs="Times New Roman"/>
                          <w:noProof/>
                          <w:color w:val="000000" w:themeColor="text1"/>
                          <w:sz w:val="20"/>
                          <w:szCs w:val="20"/>
                          <w:lang w:val="es-MX" w:eastAsia="es-GT"/>
                        </w:rPr>
                      </w:pPr>
                      <w:r w:rsidRPr="00B842A5">
                        <w:rPr>
                          <w:rFonts w:ascii="Times New Roman" w:eastAsiaTheme="minorHAnsi" w:hAnsi="Times New Roman" w:cs="Times New Roman"/>
                          <w:noProof/>
                          <w:color w:val="000000" w:themeColor="text1"/>
                          <w:sz w:val="20"/>
                          <w:szCs w:val="20"/>
                          <w:lang w:val="es-MX" w:eastAsia="es-GT"/>
                        </w:rPr>
                        <w:t>Este programa cuenta con una ejecución de Q1,543.7 millones, siendo el mantenimiento de las rutas centroamericanas la actividad con la mayor ejecución.</w:t>
                      </w:r>
                    </w:p>
                    <w:p w14:paraId="3C50D54B" w14:textId="77777777" w:rsidR="00B842A5" w:rsidRPr="00B842A5" w:rsidRDefault="00B842A5" w:rsidP="00B842A5">
                      <w:pPr>
                        <w:jc w:val="both"/>
                        <w:rPr>
                          <w:rFonts w:ascii="Times New Roman" w:eastAsiaTheme="minorHAnsi" w:hAnsi="Times New Roman" w:cs="Times New Roman"/>
                          <w:noProof/>
                          <w:color w:val="000000" w:themeColor="text1"/>
                          <w:sz w:val="20"/>
                          <w:szCs w:val="20"/>
                          <w:lang w:val="es-MX" w:eastAsia="es-GT"/>
                        </w:rPr>
                      </w:pPr>
                      <w:r w:rsidRPr="00B842A5">
                        <w:rPr>
                          <w:rFonts w:ascii="Times New Roman" w:eastAsiaTheme="minorHAnsi" w:hAnsi="Times New Roman" w:cs="Times New Roman"/>
                          <w:noProof/>
                          <w:color w:val="000000" w:themeColor="text1"/>
                          <w:sz w:val="20"/>
                          <w:szCs w:val="20"/>
                          <w:lang w:val="es-MX" w:eastAsia="es-GT"/>
                        </w:rPr>
                        <w:t xml:space="preserve">Para atender la infraestructura estratégica, fue necesario realizar una ampliación presupuestaria por Q1,126.8 millones. Este programa fue creado en 2022 pero su ejecución no fue la deseada, dado que fue necesario reorientar recursos del programa para el Fondo Emergente, ante las declaratorias de Estado de Calamidad Pública en 2022 por los eventos y siniestros acontecidos asociados a la temporada de lluvias. </w:t>
                      </w:r>
                    </w:p>
                    <w:p w14:paraId="04136E6C" w14:textId="77777777" w:rsidR="00B842A5" w:rsidRPr="00B842A5" w:rsidRDefault="00B842A5" w:rsidP="00B842A5">
                      <w:pPr>
                        <w:jc w:val="both"/>
                        <w:rPr>
                          <w:rFonts w:ascii="Times New Roman" w:eastAsiaTheme="minorHAnsi" w:hAnsi="Times New Roman" w:cs="Times New Roman"/>
                          <w:noProof/>
                          <w:color w:val="000000" w:themeColor="text1"/>
                          <w:sz w:val="20"/>
                          <w:szCs w:val="20"/>
                          <w:lang w:val="es-MX" w:eastAsia="es-GT"/>
                        </w:rPr>
                      </w:pPr>
                    </w:p>
                    <w:p w14:paraId="7AFDE8B1" w14:textId="787FE658" w:rsidR="00B842A5" w:rsidRPr="006F6A34" w:rsidRDefault="00B842A5" w:rsidP="00B842A5">
                      <w:pPr>
                        <w:jc w:val="both"/>
                        <w:rPr>
                          <w:rFonts w:ascii="Times New Roman" w:hAnsi="Times New Roman" w:cs="Times New Roman"/>
                          <w:b/>
                          <w:bCs/>
                          <w:sz w:val="20"/>
                          <w:szCs w:val="20"/>
                        </w:rPr>
                      </w:pPr>
                      <w:r w:rsidRPr="00B842A5">
                        <w:rPr>
                          <w:rFonts w:ascii="Times New Roman" w:eastAsiaTheme="minorHAnsi" w:hAnsi="Times New Roman" w:cs="Times New Roman"/>
                          <w:noProof/>
                          <w:color w:val="000000" w:themeColor="text1"/>
                          <w:sz w:val="20"/>
                          <w:szCs w:val="20"/>
                          <w:lang w:val="es-MX" w:eastAsia="es-GT"/>
                        </w:rPr>
                        <w:t>No obstante, en 2023 con el presupuesto asignado más la ampliación presupuestaria se tuvo un presupuesto de Q1,612.8 millones, siendo el nivel de ejecución de 95.7%.</w:t>
                      </w:r>
                    </w:p>
                    <w:p w14:paraId="79D4D086" w14:textId="77777777" w:rsidR="00B842A5" w:rsidRPr="006F6A34" w:rsidRDefault="00B842A5" w:rsidP="00B842A5">
                      <w:pPr>
                        <w:jc w:val="center"/>
                        <w:rPr>
                          <w:rFonts w:ascii="Times New Roman" w:hAnsi="Times New Roman" w:cs="Times New Roman"/>
                          <w:b/>
                          <w:bCs/>
                          <w:sz w:val="20"/>
                          <w:szCs w:val="20"/>
                        </w:rPr>
                      </w:pPr>
                    </w:p>
                    <w:p w14:paraId="1152B18D" w14:textId="6F8428F6" w:rsidR="00B842A5" w:rsidRPr="000015E4" w:rsidRDefault="000015E4" w:rsidP="000015E4">
                      <w:pPr>
                        <w:pStyle w:val="Descripcin"/>
                        <w:keepNext/>
                        <w:spacing w:after="0"/>
                        <w:jc w:val="center"/>
                        <w:rPr>
                          <w:sz w:val="22"/>
                          <w:szCs w:val="22"/>
                        </w:rPr>
                      </w:pPr>
                      <w:bookmarkStart w:id="74" w:name="_Toc160196919"/>
                      <w:r w:rsidRPr="000015E4">
                        <w:rPr>
                          <w:sz w:val="22"/>
                          <w:szCs w:val="22"/>
                        </w:rPr>
                        <w:t xml:space="preserve">Tabla </w:t>
                      </w:r>
                      <w:r w:rsidRPr="000015E4">
                        <w:rPr>
                          <w:sz w:val="22"/>
                          <w:szCs w:val="22"/>
                        </w:rPr>
                        <w:fldChar w:fldCharType="begin"/>
                      </w:r>
                      <w:r w:rsidRPr="000015E4">
                        <w:rPr>
                          <w:sz w:val="22"/>
                          <w:szCs w:val="22"/>
                        </w:rPr>
                        <w:instrText xml:space="preserve"> SEQ Tabla \* ARABIC </w:instrText>
                      </w:r>
                      <w:r w:rsidRPr="000015E4">
                        <w:rPr>
                          <w:sz w:val="22"/>
                          <w:szCs w:val="22"/>
                        </w:rPr>
                        <w:fldChar w:fldCharType="separate"/>
                      </w:r>
                      <w:r w:rsidR="00C015DC">
                        <w:rPr>
                          <w:noProof/>
                          <w:sz w:val="22"/>
                          <w:szCs w:val="22"/>
                        </w:rPr>
                        <w:t>4</w:t>
                      </w:r>
                      <w:r w:rsidRPr="000015E4">
                        <w:rPr>
                          <w:sz w:val="22"/>
                          <w:szCs w:val="22"/>
                        </w:rPr>
                        <w:fldChar w:fldCharType="end"/>
                      </w:r>
                      <w:r w:rsidRPr="000015E4">
                        <w:rPr>
                          <w:sz w:val="22"/>
                          <w:szCs w:val="22"/>
                        </w:rPr>
                        <w:t xml:space="preserve">.  </w:t>
                      </w:r>
                      <w:r w:rsidR="00B842A5" w:rsidRPr="000015E4">
                        <w:rPr>
                          <w:rFonts w:cs="Times New Roman"/>
                          <w:sz w:val="22"/>
                          <w:szCs w:val="22"/>
                        </w:rPr>
                        <w:t xml:space="preserve">Seguimiento de Programas de </w:t>
                      </w:r>
                      <w:r w:rsidRPr="000015E4">
                        <w:rPr>
                          <w:rFonts w:cs="Times New Roman"/>
                          <w:sz w:val="22"/>
                          <w:szCs w:val="22"/>
                        </w:rPr>
                        <w:t>Infraestructura</w:t>
                      </w:r>
                      <w:r w:rsidR="00B842A5" w:rsidRPr="000015E4">
                        <w:rPr>
                          <w:rFonts w:cs="Times New Roman"/>
                          <w:sz w:val="22"/>
                          <w:szCs w:val="22"/>
                        </w:rPr>
                        <w:t xml:space="preserve"> Estratégica</w:t>
                      </w:r>
                      <w:bookmarkEnd w:id="74"/>
                    </w:p>
                    <w:p w14:paraId="74509931" w14:textId="2C7218B5" w:rsidR="00B842A5" w:rsidRPr="00B842A5" w:rsidRDefault="00B842A5" w:rsidP="00B842A5">
                      <w:pPr>
                        <w:jc w:val="center"/>
                        <w:rPr>
                          <w:rFonts w:ascii="Times New Roman" w:hAnsi="Times New Roman" w:cs="Times New Roman"/>
                        </w:rPr>
                      </w:pPr>
                      <w:r w:rsidRPr="00B842A5">
                        <w:rPr>
                          <w:rFonts w:ascii="Times New Roman" w:hAnsi="Times New Roman" w:cs="Times New Roman"/>
                          <w:sz w:val="22"/>
                          <w:szCs w:val="22"/>
                        </w:rPr>
                        <w:t>Cifras en millones de quetzales y porcentajes de ejecución</w:t>
                      </w:r>
                    </w:p>
                    <w:p w14:paraId="5311D806" w14:textId="20A8D3B5" w:rsidR="00B842A5" w:rsidRDefault="00B842A5" w:rsidP="00B842A5">
                      <w:pPr>
                        <w:jc w:val="center"/>
                        <w:rPr>
                          <w:rFonts w:ascii="Times New Roman" w:hAnsi="Times New Roman" w:cs="Times New Roman"/>
                          <w:b/>
                          <w:bCs/>
                        </w:rPr>
                      </w:pPr>
                      <w:r w:rsidRPr="0053330C">
                        <w:rPr>
                          <w:noProof/>
                        </w:rPr>
                        <w:drawing>
                          <wp:inline distT="0" distB="0" distL="0" distR="0" wp14:anchorId="07CE7B35" wp14:editId="440D2A1E">
                            <wp:extent cx="5210533" cy="2417196"/>
                            <wp:effectExtent l="0" t="0" r="0" b="254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42008" cy="2431797"/>
                                    </a:xfrm>
                                    <a:prstGeom prst="rect">
                                      <a:avLst/>
                                    </a:prstGeom>
                                    <a:noFill/>
                                    <a:ln>
                                      <a:noFill/>
                                    </a:ln>
                                  </pic:spPr>
                                </pic:pic>
                              </a:graphicData>
                            </a:graphic>
                          </wp:inline>
                        </w:drawing>
                      </w:r>
                    </w:p>
                    <w:p w14:paraId="6E993552" w14:textId="2F1DF76F" w:rsidR="00B842A5" w:rsidRDefault="000015E4" w:rsidP="000015E4">
                      <w:pPr>
                        <w:rPr>
                          <w:rFonts w:ascii="Times New Roman" w:hAnsi="Times New Roman" w:cs="Times New Roman"/>
                          <w:b/>
                          <w:bCs/>
                        </w:rPr>
                      </w:pPr>
                      <w:r>
                        <w:rPr>
                          <w:rFonts w:ascii="Times New Roman" w:eastAsia="Times New Roman" w:hAnsi="Times New Roman" w:cs="Times New Roman"/>
                          <w:sz w:val="18"/>
                          <w:szCs w:val="22"/>
                          <w:lang w:val="es-ES_tradnl" w:eastAsia="es-ES"/>
                        </w:rPr>
                        <w:t xml:space="preserve">               </w:t>
                      </w:r>
                      <w:r w:rsidRPr="004A66F0">
                        <w:rPr>
                          <w:rFonts w:ascii="Times New Roman" w:eastAsia="Times New Roman" w:hAnsi="Times New Roman" w:cs="Times New Roman"/>
                          <w:sz w:val="18"/>
                          <w:szCs w:val="22"/>
                          <w:lang w:val="es-ES_tradnl" w:eastAsia="es-ES"/>
                        </w:rPr>
                        <w:t>Fuente: Dirección de Análisis y Política Fiscal</w:t>
                      </w:r>
                      <w:r>
                        <w:rPr>
                          <w:rFonts w:ascii="Times New Roman" w:eastAsia="Times New Roman" w:hAnsi="Times New Roman" w:cs="Times New Roman"/>
                          <w:sz w:val="18"/>
                          <w:szCs w:val="22"/>
                          <w:lang w:val="es-ES_tradnl" w:eastAsia="es-ES"/>
                        </w:rPr>
                        <w:t>.</w:t>
                      </w:r>
                    </w:p>
                    <w:p w14:paraId="069F6E26" w14:textId="77777777" w:rsidR="00B842A5" w:rsidRDefault="00B842A5" w:rsidP="00B842A5">
                      <w:pPr>
                        <w:jc w:val="center"/>
                        <w:rPr>
                          <w:rFonts w:ascii="Times New Roman" w:hAnsi="Times New Roman" w:cs="Times New Roman"/>
                          <w:b/>
                          <w:bCs/>
                        </w:rPr>
                      </w:pPr>
                    </w:p>
                    <w:p w14:paraId="2D5155E3" w14:textId="77777777" w:rsidR="00B842A5" w:rsidRDefault="00B842A5" w:rsidP="00B842A5">
                      <w:pPr>
                        <w:jc w:val="center"/>
                        <w:rPr>
                          <w:rFonts w:ascii="Times New Roman" w:hAnsi="Times New Roman" w:cs="Times New Roman"/>
                          <w:b/>
                          <w:bCs/>
                        </w:rPr>
                      </w:pPr>
                    </w:p>
                    <w:p w14:paraId="2458B424" w14:textId="77777777" w:rsidR="00B842A5" w:rsidRDefault="00B842A5" w:rsidP="00B842A5">
                      <w:pPr>
                        <w:jc w:val="center"/>
                        <w:rPr>
                          <w:rFonts w:ascii="Times New Roman" w:hAnsi="Times New Roman" w:cs="Times New Roman"/>
                          <w:b/>
                          <w:bCs/>
                        </w:rPr>
                      </w:pPr>
                    </w:p>
                    <w:p w14:paraId="7A039846" w14:textId="77777777" w:rsidR="00B842A5" w:rsidRDefault="00B842A5" w:rsidP="00B842A5">
                      <w:pPr>
                        <w:jc w:val="center"/>
                        <w:rPr>
                          <w:rFonts w:ascii="Times New Roman" w:hAnsi="Times New Roman" w:cs="Times New Roman"/>
                          <w:b/>
                          <w:bCs/>
                        </w:rPr>
                      </w:pPr>
                    </w:p>
                    <w:p w14:paraId="76F5B567" w14:textId="77777777" w:rsidR="00B842A5" w:rsidRDefault="00B842A5" w:rsidP="00B842A5">
                      <w:pPr>
                        <w:jc w:val="center"/>
                        <w:rPr>
                          <w:rFonts w:ascii="Times New Roman" w:hAnsi="Times New Roman" w:cs="Times New Roman"/>
                          <w:b/>
                          <w:bCs/>
                        </w:rPr>
                      </w:pPr>
                    </w:p>
                    <w:p w14:paraId="4B3D39E9" w14:textId="77777777" w:rsidR="00B842A5" w:rsidRDefault="00B842A5" w:rsidP="00B842A5">
                      <w:pPr>
                        <w:jc w:val="center"/>
                        <w:rPr>
                          <w:rFonts w:ascii="Times New Roman" w:hAnsi="Times New Roman" w:cs="Times New Roman"/>
                          <w:b/>
                          <w:bCs/>
                        </w:rPr>
                      </w:pPr>
                    </w:p>
                    <w:p w14:paraId="06E3857A" w14:textId="77777777" w:rsidR="00B842A5" w:rsidRDefault="00B842A5" w:rsidP="00B842A5">
                      <w:pPr>
                        <w:jc w:val="center"/>
                        <w:rPr>
                          <w:rFonts w:ascii="Times New Roman" w:hAnsi="Times New Roman" w:cs="Times New Roman"/>
                          <w:b/>
                          <w:bCs/>
                        </w:rPr>
                      </w:pPr>
                    </w:p>
                    <w:p w14:paraId="61844706" w14:textId="77777777" w:rsidR="00B842A5" w:rsidRDefault="00B842A5" w:rsidP="00B842A5">
                      <w:pPr>
                        <w:jc w:val="center"/>
                        <w:rPr>
                          <w:rFonts w:ascii="Times New Roman" w:hAnsi="Times New Roman" w:cs="Times New Roman"/>
                          <w:b/>
                          <w:bCs/>
                        </w:rPr>
                      </w:pPr>
                    </w:p>
                    <w:p w14:paraId="2AA5A9BE" w14:textId="77777777" w:rsidR="00B842A5" w:rsidRPr="008902B7" w:rsidRDefault="00B842A5" w:rsidP="00B842A5">
                      <w:pPr>
                        <w:jc w:val="center"/>
                        <w:rPr>
                          <w:rFonts w:ascii="Times New Roman" w:hAnsi="Times New Roman" w:cs="Times New Roman"/>
                          <w:b/>
                          <w:bCs/>
                        </w:rPr>
                      </w:pPr>
                    </w:p>
                  </w:txbxContent>
                </v:textbox>
                <w10:anchorlock/>
              </v:rect>
            </w:pict>
          </mc:Fallback>
        </mc:AlternateContent>
      </w:r>
    </w:p>
    <w:p w14:paraId="09D4DA0B" w14:textId="45BD9B95" w:rsidR="0053330C" w:rsidRPr="0053330C" w:rsidRDefault="0053330C" w:rsidP="0039645E">
      <w:pPr>
        <w:jc w:val="both"/>
        <w:rPr>
          <w:rFonts w:ascii="Times New Roman" w:eastAsia="Times New Roman" w:hAnsi="Times New Roman" w:cs="Times New Roman"/>
          <w:sz w:val="20"/>
          <w:szCs w:val="22"/>
          <w:lang w:val="es-MX"/>
        </w:rPr>
      </w:pPr>
    </w:p>
    <w:p w14:paraId="160676D4" w14:textId="11095260" w:rsidR="0053330C" w:rsidRDefault="0053330C" w:rsidP="0039645E">
      <w:pPr>
        <w:jc w:val="both"/>
        <w:rPr>
          <w:rFonts w:ascii="Times New Roman" w:eastAsia="Times New Roman" w:hAnsi="Times New Roman" w:cs="Times New Roman"/>
          <w:sz w:val="20"/>
          <w:szCs w:val="22"/>
        </w:rPr>
      </w:pPr>
    </w:p>
    <w:p w14:paraId="789A510C" w14:textId="45417259" w:rsidR="0039645E" w:rsidRPr="004A66F0" w:rsidRDefault="0039645E" w:rsidP="0039645E">
      <w:pPr>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t>Al finalizar 202</w:t>
      </w:r>
      <w:r w:rsidR="000C355C">
        <w:rPr>
          <w:rFonts w:ascii="Times New Roman" w:eastAsia="Times New Roman" w:hAnsi="Times New Roman" w:cs="Times New Roman"/>
          <w:sz w:val="22"/>
          <w:szCs w:val="22"/>
          <w:lang w:val="es-ES_tradnl" w:eastAsia="es-ES"/>
        </w:rPr>
        <w:t>3</w:t>
      </w:r>
      <w:r w:rsidRPr="004A66F0">
        <w:rPr>
          <w:rFonts w:ascii="Times New Roman" w:eastAsia="Times New Roman" w:hAnsi="Times New Roman" w:cs="Times New Roman"/>
          <w:sz w:val="22"/>
          <w:szCs w:val="22"/>
          <w:lang w:val="es-ES_tradnl" w:eastAsia="es-ES"/>
        </w:rPr>
        <w:t>, el grado de ejecución institucional es mayor al obtenido en 202</w:t>
      </w:r>
      <w:r w:rsidR="000C355C">
        <w:rPr>
          <w:rFonts w:ascii="Times New Roman" w:eastAsia="Times New Roman" w:hAnsi="Times New Roman" w:cs="Times New Roman"/>
          <w:sz w:val="22"/>
          <w:szCs w:val="22"/>
          <w:lang w:val="es-ES_tradnl" w:eastAsia="es-ES"/>
        </w:rPr>
        <w:t>2</w:t>
      </w:r>
      <w:r w:rsidRPr="004A66F0">
        <w:rPr>
          <w:rFonts w:ascii="Times New Roman" w:eastAsia="Times New Roman" w:hAnsi="Times New Roman" w:cs="Times New Roman"/>
          <w:sz w:val="22"/>
          <w:szCs w:val="22"/>
          <w:lang w:val="es-ES_tradnl" w:eastAsia="es-ES"/>
        </w:rPr>
        <w:t xml:space="preserve"> (</w:t>
      </w:r>
      <w:r w:rsidR="000C355C">
        <w:rPr>
          <w:rFonts w:ascii="Times New Roman" w:eastAsia="Times New Roman" w:hAnsi="Times New Roman" w:cs="Times New Roman"/>
          <w:sz w:val="22"/>
          <w:szCs w:val="22"/>
          <w:lang w:val="es-ES_tradnl" w:eastAsia="es-ES"/>
        </w:rPr>
        <w:t>96</w:t>
      </w:r>
      <w:r w:rsidRPr="004A66F0">
        <w:rPr>
          <w:rFonts w:ascii="Times New Roman" w:eastAsia="Times New Roman" w:hAnsi="Times New Roman" w:cs="Times New Roman"/>
          <w:sz w:val="22"/>
          <w:szCs w:val="22"/>
          <w:lang w:val="es-ES_tradnl" w:eastAsia="es-ES"/>
        </w:rPr>
        <w:t>.</w:t>
      </w:r>
      <w:r w:rsidR="000C355C">
        <w:rPr>
          <w:rFonts w:ascii="Times New Roman" w:eastAsia="Times New Roman" w:hAnsi="Times New Roman" w:cs="Times New Roman"/>
          <w:sz w:val="22"/>
          <w:szCs w:val="22"/>
          <w:lang w:val="es-ES_tradnl" w:eastAsia="es-ES"/>
        </w:rPr>
        <w:t>2</w:t>
      </w:r>
      <w:r w:rsidRPr="004A66F0">
        <w:rPr>
          <w:rFonts w:ascii="Times New Roman" w:eastAsia="Times New Roman" w:hAnsi="Times New Roman" w:cs="Times New Roman"/>
          <w:sz w:val="22"/>
          <w:szCs w:val="22"/>
          <w:lang w:val="es-ES_tradnl" w:eastAsia="es-ES"/>
        </w:rPr>
        <w:t xml:space="preserve">%), </w:t>
      </w:r>
      <w:r w:rsidR="000C355C">
        <w:rPr>
          <w:rFonts w:ascii="Times New Roman" w:eastAsia="Times New Roman" w:hAnsi="Times New Roman" w:cs="Times New Roman"/>
          <w:sz w:val="22"/>
          <w:szCs w:val="22"/>
          <w:lang w:val="es-ES_tradnl" w:eastAsia="es-ES"/>
        </w:rPr>
        <w:t xml:space="preserve">siendo una de las ejecuciones más altas en los últimos años. </w:t>
      </w:r>
      <w:r w:rsidRPr="004A66F0">
        <w:rPr>
          <w:rFonts w:ascii="Times New Roman" w:eastAsia="Times New Roman" w:hAnsi="Times New Roman" w:cs="Times New Roman"/>
          <w:sz w:val="22"/>
          <w:szCs w:val="22"/>
          <w:lang w:val="es-ES_tradnl" w:eastAsia="es-ES"/>
        </w:rPr>
        <w:t>Con ello se tiene una variación interanual de</w:t>
      </w:r>
      <w:r w:rsidR="00BA097F">
        <w:rPr>
          <w:rFonts w:ascii="Times New Roman" w:eastAsia="Times New Roman" w:hAnsi="Times New Roman" w:cs="Times New Roman"/>
          <w:sz w:val="22"/>
          <w:szCs w:val="22"/>
          <w:lang w:val="es-ES_tradnl" w:eastAsia="es-ES"/>
        </w:rPr>
        <w:t xml:space="preserve"> </w:t>
      </w:r>
      <w:r w:rsidRPr="004A66F0">
        <w:rPr>
          <w:rFonts w:ascii="Times New Roman" w:eastAsia="Times New Roman" w:hAnsi="Times New Roman" w:cs="Times New Roman"/>
          <w:sz w:val="22"/>
          <w:szCs w:val="22"/>
          <w:lang w:val="es-ES_tradnl" w:eastAsia="es-ES"/>
        </w:rPr>
        <w:t>l</w:t>
      </w:r>
      <w:r w:rsidR="00BA097F">
        <w:rPr>
          <w:rFonts w:ascii="Times New Roman" w:eastAsia="Times New Roman" w:hAnsi="Times New Roman" w:cs="Times New Roman"/>
          <w:sz w:val="22"/>
          <w:szCs w:val="22"/>
          <w:lang w:val="es-ES_tradnl" w:eastAsia="es-ES"/>
        </w:rPr>
        <w:t>os</w:t>
      </w:r>
      <w:r w:rsidRPr="004A66F0">
        <w:rPr>
          <w:rFonts w:ascii="Times New Roman" w:eastAsia="Times New Roman" w:hAnsi="Times New Roman" w:cs="Times New Roman"/>
          <w:sz w:val="22"/>
          <w:szCs w:val="22"/>
          <w:lang w:val="es-ES_tradnl" w:eastAsia="es-ES"/>
        </w:rPr>
        <w:t xml:space="preserve"> </w:t>
      </w:r>
      <w:r w:rsidR="00BA097F">
        <w:rPr>
          <w:rFonts w:ascii="Times New Roman" w:eastAsia="Times New Roman" w:hAnsi="Times New Roman" w:cs="Times New Roman"/>
          <w:sz w:val="22"/>
          <w:szCs w:val="22"/>
          <w:lang w:val="es-ES_tradnl" w:eastAsia="es-ES"/>
        </w:rPr>
        <w:t xml:space="preserve">egresos </w:t>
      </w:r>
      <w:r w:rsidRPr="004A66F0">
        <w:rPr>
          <w:rFonts w:ascii="Times New Roman" w:eastAsia="Times New Roman" w:hAnsi="Times New Roman" w:cs="Times New Roman"/>
          <w:sz w:val="22"/>
          <w:szCs w:val="22"/>
          <w:lang w:val="es-ES_tradnl" w:eastAsia="es-ES"/>
        </w:rPr>
        <w:t xml:space="preserve">de </w:t>
      </w:r>
      <w:r w:rsidR="000C355C">
        <w:rPr>
          <w:rFonts w:ascii="Times New Roman" w:eastAsia="Times New Roman" w:hAnsi="Times New Roman" w:cs="Times New Roman"/>
          <w:sz w:val="22"/>
          <w:szCs w:val="22"/>
          <w:lang w:val="es-ES_tradnl" w:eastAsia="es-ES"/>
        </w:rPr>
        <w:t>5</w:t>
      </w:r>
      <w:r w:rsidRPr="004A66F0">
        <w:rPr>
          <w:rFonts w:ascii="Times New Roman" w:eastAsia="Times New Roman" w:hAnsi="Times New Roman" w:cs="Times New Roman"/>
          <w:sz w:val="22"/>
          <w:szCs w:val="22"/>
          <w:lang w:val="es-ES_tradnl" w:eastAsia="es-ES"/>
        </w:rPr>
        <w:t>.</w:t>
      </w:r>
      <w:r w:rsidR="000C355C">
        <w:rPr>
          <w:rFonts w:ascii="Times New Roman" w:eastAsia="Times New Roman" w:hAnsi="Times New Roman" w:cs="Times New Roman"/>
          <w:sz w:val="22"/>
          <w:szCs w:val="22"/>
          <w:lang w:val="es-ES_tradnl" w:eastAsia="es-ES"/>
        </w:rPr>
        <w:t>9</w:t>
      </w:r>
      <w:r w:rsidRPr="004A66F0">
        <w:rPr>
          <w:rFonts w:ascii="Times New Roman" w:eastAsia="Times New Roman" w:hAnsi="Times New Roman" w:cs="Times New Roman"/>
          <w:sz w:val="22"/>
          <w:szCs w:val="22"/>
          <w:lang w:val="es-ES_tradnl" w:eastAsia="es-ES"/>
        </w:rPr>
        <w:t>% (equivalente a Q</w:t>
      </w:r>
      <w:r w:rsidR="000C355C">
        <w:rPr>
          <w:rFonts w:ascii="Times New Roman" w:eastAsia="Times New Roman" w:hAnsi="Times New Roman" w:cs="Times New Roman"/>
          <w:sz w:val="22"/>
          <w:szCs w:val="22"/>
          <w:lang w:val="es-ES_tradnl" w:eastAsia="es-ES"/>
        </w:rPr>
        <w:t>6</w:t>
      </w:r>
      <w:r w:rsidRPr="004A66F0">
        <w:rPr>
          <w:rFonts w:ascii="Times New Roman" w:eastAsia="Times New Roman" w:hAnsi="Times New Roman" w:cs="Times New Roman"/>
          <w:sz w:val="22"/>
          <w:szCs w:val="22"/>
          <w:lang w:val="es-ES_tradnl" w:eastAsia="es-ES"/>
        </w:rPr>
        <w:t>,</w:t>
      </w:r>
      <w:r w:rsidR="000C355C">
        <w:rPr>
          <w:rFonts w:ascii="Times New Roman" w:eastAsia="Times New Roman" w:hAnsi="Times New Roman" w:cs="Times New Roman"/>
          <w:sz w:val="22"/>
          <w:szCs w:val="22"/>
          <w:lang w:val="es-ES_tradnl" w:eastAsia="es-ES"/>
        </w:rPr>
        <w:t>438</w:t>
      </w:r>
      <w:r w:rsidRPr="004A66F0">
        <w:rPr>
          <w:rFonts w:ascii="Times New Roman" w:eastAsia="Times New Roman" w:hAnsi="Times New Roman" w:cs="Times New Roman"/>
          <w:sz w:val="22"/>
          <w:szCs w:val="22"/>
          <w:lang w:val="es-ES_tradnl" w:eastAsia="es-ES"/>
        </w:rPr>
        <w:t>.</w:t>
      </w:r>
      <w:r w:rsidR="000C355C">
        <w:rPr>
          <w:rFonts w:ascii="Times New Roman" w:eastAsia="Times New Roman" w:hAnsi="Times New Roman" w:cs="Times New Roman"/>
          <w:sz w:val="22"/>
          <w:szCs w:val="22"/>
          <w:lang w:val="es-ES_tradnl" w:eastAsia="es-ES"/>
        </w:rPr>
        <w:t>9</w:t>
      </w:r>
      <w:r w:rsidRPr="004A66F0">
        <w:rPr>
          <w:rFonts w:ascii="Times New Roman" w:eastAsia="Times New Roman" w:hAnsi="Times New Roman" w:cs="Times New Roman"/>
          <w:sz w:val="22"/>
          <w:szCs w:val="22"/>
          <w:lang w:val="es-ES_tradnl" w:eastAsia="es-ES"/>
        </w:rPr>
        <w:t xml:space="preserve"> millones).</w:t>
      </w:r>
    </w:p>
    <w:p w14:paraId="5324355D" w14:textId="77777777" w:rsidR="0039645E" w:rsidRPr="004A66F0" w:rsidRDefault="0039645E" w:rsidP="0039645E">
      <w:pPr>
        <w:jc w:val="both"/>
        <w:rPr>
          <w:rFonts w:ascii="Times New Roman" w:eastAsia="Times New Roman" w:hAnsi="Times New Roman" w:cs="Times New Roman"/>
          <w:sz w:val="22"/>
          <w:szCs w:val="22"/>
          <w:lang w:val="es-ES_tradnl" w:eastAsia="es-ES"/>
        </w:rPr>
      </w:pPr>
    </w:p>
    <w:p w14:paraId="67A477D9" w14:textId="7D48CD8B" w:rsidR="00400EB0" w:rsidRDefault="0039645E" w:rsidP="0039645E">
      <w:pPr>
        <w:jc w:val="both"/>
        <w:rPr>
          <w:rFonts w:ascii="Times New Roman" w:eastAsia="Times New Roman" w:hAnsi="Times New Roman" w:cs="Times New Roman"/>
          <w:sz w:val="22"/>
          <w:szCs w:val="22"/>
          <w:lang w:val="es-ES_tradnl" w:eastAsia="es-ES"/>
        </w:rPr>
      </w:pPr>
      <w:r w:rsidRPr="00F63F0E">
        <w:rPr>
          <w:rFonts w:ascii="Times New Roman" w:eastAsia="Times New Roman" w:hAnsi="Times New Roman" w:cs="Times New Roman"/>
          <w:sz w:val="22"/>
          <w:szCs w:val="22"/>
          <w:lang w:val="es-ES_tradnl" w:eastAsia="es-ES"/>
        </w:rPr>
        <w:t xml:space="preserve">Adicionalmente, mientras que en 2022 el gasto público estuvo enfocado en subsidios de carácter temporal y en intervenciones de apoyo a la población guatemalteca, </w:t>
      </w:r>
      <w:r w:rsidR="00400EB0" w:rsidRPr="00F63F0E">
        <w:rPr>
          <w:rFonts w:ascii="Times New Roman" w:eastAsia="Times New Roman" w:hAnsi="Times New Roman" w:cs="Times New Roman"/>
          <w:sz w:val="22"/>
          <w:szCs w:val="22"/>
          <w:lang w:val="es-ES_tradnl" w:eastAsia="es-ES"/>
        </w:rPr>
        <w:t xml:space="preserve">en 2023 el gasto público se enfocó en el seguimiento de programas de infraestructura estratégica (Decreto </w:t>
      </w:r>
      <w:r w:rsidR="00B32984">
        <w:rPr>
          <w:rFonts w:ascii="Times New Roman" w:eastAsia="Times New Roman" w:hAnsi="Times New Roman" w:cs="Times New Roman"/>
          <w:sz w:val="22"/>
          <w:szCs w:val="22"/>
          <w:lang w:val="es-ES_tradnl" w:eastAsia="es-ES"/>
        </w:rPr>
        <w:t>N</w:t>
      </w:r>
      <w:r w:rsidR="00400EB0" w:rsidRPr="00F63F0E">
        <w:rPr>
          <w:rFonts w:ascii="Times New Roman" w:eastAsia="Times New Roman" w:hAnsi="Times New Roman" w:cs="Times New Roman"/>
          <w:sz w:val="22"/>
          <w:szCs w:val="22"/>
          <w:lang w:val="es-ES_tradnl" w:eastAsia="es-ES"/>
        </w:rPr>
        <w:t>úmero 21-2022) dado que no pudieron ser ejecutados en 2022 por la temporada ciclónica y de lluvias, asimismo el enfoque estuvo en</w:t>
      </w:r>
      <w:r w:rsidR="00F63F0E" w:rsidRPr="00F63F0E">
        <w:rPr>
          <w:rFonts w:ascii="Times New Roman" w:eastAsia="Times New Roman" w:hAnsi="Times New Roman" w:cs="Times New Roman"/>
          <w:sz w:val="22"/>
          <w:szCs w:val="22"/>
          <w:lang w:val="es-ES_tradnl" w:eastAsia="es-ES"/>
        </w:rPr>
        <w:t xml:space="preserve"> la ejecución de programas en atención a los Estados de Calamidad Pública que venían de años anteriores, como el COVID-19 en 2020 y el ciclón tropical Julia en 2022, por último en el año se mantuvieron subsidios temporales aunque el monto y tiempo del apoyo fue menor y </w:t>
      </w:r>
      <w:r w:rsidR="00BA097F">
        <w:rPr>
          <w:rFonts w:ascii="Times New Roman" w:eastAsia="Times New Roman" w:hAnsi="Times New Roman" w:cs="Times New Roman"/>
          <w:sz w:val="22"/>
          <w:szCs w:val="22"/>
          <w:lang w:val="es-ES_tradnl" w:eastAsia="es-ES"/>
        </w:rPr>
        <w:t>únicamente</w:t>
      </w:r>
      <w:r w:rsidR="00F63F0E" w:rsidRPr="00F63F0E">
        <w:rPr>
          <w:rFonts w:ascii="Times New Roman" w:eastAsia="Times New Roman" w:hAnsi="Times New Roman" w:cs="Times New Roman"/>
          <w:sz w:val="22"/>
          <w:szCs w:val="22"/>
          <w:lang w:val="es-ES_tradnl" w:eastAsia="es-ES"/>
        </w:rPr>
        <w:t xml:space="preserve"> enfocado en</w:t>
      </w:r>
      <w:r w:rsidR="00BA097F">
        <w:rPr>
          <w:rFonts w:ascii="Times New Roman" w:eastAsia="Times New Roman" w:hAnsi="Times New Roman" w:cs="Times New Roman"/>
          <w:sz w:val="22"/>
          <w:szCs w:val="22"/>
          <w:lang w:val="es-ES_tradnl" w:eastAsia="es-ES"/>
        </w:rPr>
        <w:t xml:space="preserve"> el</w:t>
      </w:r>
      <w:r w:rsidR="00F63F0E" w:rsidRPr="00F63F0E">
        <w:rPr>
          <w:rFonts w:ascii="Times New Roman" w:eastAsia="Times New Roman" w:hAnsi="Times New Roman" w:cs="Times New Roman"/>
          <w:sz w:val="22"/>
          <w:szCs w:val="22"/>
          <w:lang w:val="es-ES_tradnl" w:eastAsia="es-ES"/>
        </w:rPr>
        <w:t xml:space="preserve"> gas propano y ampliación de la tarifa social de la energía eléctrica. </w:t>
      </w:r>
    </w:p>
    <w:p w14:paraId="2E11A749" w14:textId="764B61E0" w:rsidR="00B970AF" w:rsidRDefault="00B970AF" w:rsidP="0039645E">
      <w:pPr>
        <w:jc w:val="both"/>
        <w:rPr>
          <w:rFonts w:ascii="Times New Roman" w:eastAsia="Times New Roman" w:hAnsi="Times New Roman" w:cs="Times New Roman"/>
          <w:sz w:val="22"/>
          <w:szCs w:val="22"/>
          <w:lang w:val="es-ES_tradnl" w:eastAsia="es-ES"/>
        </w:rPr>
      </w:pPr>
    </w:p>
    <w:p w14:paraId="2F20224E" w14:textId="0DEFAC65" w:rsidR="0039645E" w:rsidRDefault="00B970AF" w:rsidP="0039645E">
      <w:pPr>
        <w:jc w:val="both"/>
        <w:rPr>
          <w:rFonts w:ascii="Times New Roman" w:eastAsia="Times New Roman" w:hAnsi="Times New Roman" w:cs="Times New Roman"/>
          <w:sz w:val="22"/>
          <w:szCs w:val="22"/>
          <w:lang w:val="es-ES_tradnl" w:eastAsia="es-ES"/>
        </w:rPr>
      </w:pPr>
      <w:r>
        <w:rPr>
          <w:rFonts w:ascii="Times New Roman" w:eastAsia="Times New Roman" w:hAnsi="Times New Roman" w:cs="Times New Roman"/>
          <w:sz w:val="22"/>
          <w:szCs w:val="22"/>
          <w:lang w:val="es-ES_tradnl" w:eastAsia="es-ES"/>
        </w:rPr>
        <w:t>Para 2023 la orientación de l</w:t>
      </w:r>
      <w:r w:rsidRPr="00B970AF">
        <w:rPr>
          <w:rFonts w:ascii="Times New Roman" w:eastAsia="Times New Roman" w:hAnsi="Times New Roman" w:cs="Times New Roman"/>
          <w:sz w:val="22"/>
          <w:szCs w:val="22"/>
          <w:lang w:val="es-ES_tradnl" w:eastAsia="es-ES"/>
        </w:rPr>
        <w:t>a política fiscal fue contractiva</w:t>
      </w:r>
      <w:r>
        <w:rPr>
          <w:rFonts w:ascii="Times New Roman" w:eastAsia="Times New Roman" w:hAnsi="Times New Roman" w:cs="Times New Roman"/>
          <w:sz w:val="22"/>
          <w:szCs w:val="22"/>
          <w:lang w:val="es-ES_tradnl" w:eastAsia="es-ES"/>
        </w:rPr>
        <w:t xml:space="preserve"> y procíclica</w:t>
      </w:r>
      <w:r w:rsidRPr="00B970AF">
        <w:rPr>
          <w:rFonts w:ascii="Times New Roman" w:eastAsia="Times New Roman" w:hAnsi="Times New Roman" w:cs="Times New Roman"/>
          <w:sz w:val="22"/>
          <w:szCs w:val="22"/>
          <w:lang w:val="es-ES_tradnl" w:eastAsia="es-ES"/>
        </w:rPr>
        <w:t>,</w:t>
      </w:r>
      <w:r>
        <w:rPr>
          <w:rFonts w:ascii="Times New Roman" w:eastAsia="Times New Roman" w:hAnsi="Times New Roman" w:cs="Times New Roman"/>
          <w:sz w:val="22"/>
          <w:szCs w:val="22"/>
          <w:lang w:val="es-ES_tradnl" w:eastAsia="es-ES"/>
        </w:rPr>
        <w:t xml:space="preserve"> por la reducción de gastos y estímulos creados en 2022, mientras el gasto público se contrajo en términos del PIB, lo cual no permitió mayor dinamismo en la economía. </w:t>
      </w:r>
    </w:p>
    <w:p w14:paraId="366F0B9F" w14:textId="6B84742A" w:rsidR="00B970AF" w:rsidRDefault="00B970AF" w:rsidP="0039645E">
      <w:pPr>
        <w:jc w:val="both"/>
        <w:rPr>
          <w:rFonts w:ascii="Times New Roman" w:eastAsia="Times New Roman" w:hAnsi="Times New Roman" w:cs="Times New Roman"/>
          <w:sz w:val="22"/>
          <w:szCs w:val="22"/>
          <w:lang w:val="es-ES_tradnl" w:eastAsia="es-ES"/>
        </w:rPr>
      </w:pPr>
    </w:p>
    <w:p w14:paraId="5369675E" w14:textId="0DAF6196" w:rsidR="004245AE" w:rsidRDefault="004245AE" w:rsidP="0039645E">
      <w:pPr>
        <w:jc w:val="both"/>
        <w:rPr>
          <w:rFonts w:ascii="Times New Roman" w:eastAsia="Times New Roman" w:hAnsi="Times New Roman" w:cs="Times New Roman"/>
          <w:sz w:val="22"/>
          <w:szCs w:val="22"/>
          <w:lang w:val="es-ES_tradnl" w:eastAsia="es-ES"/>
        </w:rPr>
      </w:pPr>
    </w:p>
    <w:p w14:paraId="1C3F6234" w14:textId="37836AB9" w:rsidR="004245AE" w:rsidRDefault="004245AE" w:rsidP="0039645E">
      <w:pPr>
        <w:jc w:val="both"/>
        <w:rPr>
          <w:rFonts w:ascii="Times New Roman" w:eastAsia="Times New Roman" w:hAnsi="Times New Roman" w:cs="Times New Roman"/>
          <w:sz w:val="22"/>
          <w:szCs w:val="22"/>
          <w:lang w:val="es-ES_tradnl" w:eastAsia="es-ES"/>
        </w:rPr>
      </w:pPr>
    </w:p>
    <w:p w14:paraId="47A1FCFE" w14:textId="77777777" w:rsidR="004245AE" w:rsidRDefault="004245AE" w:rsidP="0039645E">
      <w:pPr>
        <w:jc w:val="both"/>
        <w:rPr>
          <w:rFonts w:ascii="Times New Roman" w:eastAsia="Times New Roman" w:hAnsi="Times New Roman" w:cs="Times New Roman"/>
          <w:sz w:val="22"/>
          <w:szCs w:val="22"/>
          <w:lang w:val="es-ES_tradnl" w:eastAsia="es-ES"/>
        </w:rPr>
      </w:pPr>
    </w:p>
    <w:p w14:paraId="12E08FA0" w14:textId="6C20E451" w:rsidR="0039645E" w:rsidRPr="00D26B7C" w:rsidRDefault="006E129B" w:rsidP="004245AE">
      <w:pPr>
        <w:keepNext/>
        <w:keepLines/>
        <w:tabs>
          <w:tab w:val="left" w:pos="1134"/>
        </w:tabs>
        <w:ind w:left="567" w:hanging="283"/>
        <w:jc w:val="both"/>
        <w:outlineLvl w:val="1"/>
        <w:rPr>
          <w:rFonts w:ascii="Times New Roman" w:eastAsiaTheme="majorEastAsia" w:hAnsi="Times New Roman" w:cs="Times New Roman"/>
          <w:b/>
          <w:bCs/>
        </w:rPr>
      </w:pPr>
      <w:bookmarkStart w:id="75" w:name="_Toc62724292"/>
      <w:bookmarkStart w:id="76" w:name="_Toc94259643"/>
      <w:bookmarkStart w:id="77" w:name="_Toc125538995"/>
      <w:bookmarkStart w:id="78" w:name="_Toc160196853"/>
      <w:r>
        <w:rPr>
          <w:rFonts w:ascii="Times New Roman" w:eastAsiaTheme="majorEastAsia" w:hAnsi="Times New Roman" w:cs="Times New Roman"/>
          <w:b/>
          <w:bCs/>
        </w:rPr>
        <w:lastRenderedPageBreak/>
        <w:t xml:space="preserve">2.5 </w:t>
      </w:r>
      <w:r w:rsidR="00D26B7C">
        <w:rPr>
          <w:rFonts w:ascii="Times New Roman" w:eastAsiaTheme="majorEastAsia" w:hAnsi="Times New Roman" w:cs="Times New Roman"/>
          <w:b/>
          <w:bCs/>
        </w:rPr>
        <w:t>I</w:t>
      </w:r>
      <w:r w:rsidR="0039645E" w:rsidRPr="00D26B7C">
        <w:rPr>
          <w:rFonts w:ascii="Times New Roman" w:eastAsiaTheme="majorEastAsia" w:hAnsi="Times New Roman" w:cs="Times New Roman"/>
          <w:b/>
          <w:bCs/>
        </w:rPr>
        <w:t xml:space="preserve">ntervenciones realizadas para la atención de </w:t>
      </w:r>
      <w:bookmarkEnd w:id="75"/>
      <w:bookmarkEnd w:id="76"/>
      <w:r w:rsidR="0039645E" w:rsidRPr="00D26B7C">
        <w:rPr>
          <w:rFonts w:ascii="Times New Roman" w:eastAsiaTheme="majorEastAsia" w:hAnsi="Times New Roman" w:cs="Times New Roman"/>
          <w:b/>
          <w:bCs/>
        </w:rPr>
        <w:t xml:space="preserve">los Estados de Calamidad Pública </w:t>
      </w:r>
      <w:bookmarkEnd w:id="77"/>
      <w:r w:rsidR="00D26B7C">
        <w:rPr>
          <w:rFonts w:ascii="Times New Roman" w:eastAsiaTheme="majorEastAsia" w:hAnsi="Times New Roman" w:cs="Times New Roman"/>
          <w:b/>
          <w:bCs/>
        </w:rPr>
        <w:t>en 2023</w:t>
      </w:r>
      <w:bookmarkEnd w:id="78"/>
    </w:p>
    <w:p w14:paraId="4BF29A88" w14:textId="77777777" w:rsidR="0039645E" w:rsidRPr="004A66F0" w:rsidRDefault="0039645E" w:rsidP="0039645E">
      <w:pPr>
        <w:jc w:val="both"/>
        <w:rPr>
          <w:rFonts w:ascii="Times New Roman" w:eastAsia="Times New Roman" w:hAnsi="Times New Roman" w:cs="Times New Roman"/>
          <w:sz w:val="22"/>
          <w:szCs w:val="36"/>
          <w:lang w:val="es-ES_tradnl" w:eastAsia="es-ES"/>
        </w:rPr>
      </w:pPr>
    </w:p>
    <w:p w14:paraId="3C0D7A9B" w14:textId="50611CCF" w:rsidR="00C64042" w:rsidRDefault="00C64042" w:rsidP="0039645E">
      <w:pPr>
        <w:jc w:val="both"/>
        <w:rPr>
          <w:rFonts w:ascii="Times New Roman" w:eastAsia="Times New Roman" w:hAnsi="Times New Roman" w:cs="Times New Roman"/>
          <w:sz w:val="22"/>
          <w:szCs w:val="22"/>
          <w:lang w:val="es-ES_tradnl" w:eastAsia="es-ES"/>
        </w:rPr>
      </w:pPr>
      <w:r>
        <w:rPr>
          <w:rFonts w:ascii="Times New Roman" w:eastAsia="Times New Roman" w:hAnsi="Times New Roman" w:cs="Times New Roman"/>
          <w:sz w:val="22"/>
          <w:szCs w:val="22"/>
          <w:lang w:val="es-ES_tradnl" w:eastAsia="es-ES"/>
        </w:rPr>
        <w:t xml:space="preserve">En 2023 se reportan intervenciones importantes en el programa de Atención por Desastres y Calamidades Públicas, siendo el subprograma enfocado por la </w:t>
      </w:r>
      <w:r w:rsidRPr="00C64042">
        <w:rPr>
          <w:rFonts w:ascii="Times New Roman" w:eastAsia="Times New Roman" w:hAnsi="Times New Roman" w:cs="Times New Roman"/>
          <w:sz w:val="22"/>
          <w:szCs w:val="22"/>
          <w:lang w:val="es-ES_tradnl" w:eastAsia="es-ES"/>
        </w:rPr>
        <w:t>emergencia COVID-19</w:t>
      </w:r>
      <w:r w:rsidR="004C3440">
        <w:rPr>
          <w:rFonts w:ascii="Times New Roman" w:eastAsia="Times New Roman" w:hAnsi="Times New Roman" w:cs="Times New Roman"/>
          <w:sz w:val="22"/>
          <w:szCs w:val="22"/>
          <w:lang w:val="es-ES_tradnl" w:eastAsia="es-ES"/>
        </w:rPr>
        <w:t xml:space="preserve"> la que reporta la mayor ejecución, estando a cargo del Ministerio </w:t>
      </w:r>
      <w:r w:rsidR="004C3440" w:rsidRPr="004C3440">
        <w:rPr>
          <w:rFonts w:ascii="Times New Roman" w:eastAsia="Times New Roman" w:hAnsi="Times New Roman" w:cs="Times New Roman"/>
          <w:sz w:val="22"/>
          <w:szCs w:val="22"/>
          <w:lang w:val="es-ES_tradnl" w:eastAsia="es-ES"/>
        </w:rPr>
        <w:t>de Salud Pública y Asistencia Social</w:t>
      </w:r>
      <w:r w:rsidR="004C3440">
        <w:rPr>
          <w:rFonts w:ascii="Times New Roman" w:eastAsia="Times New Roman" w:hAnsi="Times New Roman" w:cs="Times New Roman"/>
          <w:sz w:val="22"/>
          <w:szCs w:val="22"/>
          <w:lang w:val="es-ES_tradnl" w:eastAsia="es-ES"/>
        </w:rPr>
        <w:t xml:space="preserve">. </w:t>
      </w:r>
    </w:p>
    <w:p w14:paraId="0BFE4637" w14:textId="20857669" w:rsidR="004C3440" w:rsidRDefault="004C3440" w:rsidP="0039645E">
      <w:pPr>
        <w:jc w:val="both"/>
        <w:rPr>
          <w:rFonts w:ascii="Times New Roman" w:eastAsia="Times New Roman" w:hAnsi="Times New Roman" w:cs="Times New Roman"/>
          <w:sz w:val="22"/>
          <w:szCs w:val="22"/>
          <w:lang w:val="es-ES_tradnl" w:eastAsia="es-ES"/>
        </w:rPr>
      </w:pPr>
    </w:p>
    <w:p w14:paraId="3B1C623A" w14:textId="3EB54C79" w:rsidR="00F534B0" w:rsidRDefault="00F534B0" w:rsidP="0039645E">
      <w:pPr>
        <w:jc w:val="both"/>
        <w:rPr>
          <w:rFonts w:ascii="Times New Roman" w:eastAsia="Times New Roman" w:hAnsi="Times New Roman" w:cs="Times New Roman"/>
          <w:sz w:val="22"/>
          <w:szCs w:val="22"/>
          <w:lang w:val="es-ES_tradnl" w:eastAsia="es-ES"/>
        </w:rPr>
      </w:pPr>
      <w:r>
        <w:rPr>
          <w:rFonts w:ascii="Times New Roman" w:eastAsia="Times New Roman" w:hAnsi="Times New Roman" w:cs="Times New Roman"/>
          <w:sz w:val="22"/>
          <w:szCs w:val="22"/>
          <w:lang w:val="es-ES_tradnl" w:eastAsia="es-ES"/>
        </w:rPr>
        <w:t xml:space="preserve">Dentro del Decreto </w:t>
      </w:r>
      <w:r w:rsidR="00A72256">
        <w:rPr>
          <w:rFonts w:ascii="Times New Roman" w:eastAsia="Times New Roman" w:hAnsi="Times New Roman" w:cs="Times New Roman"/>
          <w:sz w:val="22"/>
          <w:szCs w:val="22"/>
          <w:lang w:val="es-ES_tradnl" w:eastAsia="es-ES"/>
        </w:rPr>
        <w:t xml:space="preserve">Número </w:t>
      </w:r>
      <w:r>
        <w:rPr>
          <w:rFonts w:ascii="Times New Roman" w:eastAsia="Times New Roman" w:hAnsi="Times New Roman" w:cs="Times New Roman"/>
          <w:sz w:val="22"/>
          <w:szCs w:val="22"/>
          <w:lang w:val="es-ES_tradnl" w:eastAsia="es-ES"/>
        </w:rPr>
        <w:t xml:space="preserve">54-2022 “Ley del Presupuesto General de Ingresos y Egresos del Estado para el ejercicio fiscal 2023” en el artículo </w:t>
      </w:r>
      <w:r w:rsidR="003647FF">
        <w:rPr>
          <w:rFonts w:ascii="Times New Roman" w:eastAsia="Times New Roman" w:hAnsi="Times New Roman" w:cs="Times New Roman"/>
          <w:sz w:val="22"/>
          <w:szCs w:val="22"/>
          <w:lang w:val="es-ES_tradnl" w:eastAsia="es-ES"/>
        </w:rPr>
        <w:t>25 “Adquisición de vacunas y medicamentos innovadores para COVID-19 y otros virus” se contempla</w:t>
      </w:r>
      <w:r w:rsidR="00D1533E">
        <w:rPr>
          <w:rFonts w:ascii="Times New Roman" w:eastAsia="Times New Roman" w:hAnsi="Times New Roman" w:cs="Times New Roman"/>
          <w:sz w:val="22"/>
          <w:szCs w:val="22"/>
          <w:lang w:val="es-ES_tradnl" w:eastAsia="es-ES"/>
        </w:rPr>
        <w:t>ron</w:t>
      </w:r>
      <w:r w:rsidR="003647FF">
        <w:rPr>
          <w:rFonts w:ascii="Times New Roman" w:eastAsia="Times New Roman" w:hAnsi="Times New Roman" w:cs="Times New Roman"/>
          <w:sz w:val="22"/>
          <w:szCs w:val="22"/>
          <w:lang w:val="es-ES_tradnl" w:eastAsia="es-ES"/>
        </w:rPr>
        <w:t xml:space="preserve"> asignaciones para la adquisición de vacunas y medicamentos innovadores contra el virus COVID-19 y las que se requ</w:t>
      </w:r>
      <w:r w:rsidR="00B53E51">
        <w:rPr>
          <w:rFonts w:ascii="Times New Roman" w:eastAsia="Times New Roman" w:hAnsi="Times New Roman" w:cs="Times New Roman"/>
          <w:sz w:val="22"/>
          <w:szCs w:val="22"/>
          <w:lang w:val="es-ES_tradnl" w:eastAsia="es-ES"/>
        </w:rPr>
        <w:t>irieran</w:t>
      </w:r>
      <w:r w:rsidR="003647FF">
        <w:rPr>
          <w:rFonts w:ascii="Times New Roman" w:eastAsia="Times New Roman" w:hAnsi="Times New Roman" w:cs="Times New Roman"/>
          <w:sz w:val="22"/>
          <w:szCs w:val="22"/>
          <w:lang w:val="es-ES_tradnl" w:eastAsia="es-ES"/>
        </w:rPr>
        <w:t xml:space="preserve"> como consecuencia de la evolución del virus, así como de otros virus </w:t>
      </w:r>
      <w:r w:rsidR="002766FE">
        <w:rPr>
          <w:rFonts w:ascii="Times New Roman" w:eastAsia="Times New Roman" w:hAnsi="Times New Roman" w:cs="Times New Roman"/>
          <w:sz w:val="22"/>
          <w:szCs w:val="22"/>
          <w:lang w:val="es-ES_tradnl" w:eastAsia="es-ES"/>
        </w:rPr>
        <w:t>nuevos que produzcan una emergencia sanitaria. Para lo cual dicho Ministerio deb</w:t>
      </w:r>
      <w:r w:rsidR="00B53E51">
        <w:rPr>
          <w:rFonts w:ascii="Times New Roman" w:eastAsia="Times New Roman" w:hAnsi="Times New Roman" w:cs="Times New Roman"/>
          <w:sz w:val="22"/>
          <w:szCs w:val="22"/>
          <w:lang w:val="es-ES_tradnl" w:eastAsia="es-ES"/>
        </w:rPr>
        <w:t>ía</w:t>
      </w:r>
      <w:r w:rsidR="002766FE">
        <w:rPr>
          <w:rFonts w:ascii="Times New Roman" w:eastAsia="Times New Roman" w:hAnsi="Times New Roman" w:cs="Times New Roman"/>
          <w:sz w:val="22"/>
          <w:szCs w:val="22"/>
          <w:lang w:val="es-ES_tradnl" w:eastAsia="es-ES"/>
        </w:rPr>
        <w:t xml:space="preserve"> velar que las adquisiciones se reali</w:t>
      </w:r>
      <w:r w:rsidR="00B53E51">
        <w:rPr>
          <w:rFonts w:ascii="Times New Roman" w:eastAsia="Times New Roman" w:hAnsi="Times New Roman" w:cs="Times New Roman"/>
          <w:sz w:val="22"/>
          <w:szCs w:val="22"/>
          <w:lang w:val="es-ES_tradnl" w:eastAsia="es-ES"/>
        </w:rPr>
        <w:t>zaran</w:t>
      </w:r>
      <w:r w:rsidR="002766FE">
        <w:rPr>
          <w:rFonts w:ascii="Times New Roman" w:eastAsia="Times New Roman" w:hAnsi="Times New Roman" w:cs="Times New Roman"/>
          <w:sz w:val="22"/>
          <w:szCs w:val="22"/>
          <w:lang w:val="es-ES_tradnl" w:eastAsia="es-ES"/>
        </w:rPr>
        <w:t xml:space="preserve"> a costos accesibles, de buena calidad, con plazos de expiración óptima y las condiciones más favorables para el Estado. </w:t>
      </w:r>
    </w:p>
    <w:p w14:paraId="1EA0A1A6" w14:textId="77777777" w:rsidR="00F534B0" w:rsidRDefault="00F534B0" w:rsidP="0039645E">
      <w:pPr>
        <w:jc w:val="both"/>
        <w:rPr>
          <w:rFonts w:ascii="Times New Roman" w:eastAsia="Times New Roman" w:hAnsi="Times New Roman" w:cs="Times New Roman"/>
          <w:sz w:val="22"/>
          <w:szCs w:val="22"/>
          <w:lang w:val="es-ES_tradnl" w:eastAsia="es-ES"/>
        </w:rPr>
      </w:pPr>
    </w:p>
    <w:p w14:paraId="3B9BAA9E" w14:textId="596EBDFF" w:rsidR="00807DF0" w:rsidRDefault="00807DF0" w:rsidP="00807DF0">
      <w:pPr>
        <w:jc w:val="both"/>
        <w:rPr>
          <w:rFonts w:ascii="Times New Roman" w:eastAsia="Times New Roman" w:hAnsi="Times New Roman" w:cs="Times New Roman"/>
          <w:sz w:val="22"/>
          <w:szCs w:val="22"/>
          <w:lang w:val="es-ES_tradnl" w:eastAsia="es-ES"/>
        </w:rPr>
      </w:pPr>
      <w:r>
        <w:rPr>
          <w:rFonts w:ascii="Times New Roman" w:eastAsia="Times New Roman" w:hAnsi="Times New Roman" w:cs="Times New Roman"/>
          <w:sz w:val="22"/>
          <w:szCs w:val="22"/>
          <w:lang w:val="es-ES_tradnl" w:eastAsia="es-ES"/>
        </w:rPr>
        <w:t>L</w:t>
      </w:r>
      <w:r w:rsidRPr="00807DF0">
        <w:rPr>
          <w:rFonts w:ascii="Times New Roman" w:eastAsia="Times New Roman" w:hAnsi="Times New Roman" w:cs="Times New Roman"/>
          <w:sz w:val="22"/>
          <w:szCs w:val="22"/>
          <w:lang w:val="es-ES_tradnl" w:eastAsia="es-ES"/>
        </w:rPr>
        <w:t xml:space="preserve">a ejecución relacionada directamente a la pandemia COVID-19 </w:t>
      </w:r>
      <w:r w:rsidR="005B4F12">
        <w:rPr>
          <w:rFonts w:ascii="Times New Roman" w:eastAsia="Times New Roman" w:hAnsi="Times New Roman" w:cs="Times New Roman"/>
          <w:sz w:val="22"/>
          <w:szCs w:val="22"/>
          <w:lang w:val="es-ES_tradnl" w:eastAsia="es-ES"/>
        </w:rPr>
        <w:t xml:space="preserve">da </w:t>
      </w:r>
      <w:r>
        <w:rPr>
          <w:rFonts w:ascii="Times New Roman" w:eastAsia="Times New Roman" w:hAnsi="Times New Roman" w:cs="Times New Roman"/>
          <w:sz w:val="22"/>
          <w:szCs w:val="22"/>
          <w:lang w:val="es-ES_tradnl" w:eastAsia="es-ES"/>
        </w:rPr>
        <w:t xml:space="preserve">cuenta </w:t>
      </w:r>
      <w:r w:rsidR="005B4F12">
        <w:rPr>
          <w:rFonts w:ascii="Times New Roman" w:eastAsia="Times New Roman" w:hAnsi="Times New Roman" w:cs="Times New Roman"/>
          <w:sz w:val="22"/>
          <w:szCs w:val="22"/>
          <w:lang w:val="es-ES_tradnl" w:eastAsia="es-ES"/>
        </w:rPr>
        <w:t>de</w:t>
      </w:r>
      <w:r w:rsidR="00370362">
        <w:rPr>
          <w:rFonts w:ascii="Times New Roman" w:eastAsia="Times New Roman" w:hAnsi="Times New Roman" w:cs="Times New Roman"/>
          <w:sz w:val="22"/>
          <w:szCs w:val="22"/>
          <w:lang w:val="es-ES_tradnl" w:eastAsia="es-ES"/>
        </w:rPr>
        <w:t>l</w:t>
      </w:r>
      <w:r w:rsidR="005B4F12">
        <w:rPr>
          <w:rFonts w:ascii="Times New Roman" w:eastAsia="Times New Roman" w:hAnsi="Times New Roman" w:cs="Times New Roman"/>
          <w:sz w:val="22"/>
          <w:szCs w:val="22"/>
          <w:lang w:val="es-ES_tradnl" w:eastAsia="es-ES"/>
        </w:rPr>
        <w:t xml:space="preserve"> monto </w:t>
      </w:r>
      <w:r w:rsidRPr="00807DF0">
        <w:rPr>
          <w:rFonts w:ascii="Times New Roman" w:eastAsia="Times New Roman" w:hAnsi="Times New Roman" w:cs="Times New Roman"/>
          <w:sz w:val="22"/>
          <w:szCs w:val="22"/>
          <w:lang w:val="es-ES_tradnl" w:eastAsia="es-ES"/>
        </w:rPr>
        <w:t>de Q6</w:t>
      </w:r>
      <w:r>
        <w:rPr>
          <w:rFonts w:ascii="Times New Roman" w:eastAsia="Times New Roman" w:hAnsi="Times New Roman" w:cs="Times New Roman"/>
          <w:sz w:val="22"/>
          <w:szCs w:val="22"/>
          <w:lang w:val="es-ES_tradnl" w:eastAsia="es-ES"/>
        </w:rPr>
        <w:t>66</w:t>
      </w:r>
      <w:r w:rsidRPr="00807DF0">
        <w:rPr>
          <w:rFonts w:ascii="Times New Roman" w:eastAsia="Times New Roman" w:hAnsi="Times New Roman" w:cs="Times New Roman"/>
          <w:sz w:val="22"/>
          <w:szCs w:val="22"/>
          <w:lang w:val="es-ES_tradnl" w:eastAsia="es-ES"/>
        </w:rPr>
        <w:t>.</w:t>
      </w:r>
      <w:r>
        <w:rPr>
          <w:rFonts w:ascii="Times New Roman" w:eastAsia="Times New Roman" w:hAnsi="Times New Roman" w:cs="Times New Roman"/>
          <w:sz w:val="22"/>
          <w:szCs w:val="22"/>
          <w:lang w:val="es-ES_tradnl" w:eastAsia="es-ES"/>
        </w:rPr>
        <w:t>3</w:t>
      </w:r>
      <w:r w:rsidRPr="00807DF0">
        <w:rPr>
          <w:rFonts w:ascii="Times New Roman" w:eastAsia="Times New Roman" w:hAnsi="Times New Roman" w:cs="Times New Roman"/>
          <w:sz w:val="22"/>
          <w:szCs w:val="22"/>
          <w:lang w:val="es-ES_tradnl" w:eastAsia="es-ES"/>
        </w:rPr>
        <w:t xml:space="preserve"> millones. Para el 2023, el gasto asociado a la emergencia del COVID-19 c</w:t>
      </w:r>
      <w:r>
        <w:rPr>
          <w:rFonts w:ascii="Times New Roman" w:eastAsia="Times New Roman" w:hAnsi="Times New Roman" w:cs="Times New Roman"/>
          <w:sz w:val="22"/>
          <w:szCs w:val="22"/>
          <w:lang w:val="es-ES_tradnl" w:eastAsia="es-ES"/>
        </w:rPr>
        <w:t>ont</w:t>
      </w:r>
      <w:r w:rsidR="00370362">
        <w:rPr>
          <w:rFonts w:ascii="Times New Roman" w:eastAsia="Times New Roman" w:hAnsi="Times New Roman" w:cs="Times New Roman"/>
          <w:sz w:val="22"/>
          <w:szCs w:val="22"/>
          <w:lang w:val="es-ES_tradnl" w:eastAsia="es-ES"/>
        </w:rPr>
        <w:t>ó</w:t>
      </w:r>
      <w:r>
        <w:rPr>
          <w:rFonts w:ascii="Times New Roman" w:eastAsia="Times New Roman" w:hAnsi="Times New Roman" w:cs="Times New Roman"/>
          <w:sz w:val="22"/>
          <w:szCs w:val="22"/>
          <w:lang w:val="es-ES_tradnl" w:eastAsia="es-ES"/>
        </w:rPr>
        <w:t xml:space="preserve"> </w:t>
      </w:r>
      <w:r w:rsidRPr="00807DF0">
        <w:rPr>
          <w:rFonts w:ascii="Times New Roman" w:eastAsia="Times New Roman" w:hAnsi="Times New Roman" w:cs="Times New Roman"/>
          <w:sz w:val="22"/>
          <w:szCs w:val="22"/>
          <w:lang w:val="es-ES_tradnl" w:eastAsia="es-ES"/>
        </w:rPr>
        <w:t xml:space="preserve">con </w:t>
      </w:r>
      <w:r w:rsidR="002D3E09">
        <w:rPr>
          <w:rFonts w:ascii="Times New Roman" w:eastAsia="Times New Roman" w:hAnsi="Times New Roman" w:cs="Times New Roman"/>
          <w:sz w:val="22"/>
          <w:szCs w:val="22"/>
          <w:lang w:val="es-ES_tradnl" w:eastAsia="es-ES"/>
        </w:rPr>
        <w:t xml:space="preserve">el </w:t>
      </w:r>
      <w:r w:rsidRPr="00807DF0">
        <w:rPr>
          <w:rFonts w:ascii="Times New Roman" w:eastAsia="Times New Roman" w:hAnsi="Times New Roman" w:cs="Times New Roman"/>
          <w:sz w:val="22"/>
          <w:szCs w:val="22"/>
          <w:lang w:val="es-ES_tradnl" w:eastAsia="es-ES"/>
        </w:rPr>
        <w:t>presupuesto de Q6</w:t>
      </w:r>
      <w:r>
        <w:rPr>
          <w:rFonts w:ascii="Times New Roman" w:eastAsia="Times New Roman" w:hAnsi="Times New Roman" w:cs="Times New Roman"/>
          <w:sz w:val="22"/>
          <w:szCs w:val="22"/>
          <w:lang w:val="es-ES_tradnl" w:eastAsia="es-ES"/>
        </w:rPr>
        <w:t>8</w:t>
      </w:r>
      <w:r w:rsidRPr="00807DF0">
        <w:rPr>
          <w:rFonts w:ascii="Times New Roman" w:eastAsia="Times New Roman" w:hAnsi="Times New Roman" w:cs="Times New Roman"/>
          <w:sz w:val="22"/>
          <w:szCs w:val="22"/>
          <w:lang w:val="es-ES_tradnl" w:eastAsia="es-ES"/>
        </w:rPr>
        <w:t>4</w:t>
      </w:r>
      <w:r>
        <w:rPr>
          <w:rFonts w:ascii="Times New Roman" w:eastAsia="Times New Roman" w:hAnsi="Times New Roman" w:cs="Times New Roman"/>
          <w:sz w:val="22"/>
          <w:szCs w:val="22"/>
          <w:lang w:val="es-ES_tradnl" w:eastAsia="es-ES"/>
        </w:rPr>
        <w:t>.1</w:t>
      </w:r>
      <w:r w:rsidRPr="00807DF0">
        <w:rPr>
          <w:rFonts w:ascii="Times New Roman" w:eastAsia="Times New Roman" w:hAnsi="Times New Roman" w:cs="Times New Roman"/>
          <w:sz w:val="22"/>
          <w:szCs w:val="22"/>
          <w:lang w:val="es-ES_tradnl" w:eastAsia="es-ES"/>
        </w:rPr>
        <w:t xml:space="preserve"> millones</w:t>
      </w:r>
      <w:r w:rsidR="00B53E51">
        <w:rPr>
          <w:rFonts w:ascii="Times New Roman" w:eastAsia="Times New Roman" w:hAnsi="Times New Roman" w:cs="Times New Roman"/>
          <w:sz w:val="22"/>
          <w:szCs w:val="22"/>
          <w:lang w:val="es-ES_tradnl" w:eastAsia="es-ES"/>
        </w:rPr>
        <w:t xml:space="preserve"> siendo el nivel de ejecución de 97.4%</w:t>
      </w:r>
      <w:r w:rsidRPr="00807DF0">
        <w:rPr>
          <w:rFonts w:ascii="Times New Roman" w:eastAsia="Times New Roman" w:hAnsi="Times New Roman" w:cs="Times New Roman"/>
          <w:sz w:val="22"/>
          <w:szCs w:val="22"/>
          <w:lang w:val="es-ES_tradnl" w:eastAsia="es-ES"/>
        </w:rPr>
        <w:t>;</w:t>
      </w:r>
      <w:r w:rsidR="00B53E51">
        <w:rPr>
          <w:rFonts w:ascii="Times New Roman" w:eastAsia="Times New Roman" w:hAnsi="Times New Roman" w:cs="Times New Roman"/>
          <w:sz w:val="22"/>
          <w:szCs w:val="22"/>
          <w:lang w:val="es-ES_tradnl" w:eastAsia="es-ES"/>
        </w:rPr>
        <w:t xml:space="preserve"> </w:t>
      </w:r>
      <w:r w:rsidR="002D3E09">
        <w:rPr>
          <w:rFonts w:ascii="Times New Roman" w:eastAsia="Times New Roman" w:hAnsi="Times New Roman" w:cs="Times New Roman"/>
          <w:sz w:val="22"/>
          <w:szCs w:val="22"/>
          <w:lang w:val="es-ES_tradnl" w:eastAsia="es-ES"/>
        </w:rPr>
        <w:t>al</w:t>
      </w:r>
      <w:r w:rsidR="00B53E51">
        <w:rPr>
          <w:rFonts w:ascii="Times New Roman" w:eastAsia="Times New Roman" w:hAnsi="Times New Roman" w:cs="Times New Roman"/>
          <w:sz w:val="22"/>
          <w:szCs w:val="22"/>
          <w:lang w:val="es-ES_tradnl" w:eastAsia="es-ES"/>
        </w:rPr>
        <w:t xml:space="preserve"> inicio</w:t>
      </w:r>
      <w:r w:rsidRPr="00807DF0">
        <w:rPr>
          <w:rFonts w:ascii="Times New Roman" w:eastAsia="Times New Roman" w:hAnsi="Times New Roman" w:cs="Times New Roman"/>
          <w:sz w:val="22"/>
          <w:szCs w:val="22"/>
          <w:lang w:val="es-ES_tradnl" w:eastAsia="es-ES"/>
        </w:rPr>
        <w:t xml:space="preserve"> el presupuesto para atención del COVID-19</w:t>
      </w:r>
      <w:r w:rsidR="00B53E51">
        <w:rPr>
          <w:rFonts w:ascii="Times New Roman" w:eastAsia="Times New Roman" w:hAnsi="Times New Roman" w:cs="Times New Roman"/>
          <w:sz w:val="22"/>
          <w:szCs w:val="22"/>
          <w:lang w:val="es-ES_tradnl" w:eastAsia="es-ES"/>
        </w:rPr>
        <w:t xml:space="preserve"> era más elevado y a lo largo del ejercicio </w:t>
      </w:r>
      <w:r w:rsidRPr="00807DF0">
        <w:rPr>
          <w:rFonts w:ascii="Times New Roman" w:eastAsia="Times New Roman" w:hAnsi="Times New Roman" w:cs="Times New Roman"/>
          <w:sz w:val="22"/>
          <w:szCs w:val="22"/>
          <w:lang w:val="es-ES_tradnl" w:eastAsia="es-ES"/>
        </w:rPr>
        <w:t>desc</w:t>
      </w:r>
      <w:r>
        <w:rPr>
          <w:rFonts w:ascii="Times New Roman" w:eastAsia="Times New Roman" w:hAnsi="Times New Roman" w:cs="Times New Roman"/>
          <w:sz w:val="22"/>
          <w:szCs w:val="22"/>
          <w:lang w:val="es-ES_tradnl" w:eastAsia="es-ES"/>
        </w:rPr>
        <w:t>endió</w:t>
      </w:r>
      <w:r w:rsidRPr="00807DF0">
        <w:rPr>
          <w:rFonts w:ascii="Times New Roman" w:eastAsia="Times New Roman" w:hAnsi="Times New Roman" w:cs="Times New Roman"/>
          <w:sz w:val="22"/>
          <w:szCs w:val="22"/>
          <w:lang w:val="es-ES_tradnl" w:eastAsia="es-ES"/>
        </w:rPr>
        <w:t xml:space="preserve"> en Q6</w:t>
      </w:r>
      <w:r>
        <w:rPr>
          <w:rFonts w:ascii="Times New Roman" w:eastAsia="Times New Roman" w:hAnsi="Times New Roman" w:cs="Times New Roman"/>
          <w:sz w:val="22"/>
          <w:szCs w:val="22"/>
          <w:lang w:val="es-ES_tradnl" w:eastAsia="es-ES"/>
        </w:rPr>
        <w:t>15</w:t>
      </w:r>
      <w:r w:rsidRPr="00807DF0">
        <w:rPr>
          <w:rFonts w:ascii="Times New Roman" w:eastAsia="Times New Roman" w:hAnsi="Times New Roman" w:cs="Times New Roman"/>
          <w:sz w:val="22"/>
          <w:szCs w:val="22"/>
          <w:lang w:val="es-ES_tradnl" w:eastAsia="es-ES"/>
        </w:rPr>
        <w:t>.</w:t>
      </w:r>
      <w:r>
        <w:rPr>
          <w:rFonts w:ascii="Times New Roman" w:eastAsia="Times New Roman" w:hAnsi="Times New Roman" w:cs="Times New Roman"/>
          <w:sz w:val="22"/>
          <w:szCs w:val="22"/>
          <w:lang w:val="es-ES_tradnl" w:eastAsia="es-ES"/>
        </w:rPr>
        <w:t>5</w:t>
      </w:r>
      <w:r w:rsidRPr="00807DF0">
        <w:rPr>
          <w:rFonts w:ascii="Times New Roman" w:eastAsia="Times New Roman" w:hAnsi="Times New Roman" w:cs="Times New Roman"/>
          <w:sz w:val="22"/>
          <w:szCs w:val="22"/>
          <w:lang w:val="es-ES_tradnl" w:eastAsia="es-ES"/>
        </w:rPr>
        <w:t xml:space="preserve"> millones, ante la reorientación de prioridades hacia las calamidades públicas relacionadas a desastres por eventos naturales.</w:t>
      </w:r>
    </w:p>
    <w:p w14:paraId="6519C0D2" w14:textId="7B104E60" w:rsidR="00807DF0" w:rsidRPr="00807DF0" w:rsidRDefault="00807DF0" w:rsidP="00807DF0">
      <w:pPr>
        <w:jc w:val="both"/>
        <w:rPr>
          <w:rFonts w:ascii="Times New Roman" w:eastAsia="Times New Roman" w:hAnsi="Times New Roman" w:cs="Times New Roman"/>
          <w:sz w:val="22"/>
          <w:szCs w:val="22"/>
          <w:lang w:val="es-ES_tradnl" w:eastAsia="es-ES"/>
        </w:rPr>
      </w:pPr>
      <w:r w:rsidRPr="00807DF0">
        <w:rPr>
          <w:rFonts w:ascii="Times New Roman" w:eastAsia="Times New Roman" w:hAnsi="Times New Roman" w:cs="Times New Roman"/>
          <w:sz w:val="22"/>
          <w:szCs w:val="22"/>
          <w:lang w:val="es-ES_tradnl" w:eastAsia="es-ES"/>
        </w:rPr>
        <w:t xml:space="preserve"> </w:t>
      </w:r>
    </w:p>
    <w:p w14:paraId="28072696" w14:textId="6912D108" w:rsidR="00807DF0" w:rsidRPr="00807DF0" w:rsidRDefault="00807DF0" w:rsidP="00807DF0">
      <w:pPr>
        <w:jc w:val="both"/>
        <w:rPr>
          <w:rFonts w:ascii="Times New Roman" w:eastAsia="Times New Roman" w:hAnsi="Times New Roman" w:cs="Times New Roman"/>
          <w:sz w:val="22"/>
          <w:szCs w:val="22"/>
          <w:lang w:val="es-ES_tradnl" w:eastAsia="es-ES"/>
        </w:rPr>
      </w:pPr>
      <w:r w:rsidRPr="00807DF0">
        <w:rPr>
          <w:rFonts w:ascii="Times New Roman" w:eastAsia="Times New Roman" w:hAnsi="Times New Roman" w:cs="Times New Roman"/>
          <w:sz w:val="22"/>
          <w:szCs w:val="22"/>
          <w:lang w:val="es-ES_tradnl" w:eastAsia="es-ES"/>
        </w:rPr>
        <w:t xml:space="preserve">Dentro de estos gastos de COVID-19 se encuentra la adquisición de la vacuna con </w:t>
      </w:r>
      <w:r w:rsidR="002D3E09">
        <w:rPr>
          <w:rFonts w:ascii="Times New Roman" w:eastAsia="Times New Roman" w:hAnsi="Times New Roman" w:cs="Times New Roman"/>
          <w:sz w:val="22"/>
          <w:szCs w:val="22"/>
          <w:lang w:val="es-ES_tradnl" w:eastAsia="es-ES"/>
        </w:rPr>
        <w:t xml:space="preserve">la </w:t>
      </w:r>
      <w:r w:rsidRPr="00807DF0">
        <w:rPr>
          <w:rFonts w:ascii="Times New Roman" w:eastAsia="Times New Roman" w:hAnsi="Times New Roman" w:cs="Times New Roman"/>
          <w:sz w:val="22"/>
          <w:szCs w:val="22"/>
          <w:lang w:val="es-ES_tradnl" w:eastAsia="es-ES"/>
        </w:rPr>
        <w:t>ejecución de Q10</w:t>
      </w:r>
      <w:r>
        <w:rPr>
          <w:rFonts w:ascii="Times New Roman" w:eastAsia="Times New Roman" w:hAnsi="Times New Roman" w:cs="Times New Roman"/>
          <w:sz w:val="22"/>
          <w:szCs w:val="22"/>
          <w:lang w:val="es-ES_tradnl" w:eastAsia="es-ES"/>
        </w:rPr>
        <w:t>9</w:t>
      </w:r>
      <w:r w:rsidRPr="00807DF0">
        <w:rPr>
          <w:rFonts w:ascii="Times New Roman" w:eastAsia="Times New Roman" w:hAnsi="Times New Roman" w:cs="Times New Roman"/>
          <w:sz w:val="22"/>
          <w:szCs w:val="22"/>
          <w:lang w:val="es-ES_tradnl" w:eastAsia="es-ES"/>
        </w:rPr>
        <w:t>.</w:t>
      </w:r>
      <w:r>
        <w:rPr>
          <w:rFonts w:ascii="Times New Roman" w:eastAsia="Times New Roman" w:hAnsi="Times New Roman" w:cs="Times New Roman"/>
          <w:sz w:val="22"/>
          <w:szCs w:val="22"/>
          <w:lang w:val="es-ES_tradnl" w:eastAsia="es-ES"/>
        </w:rPr>
        <w:t>1</w:t>
      </w:r>
      <w:r w:rsidRPr="00807DF0">
        <w:rPr>
          <w:rFonts w:ascii="Times New Roman" w:eastAsia="Times New Roman" w:hAnsi="Times New Roman" w:cs="Times New Roman"/>
          <w:sz w:val="22"/>
          <w:szCs w:val="22"/>
          <w:lang w:val="es-ES_tradnl" w:eastAsia="es-ES"/>
        </w:rPr>
        <w:t xml:space="preserve"> millones y los servicios de prevención y tratamiento, con Q</w:t>
      </w:r>
      <w:r>
        <w:rPr>
          <w:rFonts w:ascii="Times New Roman" w:eastAsia="Times New Roman" w:hAnsi="Times New Roman" w:cs="Times New Roman"/>
          <w:sz w:val="22"/>
          <w:szCs w:val="22"/>
          <w:lang w:val="es-ES_tradnl" w:eastAsia="es-ES"/>
        </w:rPr>
        <w:t>557</w:t>
      </w:r>
      <w:r w:rsidRPr="00807DF0">
        <w:rPr>
          <w:rFonts w:ascii="Times New Roman" w:eastAsia="Times New Roman" w:hAnsi="Times New Roman" w:cs="Times New Roman"/>
          <w:sz w:val="22"/>
          <w:szCs w:val="22"/>
          <w:lang w:val="es-ES_tradnl" w:eastAsia="es-ES"/>
        </w:rPr>
        <w:t>.</w:t>
      </w:r>
      <w:r>
        <w:rPr>
          <w:rFonts w:ascii="Times New Roman" w:eastAsia="Times New Roman" w:hAnsi="Times New Roman" w:cs="Times New Roman"/>
          <w:sz w:val="22"/>
          <w:szCs w:val="22"/>
          <w:lang w:val="es-ES_tradnl" w:eastAsia="es-ES"/>
        </w:rPr>
        <w:t>3</w:t>
      </w:r>
      <w:r w:rsidRPr="00807DF0">
        <w:rPr>
          <w:rFonts w:ascii="Times New Roman" w:eastAsia="Times New Roman" w:hAnsi="Times New Roman" w:cs="Times New Roman"/>
          <w:sz w:val="22"/>
          <w:szCs w:val="22"/>
          <w:lang w:val="es-ES_tradnl" w:eastAsia="es-ES"/>
        </w:rPr>
        <w:t xml:space="preserve"> millones. </w:t>
      </w:r>
    </w:p>
    <w:p w14:paraId="35600A5B" w14:textId="77777777" w:rsidR="00807DF0" w:rsidRPr="00807DF0" w:rsidRDefault="00807DF0" w:rsidP="00807DF0">
      <w:pPr>
        <w:jc w:val="both"/>
        <w:rPr>
          <w:rFonts w:ascii="Times New Roman" w:eastAsia="Times New Roman" w:hAnsi="Times New Roman" w:cs="Times New Roman"/>
          <w:sz w:val="22"/>
          <w:szCs w:val="22"/>
          <w:lang w:val="es-ES_tradnl" w:eastAsia="es-ES"/>
        </w:rPr>
      </w:pPr>
    </w:p>
    <w:p w14:paraId="5BD6AD8E" w14:textId="4F851346" w:rsidR="00807DF0" w:rsidRDefault="00807DF0" w:rsidP="00807DF0">
      <w:pPr>
        <w:jc w:val="both"/>
        <w:rPr>
          <w:rFonts w:ascii="Times New Roman" w:eastAsia="Times New Roman" w:hAnsi="Times New Roman" w:cs="Times New Roman"/>
          <w:sz w:val="22"/>
          <w:szCs w:val="22"/>
          <w:lang w:val="es-ES_tradnl" w:eastAsia="es-ES"/>
        </w:rPr>
      </w:pPr>
      <w:r w:rsidRPr="00807DF0">
        <w:rPr>
          <w:rFonts w:ascii="Times New Roman" w:eastAsia="Times New Roman" w:hAnsi="Times New Roman" w:cs="Times New Roman"/>
          <w:sz w:val="22"/>
          <w:szCs w:val="22"/>
          <w:lang w:val="es-ES_tradnl" w:eastAsia="es-ES"/>
        </w:rPr>
        <w:t>Por su parte, del Estado de Calamidad Pública por los efectos de la época lluviosa y el ciclón tropical Julia se ejecuta</w:t>
      </w:r>
      <w:r>
        <w:rPr>
          <w:rFonts w:ascii="Times New Roman" w:eastAsia="Times New Roman" w:hAnsi="Times New Roman" w:cs="Times New Roman"/>
          <w:sz w:val="22"/>
          <w:szCs w:val="22"/>
          <w:lang w:val="es-ES_tradnl" w:eastAsia="es-ES"/>
        </w:rPr>
        <w:t>ron</w:t>
      </w:r>
      <w:r w:rsidRPr="00807DF0">
        <w:rPr>
          <w:rFonts w:ascii="Times New Roman" w:eastAsia="Times New Roman" w:hAnsi="Times New Roman" w:cs="Times New Roman"/>
          <w:sz w:val="22"/>
          <w:szCs w:val="22"/>
          <w:lang w:val="es-ES_tradnl" w:eastAsia="es-ES"/>
        </w:rPr>
        <w:t xml:space="preserve"> Q</w:t>
      </w:r>
      <w:r>
        <w:rPr>
          <w:rFonts w:ascii="Times New Roman" w:eastAsia="Times New Roman" w:hAnsi="Times New Roman" w:cs="Times New Roman"/>
          <w:sz w:val="22"/>
          <w:szCs w:val="22"/>
          <w:lang w:val="es-ES_tradnl" w:eastAsia="es-ES"/>
        </w:rPr>
        <w:t>577</w:t>
      </w:r>
      <w:r w:rsidRPr="00807DF0">
        <w:rPr>
          <w:rFonts w:ascii="Times New Roman" w:eastAsia="Times New Roman" w:hAnsi="Times New Roman" w:cs="Times New Roman"/>
          <w:sz w:val="22"/>
          <w:szCs w:val="22"/>
          <w:lang w:val="es-ES_tradnl" w:eastAsia="es-ES"/>
        </w:rPr>
        <w:t>.</w:t>
      </w:r>
      <w:r>
        <w:rPr>
          <w:rFonts w:ascii="Times New Roman" w:eastAsia="Times New Roman" w:hAnsi="Times New Roman" w:cs="Times New Roman"/>
          <w:sz w:val="22"/>
          <w:szCs w:val="22"/>
          <w:lang w:val="es-ES_tradnl" w:eastAsia="es-ES"/>
        </w:rPr>
        <w:t>0</w:t>
      </w:r>
      <w:r w:rsidRPr="00807DF0">
        <w:rPr>
          <w:rFonts w:ascii="Times New Roman" w:eastAsia="Times New Roman" w:hAnsi="Times New Roman" w:cs="Times New Roman"/>
          <w:sz w:val="22"/>
          <w:szCs w:val="22"/>
          <w:lang w:val="es-ES_tradnl" w:eastAsia="es-ES"/>
        </w:rPr>
        <w:t xml:space="preserve"> millones</w:t>
      </w:r>
      <w:r>
        <w:rPr>
          <w:rFonts w:ascii="Times New Roman" w:eastAsia="Times New Roman" w:hAnsi="Times New Roman" w:cs="Times New Roman"/>
          <w:sz w:val="22"/>
          <w:szCs w:val="22"/>
          <w:lang w:val="es-ES_tradnl" w:eastAsia="es-ES"/>
        </w:rPr>
        <w:t xml:space="preserve"> y por la </w:t>
      </w:r>
      <w:r w:rsidRPr="00807DF0">
        <w:rPr>
          <w:rFonts w:ascii="Times New Roman" w:eastAsia="Times New Roman" w:hAnsi="Times New Roman" w:cs="Times New Roman"/>
          <w:sz w:val="22"/>
          <w:szCs w:val="22"/>
          <w:lang w:val="es-ES_tradnl" w:eastAsia="es-ES"/>
        </w:rPr>
        <w:t>época lluviosa, temporada ciclónica y sistemas de baja presión</w:t>
      </w:r>
      <w:r w:rsidR="00D32CF9">
        <w:rPr>
          <w:rFonts w:ascii="Times New Roman" w:eastAsia="Times New Roman" w:hAnsi="Times New Roman" w:cs="Times New Roman"/>
          <w:sz w:val="22"/>
          <w:szCs w:val="22"/>
          <w:lang w:val="es-ES_tradnl" w:eastAsia="es-ES"/>
        </w:rPr>
        <w:t xml:space="preserve"> se ejecutaron Q166.7 millones</w:t>
      </w:r>
      <w:r w:rsidRPr="00807DF0">
        <w:rPr>
          <w:rFonts w:ascii="Times New Roman" w:eastAsia="Times New Roman" w:hAnsi="Times New Roman" w:cs="Times New Roman"/>
          <w:sz w:val="22"/>
          <w:szCs w:val="22"/>
          <w:lang w:val="es-ES_tradnl" w:eastAsia="es-ES"/>
        </w:rPr>
        <w:t xml:space="preserve">; </w:t>
      </w:r>
      <w:r>
        <w:rPr>
          <w:rFonts w:ascii="Times New Roman" w:eastAsia="Times New Roman" w:hAnsi="Times New Roman" w:cs="Times New Roman"/>
          <w:sz w:val="22"/>
          <w:szCs w:val="22"/>
          <w:lang w:val="es-ES_tradnl" w:eastAsia="es-ES"/>
        </w:rPr>
        <w:t>e</w:t>
      </w:r>
      <w:r w:rsidRPr="00807DF0">
        <w:rPr>
          <w:rFonts w:ascii="Times New Roman" w:eastAsia="Times New Roman" w:hAnsi="Times New Roman" w:cs="Times New Roman"/>
          <w:sz w:val="22"/>
          <w:szCs w:val="22"/>
          <w:lang w:val="es-ES_tradnl" w:eastAsia="es-ES"/>
        </w:rPr>
        <w:t xml:space="preserve">n 2022, el país fue afectado por </w:t>
      </w:r>
      <w:r w:rsidR="00D32CF9">
        <w:rPr>
          <w:rFonts w:ascii="Times New Roman" w:eastAsia="Times New Roman" w:hAnsi="Times New Roman" w:cs="Times New Roman"/>
          <w:sz w:val="22"/>
          <w:szCs w:val="22"/>
          <w:lang w:val="es-ES_tradnl" w:eastAsia="es-ES"/>
        </w:rPr>
        <w:t xml:space="preserve">una fuerte </w:t>
      </w:r>
      <w:r w:rsidRPr="00807DF0">
        <w:rPr>
          <w:rFonts w:ascii="Times New Roman" w:eastAsia="Times New Roman" w:hAnsi="Times New Roman" w:cs="Times New Roman"/>
          <w:sz w:val="22"/>
          <w:szCs w:val="22"/>
          <w:lang w:val="es-ES_tradnl" w:eastAsia="es-ES"/>
        </w:rPr>
        <w:t xml:space="preserve">época </w:t>
      </w:r>
      <w:r w:rsidR="00D32CF9" w:rsidRPr="00807DF0">
        <w:rPr>
          <w:rFonts w:ascii="Times New Roman" w:eastAsia="Times New Roman" w:hAnsi="Times New Roman" w:cs="Times New Roman"/>
          <w:sz w:val="22"/>
          <w:szCs w:val="22"/>
          <w:lang w:val="es-ES_tradnl" w:eastAsia="es-ES"/>
        </w:rPr>
        <w:t>lluviosa, además</w:t>
      </w:r>
      <w:r w:rsidRPr="00807DF0">
        <w:rPr>
          <w:rFonts w:ascii="Times New Roman" w:eastAsia="Times New Roman" w:hAnsi="Times New Roman" w:cs="Times New Roman"/>
          <w:sz w:val="22"/>
          <w:szCs w:val="22"/>
          <w:lang w:val="es-ES_tradnl" w:eastAsia="es-ES"/>
        </w:rPr>
        <w:t xml:space="preserve"> del ciclón tropical Julia, derivado de esto </w:t>
      </w:r>
      <w:r>
        <w:rPr>
          <w:rFonts w:ascii="Times New Roman" w:eastAsia="Times New Roman" w:hAnsi="Times New Roman" w:cs="Times New Roman"/>
          <w:sz w:val="22"/>
          <w:szCs w:val="22"/>
          <w:lang w:val="es-ES_tradnl" w:eastAsia="es-ES"/>
        </w:rPr>
        <w:t xml:space="preserve">la ejecución en mantenimiento y reparación se extendió y se </w:t>
      </w:r>
      <w:r w:rsidRPr="00807DF0">
        <w:rPr>
          <w:rFonts w:ascii="Times New Roman" w:eastAsia="Times New Roman" w:hAnsi="Times New Roman" w:cs="Times New Roman"/>
          <w:sz w:val="22"/>
          <w:szCs w:val="22"/>
          <w:lang w:val="es-ES_tradnl" w:eastAsia="es-ES"/>
        </w:rPr>
        <w:t>reportaron intervenciones en 2023</w:t>
      </w:r>
      <w:r>
        <w:rPr>
          <w:rFonts w:ascii="Times New Roman" w:eastAsia="Times New Roman" w:hAnsi="Times New Roman" w:cs="Times New Roman"/>
          <w:sz w:val="22"/>
          <w:szCs w:val="22"/>
          <w:lang w:val="es-ES_tradnl" w:eastAsia="es-ES"/>
        </w:rPr>
        <w:t xml:space="preserve"> por estos eventos. </w:t>
      </w:r>
    </w:p>
    <w:p w14:paraId="6D81672B" w14:textId="77777777" w:rsidR="00D32CF9" w:rsidRDefault="00D32CF9" w:rsidP="00807DF0">
      <w:pPr>
        <w:jc w:val="both"/>
        <w:rPr>
          <w:rFonts w:ascii="Times New Roman" w:eastAsia="Times New Roman" w:hAnsi="Times New Roman" w:cs="Times New Roman"/>
          <w:sz w:val="22"/>
          <w:szCs w:val="22"/>
          <w:lang w:val="es-ES_tradnl" w:eastAsia="es-ES"/>
        </w:rPr>
      </w:pPr>
    </w:p>
    <w:p w14:paraId="13B5D8CD" w14:textId="57C2E273" w:rsidR="00807DF0" w:rsidRPr="00807DF0" w:rsidRDefault="00D32CF9" w:rsidP="00807DF0">
      <w:pPr>
        <w:jc w:val="both"/>
        <w:rPr>
          <w:rFonts w:ascii="Times New Roman" w:eastAsia="Times New Roman" w:hAnsi="Times New Roman" w:cs="Times New Roman"/>
          <w:sz w:val="22"/>
          <w:szCs w:val="22"/>
          <w:lang w:val="es-ES_tradnl" w:eastAsia="es-ES"/>
        </w:rPr>
      </w:pPr>
      <w:r>
        <w:rPr>
          <w:rFonts w:ascii="Times New Roman" w:eastAsia="Times New Roman" w:hAnsi="Times New Roman" w:cs="Times New Roman"/>
          <w:sz w:val="22"/>
          <w:szCs w:val="22"/>
          <w:lang w:val="es-ES_tradnl" w:eastAsia="es-ES"/>
        </w:rPr>
        <w:t>D</w:t>
      </w:r>
      <w:r w:rsidR="00807DF0" w:rsidRPr="00807DF0">
        <w:rPr>
          <w:rFonts w:ascii="Times New Roman" w:eastAsia="Times New Roman" w:hAnsi="Times New Roman" w:cs="Times New Roman"/>
          <w:sz w:val="22"/>
          <w:szCs w:val="22"/>
          <w:lang w:val="es-ES_tradnl" w:eastAsia="es-ES"/>
        </w:rPr>
        <w:t xml:space="preserve">e la depresión tropical ETA </w:t>
      </w:r>
      <w:r>
        <w:rPr>
          <w:rFonts w:ascii="Times New Roman" w:eastAsia="Times New Roman" w:hAnsi="Times New Roman" w:cs="Times New Roman"/>
          <w:sz w:val="22"/>
          <w:szCs w:val="22"/>
          <w:lang w:val="es-ES_tradnl" w:eastAsia="es-ES"/>
        </w:rPr>
        <w:t xml:space="preserve">ocurrida en 2020, </w:t>
      </w:r>
      <w:r w:rsidR="00807DF0" w:rsidRPr="00807DF0">
        <w:rPr>
          <w:rFonts w:ascii="Times New Roman" w:eastAsia="Times New Roman" w:hAnsi="Times New Roman" w:cs="Times New Roman"/>
          <w:sz w:val="22"/>
          <w:szCs w:val="22"/>
          <w:lang w:val="es-ES_tradnl" w:eastAsia="es-ES"/>
        </w:rPr>
        <w:t>se reporta una ejecución de Q1</w:t>
      </w:r>
      <w:r>
        <w:rPr>
          <w:rFonts w:ascii="Times New Roman" w:eastAsia="Times New Roman" w:hAnsi="Times New Roman" w:cs="Times New Roman"/>
          <w:sz w:val="22"/>
          <w:szCs w:val="22"/>
          <w:lang w:val="es-ES_tradnl" w:eastAsia="es-ES"/>
        </w:rPr>
        <w:t>36</w:t>
      </w:r>
      <w:r w:rsidR="00807DF0" w:rsidRPr="00807DF0">
        <w:rPr>
          <w:rFonts w:ascii="Times New Roman" w:eastAsia="Times New Roman" w:hAnsi="Times New Roman" w:cs="Times New Roman"/>
          <w:sz w:val="22"/>
          <w:szCs w:val="22"/>
          <w:lang w:val="es-ES_tradnl" w:eastAsia="es-ES"/>
        </w:rPr>
        <w:t>.</w:t>
      </w:r>
      <w:r>
        <w:rPr>
          <w:rFonts w:ascii="Times New Roman" w:eastAsia="Times New Roman" w:hAnsi="Times New Roman" w:cs="Times New Roman"/>
          <w:sz w:val="22"/>
          <w:szCs w:val="22"/>
          <w:lang w:val="es-ES_tradnl" w:eastAsia="es-ES"/>
        </w:rPr>
        <w:t>8</w:t>
      </w:r>
      <w:r w:rsidR="00807DF0" w:rsidRPr="00807DF0">
        <w:rPr>
          <w:rFonts w:ascii="Times New Roman" w:eastAsia="Times New Roman" w:hAnsi="Times New Roman" w:cs="Times New Roman"/>
          <w:sz w:val="22"/>
          <w:szCs w:val="22"/>
          <w:lang w:val="es-ES_tradnl" w:eastAsia="es-ES"/>
        </w:rPr>
        <w:t xml:space="preserve"> millones correspondientes al mantenimiento y reparación de edificios y de los bienes de uso común como carreteras y puentes por parte del Ministerio de Comunicaciones, Infraestructura y Vivienda. </w:t>
      </w:r>
    </w:p>
    <w:p w14:paraId="424AF21C" w14:textId="6A764A37" w:rsidR="00807DF0" w:rsidRDefault="00807DF0" w:rsidP="00807DF0">
      <w:pPr>
        <w:jc w:val="both"/>
        <w:rPr>
          <w:rFonts w:ascii="Times New Roman" w:eastAsia="Times New Roman" w:hAnsi="Times New Roman" w:cs="Times New Roman"/>
          <w:sz w:val="22"/>
          <w:szCs w:val="22"/>
          <w:lang w:val="es-ES_tradnl" w:eastAsia="es-ES"/>
        </w:rPr>
      </w:pPr>
    </w:p>
    <w:p w14:paraId="4420E8C4" w14:textId="5DB0A5E9" w:rsidR="00D32CF9" w:rsidRDefault="00807DF0" w:rsidP="00D32CF9">
      <w:pPr>
        <w:jc w:val="both"/>
        <w:rPr>
          <w:rFonts w:ascii="Times New Roman" w:eastAsia="Times New Roman" w:hAnsi="Times New Roman" w:cs="Times New Roman"/>
          <w:sz w:val="22"/>
          <w:szCs w:val="22"/>
          <w:lang w:val="es-ES_tradnl" w:eastAsia="es-ES"/>
        </w:rPr>
      </w:pPr>
      <w:r w:rsidRPr="00807DF0">
        <w:rPr>
          <w:rFonts w:ascii="Times New Roman" w:eastAsia="Times New Roman" w:hAnsi="Times New Roman" w:cs="Times New Roman"/>
          <w:sz w:val="22"/>
          <w:szCs w:val="22"/>
          <w:lang w:val="es-ES_tradnl" w:eastAsia="es-ES"/>
        </w:rPr>
        <w:t>Es importante considerar que la mayoría de programas en atención a calamidad</w:t>
      </w:r>
      <w:r w:rsidR="00B53E51">
        <w:rPr>
          <w:rFonts w:ascii="Times New Roman" w:eastAsia="Times New Roman" w:hAnsi="Times New Roman" w:cs="Times New Roman"/>
          <w:sz w:val="22"/>
          <w:szCs w:val="22"/>
          <w:lang w:val="es-ES_tradnl" w:eastAsia="es-ES"/>
        </w:rPr>
        <w:t xml:space="preserve">es </w:t>
      </w:r>
      <w:r w:rsidRPr="00807DF0">
        <w:rPr>
          <w:rFonts w:ascii="Times New Roman" w:eastAsia="Times New Roman" w:hAnsi="Times New Roman" w:cs="Times New Roman"/>
          <w:sz w:val="22"/>
          <w:szCs w:val="22"/>
          <w:lang w:val="es-ES_tradnl" w:eastAsia="es-ES"/>
        </w:rPr>
        <w:t>pública</w:t>
      </w:r>
      <w:r w:rsidR="00B53E51">
        <w:rPr>
          <w:rFonts w:ascii="Times New Roman" w:eastAsia="Times New Roman" w:hAnsi="Times New Roman" w:cs="Times New Roman"/>
          <w:sz w:val="22"/>
          <w:szCs w:val="22"/>
          <w:lang w:val="es-ES_tradnl" w:eastAsia="es-ES"/>
        </w:rPr>
        <w:t>s</w:t>
      </w:r>
      <w:r w:rsidRPr="00807DF0">
        <w:rPr>
          <w:rFonts w:ascii="Times New Roman" w:eastAsia="Times New Roman" w:hAnsi="Times New Roman" w:cs="Times New Roman"/>
          <w:sz w:val="22"/>
          <w:szCs w:val="22"/>
          <w:lang w:val="es-ES_tradnl" w:eastAsia="es-ES"/>
        </w:rPr>
        <w:t xml:space="preserve"> report</w:t>
      </w:r>
      <w:r w:rsidR="00B53E51">
        <w:rPr>
          <w:rFonts w:ascii="Times New Roman" w:eastAsia="Times New Roman" w:hAnsi="Times New Roman" w:cs="Times New Roman"/>
          <w:sz w:val="22"/>
          <w:szCs w:val="22"/>
          <w:lang w:val="es-ES_tradnl" w:eastAsia="es-ES"/>
        </w:rPr>
        <w:t>aron</w:t>
      </w:r>
      <w:r w:rsidRPr="00807DF0">
        <w:rPr>
          <w:rFonts w:ascii="Times New Roman" w:eastAsia="Times New Roman" w:hAnsi="Times New Roman" w:cs="Times New Roman"/>
          <w:sz w:val="22"/>
          <w:szCs w:val="22"/>
          <w:lang w:val="es-ES_tradnl" w:eastAsia="es-ES"/>
        </w:rPr>
        <w:t xml:space="preserve"> niveles de ejecución superiores al 95%, a excepción de</w:t>
      </w:r>
      <w:r w:rsidR="00D32CF9" w:rsidRPr="00D32CF9">
        <w:rPr>
          <w:rFonts w:ascii="Times New Roman" w:eastAsia="Times New Roman" w:hAnsi="Times New Roman" w:cs="Times New Roman"/>
          <w:sz w:val="22"/>
          <w:szCs w:val="22"/>
          <w:lang w:val="es-ES_tradnl" w:eastAsia="es-ES"/>
        </w:rPr>
        <w:t>l subprograma 10 “</w:t>
      </w:r>
      <w:r w:rsidR="00B53E51">
        <w:rPr>
          <w:rFonts w:ascii="Times New Roman" w:eastAsia="Times New Roman" w:hAnsi="Times New Roman" w:cs="Times New Roman"/>
          <w:sz w:val="22"/>
          <w:szCs w:val="22"/>
          <w:lang w:val="es-ES_tradnl" w:eastAsia="es-ES"/>
        </w:rPr>
        <w:t>A</w:t>
      </w:r>
      <w:r w:rsidR="00D32CF9" w:rsidRPr="00D32CF9">
        <w:rPr>
          <w:rFonts w:ascii="Times New Roman" w:eastAsia="Times New Roman" w:hAnsi="Times New Roman" w:cs="Times New Roman"/>
          <w:sz w:val="22"/>
          <w:szCs w:val="22"/>
          <w:lang w:val="es-ES_tradnl" w:eastAsia="es-ES"/>
        </w:rPr>
        <w:t xml:space="preserve">tención y </w:t>
      </w:r>
      <w:r w:rsidR="00B53E51">
        <w:rPr>
          <w:rFonts w:ascii="Times New Roman" w:eastAsia="Times New Roman" w:hAnsi="Times New Roman" w:cs="Times New Roman"/>
          <w:sz w:val="22"/>
          <w:szCs w:val="22"/>
          <w:lang w:val="es-ES_tradnl" w:eastAsia="es-ES"/>
        </w:rPr>
        <w:t>M</w:t>
      </w:r>
      <w:r w:rsidR="00D32CF9" w:rsidRPr="00D32CF9">
        <w:rPr>
          <w:rFonts w:ascii="Times New Roman" w:eastAsia="Times New Roman" w:hAnsi="Times New Roman" w:cs="Times New Roman"/>
          <w:sz w:val="22"/>
          <w:szCs w:val="22"/>
          <w:lang w:val="es-ES_tradnl" w:eastAsia="es-ES"/>
        </w:rPr>
        <w:t xml:space="preserve">itigación de </w:t>
      </w:r>
      <w:r w:rsidR="00B53E51">
        <w:rPr>
          <w:rFonts w:ascii="Times New Roman" w:eastAsia="Times New Roman" w:hAnsi="Times New Roman" w:cs="Times New Roman"/>
          <w:sz w:val="22"/>
          <w:szCs w:val="22"/>
          <w:lang w:val="es-ES_tradnl" w:eastAsia="es-ES"/>
        </w:rPr>
        <w:t>D</w:t>
      </w:r>
      <w:r w:rsidR="00D32CF9" w:rsidRPr="00D32CF9">
        <w:rPr>
          <w:rFonts w:ascii="Times New Roman" w:eastAsia="Times New Roman" w:hAnsi="Times New Roman" w:cs="Times New Roman"/>
          <w:sz w:val="22"/>
          <w:szCs w:val="22"/>
          <w:lang w:val="es-ES_tradnl" w:eastAsia="es-ES"/>
        </w:rPr>
        <w:t xml:space="preserve">años por </w:t>
      </w:r>
      <w:r w:rsidR="00B53E51">
        <w:rPr>
          <w:rFonts w:ascii="Times New Roman" w:eastAsia="Times New Roman" w:hAnsi="Times New Roman" w:cs="Times New Roman"/>
          <w:sz w:val="22"/>
          <w:szCs w:val="22"/>
          <w:lang w:val="es-ES_tradnl" w:eastAsia="es-ES"/>
        </w:rPr>
        <w:t>D</w:t>
      </w:r>
      <w:r w:rsidR="00D32CF9" w:rsidRPr="00D32CF9">
        <w:rPr>
          <w:rFonts w:ascii="Times New Roman" w:eastAsia="Times New Roman" w:hAnsi="Times New Roman" w:cs="Times New Roman"/>
          <w:sz w:val="22"/>
          <w:szCs w:val="22"/>
          <w:lang w:val="es-ES_tradnl" w:eastAsia="es-ES"/>
        </w:rPr>
        <w:t xml:space="preserve">esastres </w:t>
      </w:r>
      <w:r w:rsidR="00B53E51">
        <w:rPr>
          <w:rFonts w:ascii="Times New Roman" w:eastAsia="Times New Roman" w:hAnsi="Times New Roman" w:cs="Times New Roman"/>
          <w:sz w:val="22"/>
          <w:szCs w:val="22"/>
          <w:lang w:val="es-ES_tradnl" w:eastAsia="es-ES"/>
        </w:rPr>
        <w:t>N</w:t>
      </w:r>
      <w:r w:rsidR="00D32CF9" w:rsidRPr="00D32CF9">
        <w:rPr>
          <w:rFonts w:ascii="Times New Roman" w:eastAsia="Times New Roman" w:hAnsi="Times New Roman" w:cs="Times New Roman"/>
          <w:sz w:val="22"/>
          <w:szCs w:val="22"/>
          <w:lang w:val="es-ES_tradnl" w:eastAsia="es-ES"/>
        </w:rPr>
        <w:t xml:space="preserve">aturales” con </w:t>
      </w:r>
      <w:r w:rsidR="002D3E09">
        <w:rPr>
          <w:rFonts w:ascii="Times New Roman" w:eastAsia="Times New Roman" w:hAnsi="Times New Roman" w:cs="Times New Roman"/>
          <w:sz w:val="22"/>
          <w:szCs w:val="22"/>
          <w:lang w:val="es-ES_tradnl" w:eastAsia="es-ES"/>
        </w:rPr>
        <w:t xml:space="preserve">el </w:t>
      </w:r>
      <w:r w:rsidR="00D32CF9" w:rsidRPr="00D32CF9">
        <w:rPr>
          <w:rFonts w:ascii="Times New Roman" w:eastAsia="Times New Roman" w:hAnsi="Times New Roman" w:cs="Times New Roman"/>
          <w:sz w:val="22"/>
          <w:szCs w:val="22"/>
          <w:lang w:val="es-ES_tradnl" w:eastAsia="es-ES"/>
        </w:rPr>
        <w:t>presupuesto</w:t>
      </w:r>
      <w:r w:rsidR="00D32CF9">
        <w:rPr>
          <w:rFonts w:ascii="Times New Roman" w:eastAsia="Times New Roman" w:hAnsi="Times New Roman" w:cs="Times New Roman"/>
          <w:sz w:val="22"/>
          <w:szCs w:val="22"/>
          <w:lang w:val="es-ES_tradnl" w:eastAsia="es-ES"/>
        </w:rPr>
        <w:t xml:space="preserve"> pequeño</w:t>
      </w:r>
      <w:r w:rsidR="00D32CF9" w:rsidRPr="00D32CF9">
        <w:rPr>
          <w:rFonts w:ascii="Times New Roman" w:eastAsia="Times New Roman" w:hAnsi="Times New Roman" w:cs="Times New Roman"/>
          <w:sz w:val="22"/>
          <w:szCs w:val="22"/>
          <w:lang w:val="es-ES_tradnl" w:eastAsia="es-ES"/>
        </w:rPr>
        <w:t xml:space="preserve"> de Q</w:t>
      </w:r>
      <w:r w:rsidR="00D32CF9">
        <w:rPr>
          <w:rFonts w:ascii="Times New Roman" w:eastAsia="Times New Roman" w:hAnsi="Times New Roman" w:cs="Times New Roman"/>
          <w:sz w:val="22"/>
          <w:szCs w:val="22"/>
          <w:lang w:val="es-ES_tradnl" w:eastAsia="es-ES"/>
        </w:rPr>
        <w:t>3</w:t>
      </w:r>
      <w:r w:rsidR="00D32CF9" w:rsidRPr="00D32CF9">
        <w:rPr>
          <w:rFonts w:ascii="Times New Roman" w:eastAsia="Times New Roman" w:hAnsi="Times New Roman" w:cs="Times New Roman"/>
          <w:sz w:val="22"/>
          <w:szCs w:val="22"/>
          <w:lang w:val="es-ES_tradnl" w:eastAsia="es-ES"/>
        </w:rPr>
        <w:t>.</w:t>
      </w:r>
      <w:r w:rsidR="00D32CF9">
        <w:rPr>
          <w:rFonts w:ascii="Times New Roman" w:eastAsia="Times New Roman" w:hAnsi="Times New Roman" w:cs="Times New Roman"/>
          <w:sz w:val="22"/>
          <w:szCs w:val="22"/>
          <w:lang w:val="es-ES_tradnl" w:eastAsia="es-ES"/>
        </w:rPr>
        <w:t>7</w:t>
      </w:r>
      <w:r w:rsidR="00D32CF9" w:rsidRPr="00D32CF9">
        <w:rPr>
          <w:rFonts w:ascii="Times New Roman" w:eastAsia="Times New Roman" w:hAnsi="Times New Roman" w:cs="Times New Roman"/>
          <w:sz w:val="22"/>
          <w:szCs w:val="22"/>
          <w:lang w:val="es-ES_tradnl" w:eastAsia="es-ES"/>
        </w:rPr>
        <w:t xml:space="preserve"> millones</w:t>
      </w:r>
      <w:r w:rsidR="00D32CF9">
        <w:rPr>
          <w:rFonts w:ascii="Times New Roman" w:eastAsia="Times New Roman" w:hAnsi="Times New Roman" w:cs="Times New Roman"/>
          <w:sz w:val="22"/>
          <w:szCs w:val="22"/>
          <w:lang w:val="es-ES_tradnl" w:eastAsia="es-ES"/>
        </w:rPr>
        <w:t xml:space="preserve"> y</w:t>
      </w:r>
      <w:r w:rsidR="00D32CF9" w:rsidRPr="00D32CF9">
        <w:rPr>
          <w:rFonts w:ascii="Times New Roman" w:eastAsia="Times New Roman" w:hAnsi="Times New Roman" w:cs="Times New Roman"/>
          <w:sz w:val="22"/>
          <w:szCs w:val="22"/>
          <w:lang w:val="es-ES_tradnl" w:eastAsia="es-ES"/>
        </w:rPr>
        <w:t xml:space="preserve"> que hasta el cierre de</w:t>
      </w:r>
      <w:r w:rsidR="00D32CF9">
        <w:rPr>
          <w:rFonts w:ascii="Times New Roman" w:eastAsia="Times New Roman" w:hAnsi="Times New Roman" w:cs="Times New Roman"/>
          <w:sz w:val="22"/>
          <w:szCs w:val="22"/>
          <w:lang w:val="es-ES_tradnl" w:eastAsia="es-ES"/>
        </w:rPr>
        <w:t>l ejercicio re</w:t>
      </w:r>
      <w:r w:rsidR="00D32CF9" w:rsidRPr="00D32CF9">
        <w:rPr>
          <w:rFonts w:ascii="Times New Roman" w:eastAsia="Times New Roman" w:hAnsi="Times New Roman" w:cs="Times New Roman"/>
          <w:sz w:val="22"/>
          <w:szCs w:val="22"/>
          <w:lang w:val="es-ES_tradnl" w:eastAsia="es-ES"/>
        </w:rPr>
        <w:t>port</w:t>
      </w:r>
      <w:r w:rsidR="00B53E51">
        <w:rPr>
          <w:rFonts w:ascii="Times New Roman" w:eastAsia="Times New Roman" w:hAnsi="Times New Roman" w:cs="Times New Roman"/>
          <w:sz w:val="22"/>
          <w:szCs w:val="22"/>
          <w:lang w:val="es-ES_tradnl" w:eastAsia="es-ES"/>
        </w:rPr>
        <w:t>ó</w:t>
      </w:r>
      <w:r w:rsidR="00D32CF9" w:rsidRPr="00D32CF9">
        <w:rPr>
          <w:rFonts w:ascii="Times New Roman" w:eastAsia="Times New Roman" w:hAnsi="Times New Roman" w:cs="Times New Roman"/>
          <w:sz w:val="22"/>
          <w:szCs w:val="22"/>
          <w:lang w:val="es-ES_tradnl" w:eastAsia="es-ES"/>
        </w:rPr>
        <w:t xml:space="preserve"> ejecución de </w:t>
      </w:r>
      <w:r w:rsidR="00D32CF9">
        <w:rPr>
          <w:rFonts w:ascii="Times New Roman" w:eastAsia="Times New Roman" w:hAnsi="Times New Roman" w:cs="Times New Roman"/>
          <w:sz w:val="22"/>
          <w:szCs w:val="22"/>
          <w:lang w:val="es-ES_tradnl" w:eastAsia="es-ES"/>
        </w:rPr>
        <w:t>54</w:t>
      </w:r>
      <w:r w:rsidR="00D32CF9" w:rsidRPr="00D32CF9">
        <w:rPr>
          <w:rFonts w:ascii="Times New Roman" w:eastAsia="Times New Roman" w:hAnsi="Times New Roman" w:cs="Times New Roman"/>
          <w:sz w:val="22"/>
          <w:szCs w:val="22"/>
          <w:lang w:val="es-ES_tradnl" w:eastAsia="es-ES"/>
        </w:rPr>
        <w:t>.</w:t>
      </w:r>
      <w:r w:rsidR="00D32CF9">
        <w:rPr>
          <w:rFonts w:ascii="Times New Roman" w:eastAsia="Times New Roman" w:hAnsi="Times New Roman" w:cs="Times New Roman"/>
          <w:sz w:val="22"/>
          <w:szCs w:val="22"/>
          <w:lang w:val="es-ES_tradnl" w:eastAsia="es-ES"/>
        </w:rPr>
        <w:t>6</w:t>
      </w:r>
      <w:r w:rsidR="00D32CF9" w:rsidRPr="00D32CF9">
        <w:rPr>
          <w:rFonts w:ascii="Times New Roman" w:eastAsia="Times New Roman" w:hAnsi="Times New Roman" w:cs="Times New Roman"/>
          <w:sz w:val="22"/>
          <w:szCs w:val="22"/>
          <w:lang w:val="es-ES_tradnl" w:eastAsia="es-ES"/>
        </w:rPr>
        <w:t>%.</w:t>
      </w:r>
    </w:p>
    <w:p w14:paraId="0EC7C110" w14:textId="204646B3" w:rsidR="00FB40DA" w:rsidRDefault="00FB40DA" w:rsidP="00D32CF9">
      <w:pPr>
        <w:jc w:val="both"/>
        <w:rPr>
          <w:rFonts w:ascii="Times New Roman" w:eastAsia="Times New Roman" w:hAnsi="Times New Roman" w:cs="Times New Roman"/>
          <w:sz w:val="22"/>
          <w:szCs w:val="22"/>
          <w:lang w:val="es-ES_tradnl" w:eastAsia="es-ES"/>
        </w:rPr>
      </w:pPr>
    </w:p>
    <w:p w14:paraId="43130A3C" w14:textId="3AD653A7" w:rsidR="00FB40DA" w:rsidRDefault="00FB40DA" w:rsidP="00D32CF9">
      <w:pPr>
        <w:jc w:val="both"/>
        <w:rPr>
          <w:rFonts w:ascii="Times New Roman" w:eastAsia="Times New Roman" w:hAnsi="Times New Roman" w:cs="Times New Roman"/>
          <w:sz w:val="22"/>
          <w:szCs w:val="22"/>
          <w:lang w:val="es-ES_tradnl" w:eastAsia="es-ES"/>
        </w:rPr>
      </w:pPr>
      <w:bookmarkStart w:id="79" w:name="_Hlk157783501"/>
      <w:r w:rsidRPr="00B53E51">
        <w:rPr>
          <w:rFonts w:ascii="Times New Roman" w:eastAsia="Times New Roman" w:hAnsi="Times New Roman" w:cs="Times New Roman"/>
          <w:sz w:val="22"/>
          <w:szCs w:val="22"/>
          <w:lang w:val="es-ES_tradnl" w:eastAsia="es-ES"/>
        </w:rPr>
        <w:t>En total</w:t>
      </w:r>
      <w:r>
        <w:rPr>
          <w:rFonts w:ascii="Times New Roman" w:eastAsia="Times New Roman" w:hAnsi="Times New Roman" w:cs="Times New Roman"/>
          <w:sz w:val="22"/>
          <w:szCs w:val="22"/>
          <w:lang w:val="es-ES_tradnl" w:eastAsia="es-ES"/>
        </w:rPr>
        <w:t xml:space="preserve"> </w:t>
      </w:r>
      <w:r w:rsidR="00B53E51">
        <w:rPr>
          <w:rFonts w:ascii="Times New Roman" w:eastAsia="Times New Roman" w:hAnsi="Times New Roman" w:cs="Times New Roman"/>
          <w:sz w:val="22"/>
          <w:szCs w:val="22"/>
          <w:lang w:val="es-ES_tradnl" w:eastAsia="es-ES"/>
        </w:rPr>
        <w:t xml:space="preserve">las intervenciones por programas en atención a los Estados de Calamidad Pública alcanzaron </w:t>
      </w:r>
      <w:r w:rsidR="00A973FA">
        <w:rPr>
          <w:rFonts w:ascii="Times New Roman" w:eastAsia="Times New Roman" w:hAnsi="Times New Roman" w:cs="Times New Roman"/>
          <w:sz w:val="22"/>
          <w:szCs w:val="22"/>
          <w:lang w:val="es-ES_tradnl" w:eastAsia="es-ES"/>
        </w:rPr>
        <w:t>el</w:t>
      </w:r>
      <w:r w:rsidR="00B53E51">
        <w:rPr>
          <w:rFonts w:ascii="Times New Roman" w:eastAsia="Times New Roman" w:hAnsi="Times New Roman" w:cs="Times New Roman"/>
          <w:sz w:val="22"/>
          <w:szCs w:val="22"/>
          <w:lang w:val="es-ES_tradnl" w:eastAsia="es-ES"/>
        </w:rPr>
        <w:t xml:space="preserve"> monto de Q1,548.7 millones, </w:t>
      </w:r>
      <w:r w:rsidR="00B60499">
        <w:rPr>
          <w:rFonts w:ascii="Times New Roman" w:eastAsia="Times New Roman" w:hAnsi="Times New Roman" w:cs="Times New Roman"/>
          <w:sz w:val="22"/>
          <w:szCs w:val="22"/>
          <w:lang w:val="es-ES_tradnl" w:eastAsia="es-ES"/>
        </w:rPr>
        <w:t>cabe resaltar que durante 2023 no existió declaratoria de Estado de Calamidad Pública, por lo que las intervenciones reportadas corresponden a eventos y siniestros ocurridos en años anteriores.</w:t>
      </w:r>
    </w:p>
    <w:bookmarkEnd w:id="79"/>
    <w:p w14:paraId="6AF0453F" w14:textId="5B5242C6" w:rsidR="00D32CF9" w:rsidRDefault="00D32CF9" w:rsidP="00807DF0">
      <w:pPr>
        <w:jc w:val="both"/>
        <w:rPr>
          <w:rFonts w:ascii="Times New Roman" w:eastAsia="Times New Roman" w:hAnsi="Times New Roman" w:cs="Times New Roman"/>
          <w:sz w:val="22"/>
          <w:szCs w:val="22"/>
          <w:lang w:val="es-ES_tradnl" w:eastAsia="es-ES"/>
        </w:rPr>
      </w:pPr>
    </w:p>
    <w:p w14:paraId="7DD8969F" w14:textId="791749CB" w:rsidR="004245AE" w:rsidRDefault="004245AE" w:rsidP="00807DF0">
      <w:pPr>
        <w:jc w:val="both"/>
        <w:rPr>
          <w:rFonts w:ascii="Times New Roman" w:eastAsia="Times New Roman" w:hAnsi="Times New Roman" w:cs="Times New Roman"/>
          <w:sz w:val="22"/>
          <w:szCs w:val="22"/>
          <w:lang w:val="es-ES_tradnl" w:eastAsia="es-ES"/>
        </w:rPr>
      </w:pPr>
    </w:p>
    <w:p w14:paraId="0D76F0A7" w14:textId="631BF16D" w:rsidR="004245AE" w:rsidRDefault="004245AE" w:rsidP="00807DF0">
      <w:pPr>
        <w:jc w:val="both"/>
        <w:rPr>
          <w:rFonts w:ascii="Times New Roman" w:eastAsia="Times New Roman" w:hAnsi="Times New Roman" w:cs="Times New Roman"/>
          <w:sz w:val="22"/>
          <w:szCs w:val="22"/>
          <w:lang w:val="es-ES_tradnl" w:eastAsia="es-ES"/>
        </w:rPr>
      </w:pPr>
    </w:p>
    <w:p w14:paraId="4209BCD0" w14:textId="1AD3F73D" w:rsidR="004245AE" w:rsidRDefault="004245AE" w:rsidP="00807DF0">
      <w:pPr>
        <w:jc w:val="both"/>
        <w:rPr>
          <w:rFonts w:ascii="Times New Roman" w:eastAsia="Times New Roman" w:hAnsi="Times New Roman" w:cs="Times New Roman"/>
          <w:sz w:val="22"/>
          <w:szCs w:val="22"/>
          <w:lang w:val="es-ES_tradnl" w:eastAsia="es-ES"/>
        </w:rPr>
      </w:pPr>
    </w:p>
    <w:p w14:paraId="50C0993B" w14:textId="7F1402A0" w:rsidR="004245AE" w:rsidRDefault="004245AE" w:rsidP="00807DF0">
      <w:pPr>
        <w:jc w:val="both"/>
        <w:rPr>
          <w:rFonts w:ascii="Times New Roman" w:eastAsia="Times New Roman" w:hAnsi="Times New Roman" w:cs="Times New Roman"/>
          <w:sz w:val="22"/>
          <w:szCs w:val="22"/>
          <w:lang w:val="es-ES_tradnl" w:eastAsia="es-ES"/>
        </w:rPr>
      </w:pPr>
    </w:p>
    <w:p w14:paraId="3DB5A33E" w14:textId="0F265D0E" w:rsidR="004245AE" w:rsidRDefault="004245AE" w:rsidP="00807DF0">
      <w:pPr>
        <w:jc w:val="both"/>
        <w:rPr>
          <w:rFonts w:ascii="Times New Roman" w:eastAsia="Times New Roman" w:hAnsi="Times New Roman" w:cs="Times New Roman"/>
          <w:sz w:val="22"/>
          <w:szCs w:val="22"/>
          <w:lang w:val="es-ES_tradnl" w:eastAsia="es-ES"/>
        </w:rPr>
      </w:pPr>
    </w:p>
    <w:p w14:paraId="4DCC9317" w14:textId="77777777" w:rsidR="004245AE" w:rsidRDefault="004245AE" w:rsidP="00807DF0">
      <w:pPr>
        <w:jc w:val="both"/>
        <w:rPr>
          <w:rFonts w:ascii="Times New Roman" w:eastAsia="Times New Roman" w:hAnsi="Times New Roman" w:cs="Times New Roman"/>
          <w:sz w:val="22"/>
          <w:szCs w:val="22"/>
          <w:lang w:val="es-ES_tradnl" w:eastAsia="es-ES"/>
        </w:rPr>
      </w:pPr>
    </w:p>
    <w:p w14:paraId="3C3A94F4" w14:textId="36107EF5" w:rsidR="0039645E" w:rsidRPr="004245AE" w:rsidRDefault="004245AE" w:rsidP="004245AE">
      <w:pPr>
        <w:pStyle w:val="Descripcin"/>
        <w:keepNext/>
        <w:spacing w:after="0"/>
        <w:jc w:val="center"/>
        <w:rPr>
          <w:sz w:val="22"/>
          <w:szCs w:val="22"/>
        </w:rPr>
      </w:pPr>
      <w:bookmarkStart w:id="80" w:name="_Toc125534811"/>
      <w:bookmarkStart w:id="81" w:name="_Toc160196920"/>
      <w:r w:rsidRPr="004245AE">
        <w:rPr>
          <w:sz w:val="22"/>
          <w:szCs w:val="22"/>
        </w:rPr>
        <w:lastRenderedPageBreak/>
        <w:t xml:space="preserve">Tabla </w:t>
      </w:r>
      <w:r w:rsidRPr="004245AE">
        <w:rPr>
          <w:sz w:val="22"/>
          <w:szCs w:val="22"/>
        </w:rPr>
        <w:fldChar w:fldCharType="begin"/>
      </w:r>
      <w:r w:rsidRPr="004245AE">
        <w:rPr>
          <w:sz w:val="22"/>
          <w:szCs w:val="22"/>
        </w:rPr>
        <w:instrText xml:space="preserve"> SEQ Tabla \* ARABIC </w:instrText>
      </w:r>
      <w:r w:rsidRPr="004245AE">
        <w:rPr>
          <w:sz w:val="22"/>
          <w:szCs w:val="22"/>
        </w:rPr>
        <w:fldChar w:fldCharType="separate"/>
      </w:r>
      <w:r w:rsidR="00C015DC">
        <w:rPr>
          <w:noProof/>
          <w:sz w:val="22"/>
          <w:szCs w:val="22"/>
        </w:rPr>
        <w:t>5</w:t>
      </w:r>
      <w:r w:rsidRPr="004245AE">
        <w:rPr>
          <w:sz w:val="22"/>
          <w:szCs w:val="22"/>
        </w:rPr>
        <w:fldChar w:fldCharType="end"/>
      </w:r>
      <w:r w:rsidRPr="004245AE">
        <w:rPr>
          <w:sz w:val="22"/>
          <w:szCs w:val="22"/>
        </w:rPr>
        <w:t xml:space="preserve">.  </w:t>
      </w:r>
      <w:r w:rsidR="0039645E" w:rsidRPr="004245AE">
        <w:rPr>
          <w:rFonts w:eastAsia="Times New Roman" w:cs="Times New Roman"/>
          <w:sz w:val="22"/>
          <w:szCs w:val="22"/>
          <w:lang w:val="es-ES_tradnl" w:eastAsia="es-ES"/>
        </w:rPr>
        <w:t>Seguimiento de Programas en atención a las declaratorias de Estados de Calamidad</w:t>
      </w:r>
      <w:bookmarkEnd w:id="80"/>
      <w:bookmarkEnd w:id="81"/>
    </w:p>
    <w:p w14:paraId="2E71250A" w14:textId="33BEAE27" w:rsidR="0039645E" w:rsidRDefault="0039645E" w:rsidP="0039645E">
      <w:pPr>
        <w:jc w:val="center"/>
        <w:rPr>
          <w:rFonts w:ascii="Times New Roman" w:eastAsia="Times New Roman" w:hAnsi="Times New Roman" w:cs="Times New Roman"/>
          <w:sz w:val="20"/>
          <w:szCs w:val="22"/>
          <w:lang w:val="es-ES_tradnl" w:eastAsia="es-ES"/>
        </w:rPr>
      </w:pPr>
      <w:r w:rsidRPr="004A66F0">
        <w:rPr>
          <w:rFonts w:ascii="Times New Roman" w:eastAsia="Times New Roman" w:hAnsi="Times New Roman" w:cs="Times New Roman"/>
          <w:sz w:val="20"/>
          <w:szCs w:val="22"/>
          <w:lang w:val="es-ES_tradnl" w:eastAsia="es-ES"/>
        </w:rPr>
        <w:t xml:space="preserve">Millones de quetzales y porcentajes </w:t>
      </w:r>
    </w:p>
    <w:tbl>
      <w:tblPr>
        <w:tblW w:w="7940" w:type="dxa"/>
        <w:jc w:val="center"/>
        <w:tblCellMar>
          <w:left w:w="70" w:type="dxa"/>
          <w:right w:w="70" w:type="dxa"/>
        </w:tblCellMar>
        <w:tblLook w:val="04A0" w:firstRow="1" w:lastRow="0" w:firstColumn="1" w:lastColumn="0" w:noHBand="0" w:noVBand="1"/>
      </w:tblPr>
      <w:tblGrid>
        <w:gridCol w:w="3660"/>
        <w:gridCol w:w="1560"/>
        <w:gridCol w:w="1360"/>
        <w:gridCol w:w="1360"/>
      </w:tblGrid>
      <w:tr w:rsidR="007B2E98" w:rsidRPr="007B2E98" w14:paraId="00448D90" w14:textId="77777777" w:rsidTr="007B2E98">
        <w:trPr>
          <w:trHeight w:val="270"/>
          <w:jc w:val="center"/>
        </w:trPr>
        <w:tc>
          <w:tcPr>
            <w:tcW w:w="3660" w:type="dxa"/>
            <w:vMerge w:val="restart"/>
            <w:tcBorders>
              <w:top w:val="single" w:sz="8" w:space="0" w:color="auto"/>
              <w:left w:val="single" w:sz="8" w:space="0" w:color="auto"/>
              <w:bottom w:val="single" w:sz="8" w:space="0" w:color="000000"/>
              <w:right w:val="single" w:sz="8" w:space="0" w:color="auto"/>
            </w:tcBorders>
            <w:shd w:val="clear" w:color="000000" w:fill="1F4E78"/>
            <w:noWrap/>
            <w:vAlign w:val="center"/>
            <w:hideMark/>
          </w:tcPr>
          <w:p w14:paraId="5176B6A2" w14:textId="77777777" w:rsidR="007B2E98" w:rsidRPr="007B2E98" w:rsidRDefault="007B2E98" w:rsidP="007B2E98">
            <w:pPr>
              <w:jc w:val="center"/>
              <w:rPr>
                <w:rFonts w:ascii="Times New Roman" w:eastAsia="Times New Roman" w:hAnsi="Times New Roman" w:cs="Times New Roman"/>
                <w:b/>
                <w:bCs/>
                <w:color w:val="FFFFFF"/>
                <w:sz w:val="20"/>
                <w:szCs w:val="20"/>
                <w:lang w:eastAsia="es-GT"/>
              </w:rPr>
            </w:pPr>
            <w:r w:rsidRPr="007B2E98">
              <w:rPr>
                <w:rFonts w:ascii="Times New Roman" w:eastAsia="Times New Roman" w:hAnsi="Times New Roman" w:cs="Times New Roman"/>
                <w:b/>
                <w:bCs/>
                <w:color w:val="FFFFFF"/>
                <w:sz w:val="20"/>
                <w:szCs w:val="20"/>
                <w:lang w:eastAsia="es-GT"/>
              </w:rPr>
              <w:t>Actividades</w:t>
            </w:r>
          </w:p>
        </w:tc>
        <w:tc>
          <w:tcPr>
            <w:tcW w:w="2920" w:type="dxa"/>
            <w:gridSpan w:val="2"/>
            <w:tcBorders>
              <w:top w:val="single" w:sz="8" w:space="0" w:color="auto"/>
              <w:left w:val="nil"/>
              <w:bottom w:val="single" w:sz="8" w:space="0" w:color="auto"/>
              <w:right w:val="single" w:sz="8" w:space="0" w:color="000000"/>
            </w:tcBorders>
            <w:shd w:val="clear" w:color="000000" w:fill="1F4E78"/>
            <w:noWrap/>
            <w:vAlign w:val="center"/>
            <w:hideMark/>
          </w:tcPr>
          <w:p w14:paraId="52494EA6" w14:textId="77777777" w:rsidR="007B2E98" w:rsidRPr="007B2E98" w:rsidRDefault="007B2E98" w:rsidP="007B2E98">
            <w:pPr>
              <w:jc w:val="center"/>
              <w:rPr>
                <w:rFonts w:ascii="Times New Roman" w:eastAsia="Times New Roman" w:hAnsi="Times New Roman" w:cs="Times New Roman"/>
                <w:b/>
                <w:bCs/>
                <w:color w:val="FFFFFF"/>
                <w:sz w:val="20"/>
                <w:szCs w:val="20"/>
                <w:lang w:eastAsia="es-GT"/>
              </w:rPr>
            </w:pPr>
            <w:r w:rsidRPr="007B2E98">
              <w:rPr>
                <w:rFonts w:ascii="Times New Roman" w:eastAsia="Times New Roman" w:hAnsi="Times New Roman" w:cs="Times New Roman"/>
                <w:b/>
                <w:bCs/>
                <w:color w:val="FFFFFF"/>
                <w:sz w:val="20"/>
                <w:szCs w:val="20"/>
                <w:lang w:eastAsia="es-GT"/>
              </w:rPr>
              <w:t>2023</w:t>
            </w:r>
          </w:p>
        </w:tc>
        <w:tc>
          <w:tcPr>
            <w:tcW w:w="1360" w:type="dxa"/>
            <w:vMerge w:val="restart"/>
            <w:tcBorders>
              <w:top w:val="single" w:sz="8" w:space="0" w:color="auto"/>
              <w:left w:val="nil"/>
              <w:bottom w:val="single" w:sz="8" w:space="0" w:color="000000"/>
              <w:right w:val="single" w:sz="8" w:space="0" w:color="auto"/>
            </w:tcBorders>
            <w:shd w:val="clear" w:color="000000" w:fill="1F4E78"/>
            <w:vAlign w:val="center"/>
            <w:hideMark/>
          </w:tcPr>
          <w:p w14:paraId="615B226D" w14:textId="77777777" w:rsidR="007B2E98" w:rsidRPr="007B2E98" w:rsidRDefault="007B2E98" w:rsidP="007B2E98">
            <w:pPr>
              <w:jc w:val="center"/>
              <w:rPr>
                <w:rFonts w:ascii="Times New Roman" w:eastAsia="Times New Roman" w:hAnsi="Times New Roman" w:cs="Times New Roman"/>
                <w:b/>
                <w:bCs/>
                <w:color w:val="FFFFFF"/>
                <w:sz w:val="20"/>
                <w:szCs w:val="20"/>
                <w:lang w:eastAsia="es-GT"/>
              </w:rPr>
            </w:pPr>
            <w:r w:rsidRPr="007B2E98">
              <w:rPr>
                <w:rFonts w:ascii="Times New Roman" w:eastAsia="Times New Roman" w:hAnsi="Times New Roman" w:cs="Times New Roman"/>
                <w:b/>
                <w:bCs/>
                <w:color w:val="FFFFFF"/>
                <w:sz w:val="20"/>
                <w:szCs w:val="20"/>
                <w:lang w:eastAsia="es-GT"/>
              </w:rPr>
              <w:t>% de Ejecución</w:t>
            </w:r>
          </w:p>
        </w:tc>
      </w:tr>
      <w:tr w:rsidR="007B2E98" w:rsidRPr="007B2E98" w14:paraId="0EA53C8F" w14:textId="77777777" w:rsidTr="007B2E98">
        <w:trPr>
          <w:trHeight w:val="675"/>
          <w:jc w:val="center"/>
        </w:trPr>
        <w:tc>
          <w:tcPr>
            <w:tcW w:w="3660" w:type="dxa"/>
            <w:vMerge/>
            <w:tcBorders>
              <w:top w:val="single" w:sz="8" w:space="0" w:color="auto"/>
              <w:left w:val="single" w:sz="8" w:space="0" w:color="auto"/>
              <w:bottom w:val="single" w:sz="8" w:space="0" w:color="000000"/>
              <w:right w:val="single" w:sz="8" w:space="0" w:color="auto"/>
            </w:tcBorders>
            <w:vAlign w:val="center"/>
            <w:hideMark/>
          </w:tcPr>
          <w:p w14:paraId="60F7783F" w14:textId="77777777" w:rsidR="007B2E98" w:rsidRPr="007B2E98" w:rsidRDefault="007B2E98" w:rsidP="007B2E98">
            <w:pPr>
              <w:rPr>
                <w:rFonts w:ascii="Times New Roman" w:eastAsia="Times New Roman" w:hAnsi="Times New Roman" w:cs="Times New Roman"/>
                <w:b/>
                <w:bCs/>
                <w:color w:val="FFFFFF"/>
                <w:sz w:val="20"/>
                <w:szCs w:val="20"/>
                <w:lang w:eastAsia="es-GT"/>
              </w:rPr>
            </w:pPr>
          </w:p>
        </w:tc>
        <w:tc>
          <w:tcPr>
            <w:tcW w:w="1560" w:type="dxa"/>
            <w:tcBorders>
              <w:top w:val="nil"/>
              <w:left w:val="nil"/>
              <w:bottom w:val="single" w:sz="8" w:space="0" w:color="auto"/>
              <w:right w:val="single" w:sz="8" w:space="0" w:color="auto"/>
            </w:tcBorders>
            <w:shd w:val="clear" w:color="000000" w:fill="1F4E78"/>
            <w:vAlign w:val="center"/>
            <w:hideMark/>
          </w:tcPr>
          <w:p w14:paraId="10CCE5CD" w14:textId="77777777" w:rsidR="007B2E98" w:rsidRPr="007B2E98" w:rsidRDefault="007B2E98" w:rsidP="007B2E98">
            <w:pPr>
              <w:jc w:val="center"/>
              <w:rPr>
                <w:rFonts w:ascii="Times New Roman" w:eastAsia="Times New Roman" w:hAnsi="Times New Roman" w:cs="Times New Roman"/>
                <w:b/>
                <w:bCs/>
                <w:color w:val="FFFFFF"/>
                <w:sz w:val="20"/>
                <w:szCs w:val="20"/>
                <w:lang w:eastAsia="es-GT"/>
              </w:rPr>
            </w:pPr>
            <w:r w:rsidRPr="007B2E98">
              <w:rPr>
                <w:rFonts w:ascii="Times New Roman" w:eastAsia="Times New Roman" w:hAnsi="Times New Roman" w:cs="Times New Roman"/>
                <w:b/>
                <w:bCs/>
                <w:color w:val="FFFFFF"/>
                <w:sz w:val="20"/>
                <w:szCs w:val="20"/>
                <w:lang w:eastAsia="es-GT"/>
              </w:rPr>
              <w:t>Presupuesto Vigente</w:t>
            </w:r>
          </w:p>
        </w:tc>
        <w:tc>
          <w:tcPr>
            <w:tcW w:w="1360" w:type="dxa"/>
            <w:tcBorders>
              <w:top w:val="nil"/>
              <w:left w:val="nil"/>
              <w:bottom w:val="single" w:sz="8" w:space="0" w:color="auto"/>
              <w:right w:val="single" w:sz="8" w:space="0" w:color="auto"/>
            </w:tcBorders>
            <w:shd w:val="clear" w:color="000000" w:fill="1F4E78"/>
            <w:noWrap/>
            <w:vAlign w:val="center"/>
            <w:hideMark/>
          </w:tcPr>
          <w:p w14:paraId="1F98B454" w14:textId="77777777" w:rsidR="007B2E98" w:rsidRPr="007B2E98" w:rsidRDefault="007B2E98" w:rsidP="007B2E98">
            <w:pPr>
              <w:jc w:val="center"/>
              <w:rPr>
                <w:rFonts w:ascii="Times New Roman" w:eastAsia="Times New Roman" w:hAnsi="Times New Roman" w:cs="Times New Roman"/>
                <w:b/>
                <w:bCs/>
                <w:color w:val="FFFFFF"/>
                <w:sz w:val="20"/>
                <w:szCs w:val="20"/>
                <w:lang w:eastAsia="es-GT"/>
              </w:rPr>
            </w:pPr>
            <w:r w:rsidRPr="007B2E98">
              <w:rPr>
                <w:rFonts w:ascii="Times New Roman" w:eastAsia="Times New Roman" w:hAnsi="Times New Roman" w:cs="Times New Roman"/>
                <w:b/>
                <w:bCs/>
                <w:color w:val="FFFFFF"/>
                <w:sz w:val="20"/>
                <w:szCs w:val="20"/>
                <w:lang w:eastAsia="es-GT"/>
              </w:rPr>
              <w:t>Ejecución</w:t>
            </w:r>
          </w:p>
        </w:tc>
        <w:tc>
          <w:tcPr>
            <w:tcW w:w="1360" w:type="dxa"/>
            <w:vMerge/>
            <w:tcBorders>
              <w:top w:val="single" w:sz="8" w:space="0" w:color="auto"/>
              <w:left w:val="nil"/>
              <w:bottom w:val="single" w:sz="8" w:space="0" w:color="000000"/>
              <w:right w:val="single" w:sz="8" w:space="0" w:color="auto"/>
            </w:tcBorders>
            <w:vAlign w:val="center"/>
            <w:hideMark/>
          </w:tcPr>
          <w:p w14:paraId="404ABF9A" w14:textId="77777777" w:rsidR="007B2E98" w:rsidRPr="007B2E98" w:rsidRDefault="007B2E98" w:rsidP="007B2E98">
            <w:pPr>
              <w:rPr>
                <w:rFonts w:ascii="Times New Roman" w:eastAsia="Times New Roman" w:hAnsi="Times New Roman" w:cs="Times New Roman"/>
                <w:b/>
                <w:bCs/>
                <w:color w:val="FFFFFF"/>
                <w:sz w:val="20"/>
                <w:szCs w:val="20"/>
                <w:lang w:eastAsia="es-GT"/>
              </w:rPr>
            </w:pPr>
          </w:p>
        </w:tc>
      </w:tr>
      <w:tr w:rsidR="007B2E98" w:rsidRPr="007B2E98" w14:paraId="57C5343D" w14:textId="77777777" w:rsidTr="007B2E98">
        <w:trPr>
          <w:trHeight w:val="390"/>
          <w:jc w:val="center"/>
        </w:trPr>
        <w:tc>
          <w:tcPr>
            <w:tcW w:w="3660" w:type="dxa"/>
            <w:tcBorders>
              <w:top w:val="nil"/>
              <w:left w:val="single" w:sz="8" w:space="0" w:color="auto"/>
              <w:bottom w:val="nil"/>
              <w:right w:val="nil"/>
            </w:tcBorders>
            <w:shd w:val="clear" w:color="auto" w:fill="auto"/>
            <w:noWrap/>
            <w:vAlign w:val="center"/>
            <w:hideMark/>
          </w:tcPr>
          <w:p w14:paraId="7410E39B" w14:textId="77777777" w:rsidR="007B2E98" w:rsidRPr="007B2E98" w:rsidRDefault="007B2E98" w:rsidP="007B2E98">
            <w:pPr>
              <w:jc w:val="center"/>
              <w:rPr>
                <w:rFonts w:ascii="Times New Roman" w:eastAsia="Times New Roman" w:hAnsi="Times New Roman" w:cs="Times New Roman"/>
                <w:b/>
                <w:bCs/>
                <w:sz w:val="20"/>
                <w:szCs w:val="20"/>
                <w:lang w:eastAsia="es-GT"/>
              </w:rPr>
            </w:pPr>
            <w:r w:rsidRPr="007B2E98">
              <w:rPr>
                <w:rFonts w:ascii="Times New Roman" w:eastAsia="Times New Roman" w:hAnsi="Times New Roman" w:cs="Times New Roman"/>
                <w:b/>
                <w:bCs/>
                <w:sz w:val="20"/>
                <w:szCs w:val="20"/>
                <w:lang w:eastAsia="es-GT"/>
              </w:rPr>
              <w:t>Total</w:t>
            </w:r>
          </w:p>
        </w:tc>
        <w:tc>
          <w:tcPr>
            <w:tcW w:w="1560" w:type="dxa"/>
            <w:tcBorders>
              <w:top w:val="nil"/>
              <w:left w:val="single" w:sz="8" w:space="0" w:color="auto"/>
              <w:bottom w:val="nil"/>
              <w:right w:val="single" w:sz="8" w:space="0" w:color="auto"/>
            </w:tcBorders>
            <w:shd w:val="clear" w:color="auto" w:fill="auto"/>
            <w:vAlign w:val="center"/>
            <w:hideMark/>
          </w:tcPr>
          <w:p w14:paraId="46F8B136" w14:textId="77777777" w:rsidR="007B2E98" w:rsidRPr="007B2E98" w:rsidRDefault="007B2E98" w:rsidP="007B2E98">
            <w:pPr>
              <w:jc w:val="center"/>
              <w:rPr>
                <w:rFonts w:ascii="Times New Roman" w:eastAsia="Times New Roman" w:hAnsi="Times New Roman" w:cs="Times New Roman"/>
                <w:b/>
                <w:bCs/>
                <w:sz w:val="20"/>
                <w:szCs w:val="20"/>
                <w:lang w:eastAsia="es-GT"/>
              </w:rPr>
            </w:pPr>
            <w:r w:rsidRPr="007B2E98">
              <w:rPr>
                <w:rFonts w:ascii="Times New Roman" w:eastAsia="Times New Roman" w:hAnsi="Times New Roman" w:cs="Times New Roman"/>
                <w:b/>
                <w:bCs/>
                <w:sz w:val="20"/>
                <w:szCs w:val="20"/>
                <w:lang w:eastAsia="es-GT"/>
              </w:rPr>
              <w:t>1,577.1</w:t>
            </w:r>
          </w:p>
        </w:tc>
        <w:tc>
          <w:tcPr>
            <w:tcW w:w="1360" w:type="dxa"/>
            <w:tcBorders>
              <w:top w:val="nil"/>
              <w:left w:val="nil"/>
              <w:bottom w:val="nil"/>
              <w:right w:val="single" w:sz="8" w:space="0" w:color="auto"/>
            </w:tcBorders>
            <w:shd w:val="clear" w:color="auto" w:fill="auto"/>
            <w:vAlign w:val="center"/>
            <w:hideMark/>
          </w:tcPr>
          <w:p w14:paraId="4DB340DA" w14:textId="77777777" w:rsidR="007B2E98" w:rsidRPr="007B2E98" w:rsidRDefault="007B2E98" w:rsidP="007B2E98">
            <w:pPr>
              <w:jc w:val="center"/>
              <w:rPr>
                <w:rFonts w:ascii="Times New Roman" w:eastAsia="Times New Roman" w:hAnsi="Times New Roman" w:cs="Times New Roman"/>
                <w:b/>
                <w:bCs/>
                <w:sz w:val="20"/>
                <w:szCs w:val="20"/>
                <w:lang w:eastAsia="es-GT"/>
              </w:rPr>
            </w:pPr>
            <w:r w:rsidRPr="007B2E98">
              <w:rPr>
                <w:rFonts w:ascii="Times New Roman" w:eastAsia="Times New Roman" w:hAnsi="Times New Roman" w:cs="Times New Roman"/>
                <w:b/>
                <w:bCs/>
                <w:sz w:val="20"/>
                <w:szCs w:val="20"/>
                <w:lang w:eastAsia="es-GT"/>
              </w:rPr>
              <w:t>1,548.7</w:t>
            </w:r>
          </w:p>
        </w:tc>
        <w:tc>
          <w:tcPr>
            <w:tcW w:w="1360" w:type="dxa"/>
            <w:tcBorders>
              <w:top w:val="nil"/>
              <w:left w:val="nil"/>
              <w:bottom w:val="nil"/>
              <w:right w:val="single" w:sz="8" w:space="0" w:color="auto"/>
            </w:tcBorders>
            <w:shd w:val="clear" w:color="auto" w:fill="auto"/>
            <w:noWrap/>
            <w:vAlign w:val="center"/>
            <w:hideMark/>
          </w:tcPr>
          <w:p w14:paraId="70CBDC09" w14:textId="77777777" w:rsidR="007B2E98" w:rsidRPr="007B2E98" w:rsidRDefault="007B2E98" w:rsidP="007B2E98">
            <w:pPr>
              <w:jc w:val="center"/>
              <w:rPr>
                <w:rFonts w:ascii="Times New Roman" w:eastAsia="Times New Roman" w:hAnsi="Times New Roman" w:cs="Times New Roman"/>
                <w:b/>
                <w:bCs/>
                <w:sz w:val="20"/>
                <w:szCs w:val="20"/>
                <w:lang w:eastAsia="es-GT"/>
              </w:rPr>
            </w:pPr>
            <w:r w:rsidRPr="007B2E98">
              <w:rPr>
                <w:rFonts w:ascii="Times New Roman" w:eastAsia="Times New Roman" w:hAnsi="Times New Roman" w:cs="Times New Roman"/>
                <w:b/>
                <w:bCs/>
                <w:sz w:val="20"/>
                <w:szCs w:val="20"/>
                <w:lang w:eastAsia="es-GT"/>
              </w:rPr>
              <w:t>98.2</w:t>
            </w:r>
          </w:p>
        </w:tc>
      </w:tr>
      <w:tr w:rsidR="007B2E98" w:rsidRPr="007B2E98" w14:paraId="6A00F3EA" w14:textId="77777777" w:rsidTr="007B2E98">
        <w:trPr>
          <w:trHeight w:val="795"/>
          <w:jc w:val="center"/>
        </w:trPr>
        <w:tc>
          <w:tcPr>
            <w:tcW w:w="3660" w:type="dxa"/>
            <w:tcBorders>
              <w:top w:val="single" w:sz="8" w:space="0" w:color="auto"/>
              <w:left w:val="single" w:sz="8" w:space="0" w:color="auto"/>
              <w:bottom w:val="single" w:sz="8" w:space="0" w:color="auto"/>
              <w:right w:val="nil"/>
            </w:tcBorders>
            <w:shd w:val="clear" w:color="000000" w:fill="D9D9D9"/>
            <w:vAlign w:val="center"/>
            <w:hideMark/>
          </w:tcPr>
          <w:p w14:paraId="4371E273" w14:textId="77777777" w:rsidR="007B2E98" w:rsidRPr="007B2E98" w:rsidRDefault="007B2E98" w:rsidP="007B2E98">
            <w:pPr>
              <w:jc w:val="center"/>
              <w:rPr>
                <w:rFonts w:ascii="Times New Roman" w:eastAsia="Times New Roman" w:hAnsi="Times New Roman" w:cs="Times New Roman"/>
                <w:b/>
                <w:bCs/>
                <w:sz w:val="20"/>
                <w:szCs w:val="20"/>
                <w:lang w:eastAsia="es-GT"/>
              </w:rPr>
            </w:pPr>
            <w:r w:rsidRPr="007B2E98">
              <w:rPr>
                <w:rFonts w:ascii="Times New Roman" w:eastAsia="Times New Roman" w:hAnsi="Times New Roman" w:cs="Times New Roman"/>
                <w:b/>
                <w:bCs/>
                <w:sz w:val="20"/>
                <w:szCs w:val="20"/>
                <w:lang w:eastAsia="es-GT"/>
              </w:rPr>
              <w:t xml:space="preserve">Subprograma 09 Estado de Calamidad Pública por emergencia COVID-19 </w:t>
            </w:r>
          </w:p>
        </w:tc>
        <w:tc>
          <w:tcPr>
            <w:tcW w:w="156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03092AE6" w14:textId="77777777" w:rsidR="007B2E98" w:rsidRPr="007B2E98" w:rsidRDefault="007B2E98" w:rsidP="007B2E98">
            <w:pPr>
              <w:jc w:val="center"/>
              <w:rPr>
                <w:rFonts w:ascii="Times New Roman" w:eastAsia="Times New Roman" w:hAnsi="Times New Roman" w:cs="Times New Roman"/>
                <w:b/>
                <w:bCs/>
                <w:sz w:val="20"/>
                <w:szCs w:val="20"/>
                <w:lang w:eastAsia="es-GT"/>
              </w:rPr>
            </w:pPr>
            <w:r w:rsidRPr="007B2E98">
              <w:rPr>
                <w:rFonts w:ascii="Times New Roman" w:eastAsia="Times New Roman" w:hAnsi="Times New Roman" w:cs="Times New Roman"/>
                <w:b/>
                <w:bCs/>
                <w:sz w:val="20"/>
                <w:szCs w:val="20"/>
                <w:lang w:eastAsia="es-GT"/>
              </w:rPr>
              <w:t>684.1</w:t>
            </w:r>
          </w:p>
        </w:tc>
        <w:tc>
          <w:tcPr>
            <w:tcW w:w="1360" w:type="dxa"/>
            <w:tcBorders>
              <w:top w:val="single" w:sz="8" w:space="0" w:color="auto"/>
              <w:left w:val="nil"/>
              <w:bottom w:val="single" w:sz="8" w:space="0" w:color="auto"/>
              <w:right w:val="single" w:sz="8" w:space="0" w:color="auto"/>
            </w:tcBorders>
            <w:shd w:val="clear" w:color="000000" w:fill="D9D9D9"/>
            <w:noWrap/>
            <w:vAlign w:val="center"/>
            <w:hideMark/>
          </w:tcPr>
          <w:p w14:paraId="11BF7A39" w14:textId="77777777" w:rsidR="007B2E98" w:rsidRPr="007B2E98" w:rsidRDefault="007B2E98" w:rsidP="007B2E98">
            <w:pPr>
              <w:jc w:val="center"/>
              <w:rPr>
                <w:rFonts w:ascii="Times New Roman" w:eastAsia="Times New Roman" w:hAnsi="Times New Roman" w:cs="Times New Roman"/>
                <w:b/>
                <w:bCs/>
                <w:sz w:val="20"/>
                <w:szCs w:val="20"/>
                <w:lang w:eastAsia="es-GT"/>
              </w:rPr>
            </w:pPr>
            <w:r w:rsidRPr="007B2E98">
              <w:rPr>
                <w:rFonts w:ascii="Times New Roman" w:eastAsia="Times New Roman" w:hAnsi="Times New Roman" w:cs="Times New Roman"/>
                <w:b/>
                <w:bCs/>
                <w:sz w:val="20"/>
                <w:szCs w:val="20"/>
                <w:lang w:eastAsia="es-GT"/>
              </w:rPr>
              <w:t>666.3</w:t>
            </w:r>
          </w:p>
        </w:tc>
        <w:tc>
          <w:tcPr>
            <w:tcW w:w="1360" w:type="dxa"/>
            <w:tcBorders>
              <w:top w:val="single" w:sz="8" w:space="0" w:color="auto"/>
              <w:left w:val="nil"/>
              <w:bottom w:val="single" w:sz="8" w:space="0" w:color="auto"/>
              <w:right w:val="single" w:sz="8" w:space="0" w:color="auto"/>
            </w:tcBorders>
            <w:shd w:val="clear" w:color="000000" w:fill="D9D9D9"/>
            <w:noWrap/>
            <w:vAlign w:val="center"/>
            <w:hideMark/>
          </w:tcPr>
          <w:p w14:paraId="79C086D1" w14:textId="77777777" w:rsidR="007B2E98" w:rsidRPr="007B2E98" w:rsidRDefault="007B2E98" w:rsidP="007B2E98">
            <w:pPr>
              <w:jc w:val="center"/>
              <w:rPr>
                <w:rFonts w:ascii="Times New Roman" w:eastAsia="Times New Roman" w:hAnsi="Times New Roman" w:cs="Times New Roman"/>
                <w:b/>
                <w:bCs/>
                <w:sz w:val="20"/>
                <w:szCs w:val="20"/>
                <w:lang w:eastAsia="es-GT"/>
              </w:rPr>
            </w:pPr>
            <w:r w:rsidRPr="007B2E98">
              <w:rPr>
                <w:rFonts w:ascii="Times New Roman" w:eastAsia="Times New Roman" w:hAnsi="Times New Roman" w:cs="Times New Roman"/>
                <w:b/>
                <w:bCs/>
                <w:sz w:val="20"/>
                <w:szCs w:val="20"/>
                <w:lang w:eastAsia="es-GT"/>
              </w:rPr>
              <w:t>97.4</w:t>
            </w:r>
          </w:p>
        </w:tc>
      </w:tr>
      <w:tr w:rsidR="007B2E98" w:rsidRPr="007B2E98" w14:paraId="1AB2B5CF" w14:textId="77777777" w:rsidTr="007B2E98">
        <w:trPr>
          <w:trHeight w:val="540"/>
          <w:jc w:val="center"/>
        </w:trPr>
        <w:tc>
          <w:tcPr>
            <w:tcW w:w="3660" w:type="dxa"/>
            <w:tcBorders>
              <w:top w:val="nil"/>
              <w:left w:val="single" w:sz="8" w:space="0" w:color="auto"/>
              <w:bottom w:val="nil"/>
              <w:right w:val="nil"/>
            </w:tcBorders>
            <w:shd w:val="clear" w:color="auto" w:fill="auto"/>
            <w:vAlign w:val="center"/>
            <w:hideMark/>
          </w:tcPr>
          <w:p w14:paraId="419A38BE" w14:textId="77777777" w:rsidR="007B2E98" w:rsidRPr="007B2E98" w:rsidRDefault="007B2E98" w:rsidP="00374ACB">
            <w:pPr>
              <w:rPr>
                <w:rFonts w:ascii="Times New Roman" w:eastAsia="Times New Roman" w:hAnsi="Times New Roman" w:cs="Times New Roman"/>
                <w:color w:val="000000"/>
                <w:sz w:val="20"/>
                <w:szCs w:val="20"/>
                <w:lang w:eastAsia="es-GT"/>
              </w:rPr>
            </w:pPr>
            <w:r w:rsidRPr="007B2E98">
              <w:rPr>
                <w:rFonts w:ascii="Times New Roman" w:eastAsia="Times New Roman" w:hAnsi="Times New Roman" w:cs="Times New Roman"/>
                <w:color w:val="000000"/>
                <w:sz w:val="20"/>
                <w:szCs w:val="20"/>
                <w:lang w:eastAsia="es-GT"/>
              </w:rPr>
              <w:t>Ministerio de Salud Pública y Asistencia Social</w:t>
            </w:r>
          </w:p>
        </w:tc>
        <w:tc>
          <w:tcPr>
            <w:tcW w:w="1560" w:type="dxa"/>
            <w:tcBorders>
              <w:top w:val="nil"/>
              <w:left w:val="single" w:sz="8" w:space="0" w:color="auto"/>
              <w:bottom w:val="nil"/>
              <w:right w:val="single" w:sz="8" w:space="0" w:color="auto"/>
            </w:tcBorders>
            <w:shd w:val="clear" w:color="auto" w:fill="auto"/>
            <w:vAlign w:val="center"/>
            <w:hideMark/>
          </w:tcPr>
          <w:p w14:paraId="547F979B" w14:textId="77777777" w:rsidR="007B2E98" w:rsidRPr="007B2E98" w:rsidRDefault="007B2E98" w:rsidP="007B2E98">
            <w:pPr>
              <w:jc w:val="center"/>
              <w:rPr>
                <w:rFonts w:ascii="Times New Roman" w:eastAsia="Times New Roman" w:hAnsi="Times New Roman" w:cs="Times New Roman"/>
                <w:sz w:val="20"/>
                <w:szCs w:val="20"/>
                <w:lang w:eastAsia="es-GT"/>
              </w:rPr>
            </w:pPr>
            <w:r w:rsidRPr="007B2E98">
              <w:rPr>
                <w:rFonts w:ascii="Times New Roman" w:eastAsia="Times New Roman" w:hAnsi="Times New Roman" w:cs="Times New Roman"/>
                <w:sz w:val="20"/>
                <w:szCs w:val="20"/>
                <w:lang w:eastAsia="es-GT"/>
              </w:rPr>
              <w:t>684.1</w:t>
            </w:r>
          </w:p>
        </w:tc>
        <w:tc>
          <w:tcPr>
            <w:tcW w:w="1360" w:type="dxa"/>
            <w:tcBorders>
              <w:top w:val="nil"/>
              <w:left w:val="nil"/>
              <w:bottom w:val="nil"/>
              <w:right w:val="single" w:sz="8" w:space="0" w:color="auto"/>
            </w:tcBorders>
            <w:shd w:val="clear" w:color="auto" w:fill="auto"/>
            <w:vAlign w:val="center"/>
            <w:hideMark/>
          </w:tcPr>
          <w:p w14:paraId="3DE7F332" w14:textId="77777777" w:rsidR="007B2E98" w:rsidRPr="007B2E98" w:rsidRDefault="007B2E98" w:rsidP="007B2E98">
            <w:pPr>
              <w:jc w:val="center"/>
              <w:rPr>
                <w:rFonts w:ascii="Times New Roman" w:eastAsia="Times New Roman" w:hAnsi="Times New Roman" w:cs="Times New Roman"/>
                <w:sz w:val="20"/>
                <w:szCs w:val="20"/>
                <w:lang w:eastAsia="es-GT"/>
              </w:rPr>
            </w:pPr>
            <w:r w:rsidRPr="007B2E98">
              <w:rPr>
                <w:rFonts w:ascii="Times New Roman" w:eastAsia="Times New Roman" w:hAnsi="Times New Roman" w:cs="Times New Roman"/>
                <w:sz w:val="20"/>
                <w:szCs w:val="20"/>
                <w:lang w:eastAsia="es-GT"/>
              </w:rPr>
              <w:t>666.3</w:t>
            </w:r>
          </w:p>
        </w:tc>
        <w:tc>
          <w:tcPr>
            <w:tcW w:w="1360" w:type="dxa"/>
            <w:tcBorders>
              <w:top w:val="nil"/>
              <w:left w:val="nil"/>
              <w:bottom w:val="nil"/>
              <w:right w:val="single" w:sz="8" w:space="0" w:color="auto"/>
            </w:tcBorders>
            <w:shd w:val="clear" w:color="auto" w:fill="auto"/>
            <w:noWrap/>
            <w:vAlign w:val="center"/>
            <w:hideMark/>
          </w:tcPr>
          <w:p w14:paraId="06698F7F" w14:textId="77777777" w:rsidR="007B2E98" w:rsidRPr="007B2E98" w:rsidRDefault="007B2E98" w:rsidP="007B2E98">
            <w:pPr>
              <w:jc w:val="center"/>
              <w:rPr>
                <w:rFonts w:ascii="Times New Roman" w:eastAsia="Times New Roman" w:hAnsi="Times New Roman" w:cs="Times New Roman"/>
                <w:sz w:val="20"/>
                <w:szCs w:val="20"/>
                <w:lang w:eastAsia="es-GT"/>
              </w:rPr>
            </w:pPr>
            <w:r w:rsidRPr="007B2E98">
              <w:rPr>
                <w:rFonts w:ascii="Times New Roman" w:eastAsia="Times New Roman" w:hAnsi="Times New Roman" w:cs="Times New Roman"/>
                <w:sz w:val="20"/>
                <w:szCs w:val="20"/>
                <w:lang w:eastAsia="es-GT"/>
              </w:rPr>
              <w:t>97.4</w:t>
            </w:r>
          </w:p>
        </w:tc>
      </w:tr>
      <w:tr w:rsidR="007B2E98" w:rsidRPr="007B2E98" w14:paraId="7F11FF71" w14:textId="77777777" w:rsidTr="007B2E98">
        <w:trPr>
          <w:trHeight w:val="540"/>
          <w:jc w:val="center"/>
        </w:trPr>
        <w:tc>
          <w:tcPr>
            <w:tcW w:w="3660" w:type="dxa"/>
            <w:tcBorders>
              <w:top w:val="single" w:sz="8" w:space="0" w:color="auto"/>
              <w:left w:val="single" w:sz="8" w:space="0" w:color="auto"/>
              <w:bottom w:val="single" w:sz="8" w:space="0" w:color="auto"/>
              <w:right w:val="nil"/>
            </w:tcBorders>
            <w:shd w:val="clear" w:color="000000" w:fill="D9D9D9"/>
            <w:vAlign w:val="center"/>
            <w:hideMark/>
          </w:tcPr>
          <w:p w14:paraId="54F5824A" w14:textId="77777777" w:rsidR="007B2E98" w:rsidRPr="007B2E98" w:rsidRDefault="007B2E98" w:rsidP="007B2E98">
            <w:pPr>
              <w:jc w:val="center"/>
              <w:rPr>
                <w:rFonts w:ascii="Times New Roman" w:eastAsia="Times New Roman" w:hAnsi="Times New Roman" w:cs="Times New Roman"/>
                <w:b/>
                <w:bCs/>
                <w:sz w:val="20"/>
                <w:szCs w:val="20"/>
                <w:lang w:eastAsia="es-GT"/>
              </w:rPr>
            </w:pPr>
            <w:r w:rsidRPr="007B2E98">
              <w:rPr>
                <w:rFonts w:ascii="Times New Roman" w:eastAsia="Times New Roman" w:hAnsi="Times New Roman" w:cs="Times New Roman"/>
                <w:b/>
                <w:bCs/>
                <w:sz w:val="20"/>
                <w:szCs w:val="20"/>
                <w:lang w:eastAsia="es-GT"/>
              </w:rPr>
              <w:t xml:space="preserve">Subprograma 10 Atención y Mitigación de daños por desastres naturales </w:t>
            </w:r>
          </w:p>
        </w:tc>
        <w:tc>
          <w:tcPr>
            <w:tcW w:w="1560" w:type="dxa"/>
            <w:tcBorders>
              <w:top w:val="single" w:sz="8" w:space="0" w:color="auto"/>
              <w:left w:val="single" w:sz="8" w:space="0" w:color="auto"/>
              <w:bottom w:val="single" w:sz="8" w:space="0" w:color="auto"/>
              <w:right w:val="nil"/>
            </w:tcBorders>
            <w:shd w:val="clear" w:color="000000" w:fill="D9D9D9"/>
            <w:vAlign w:val="center"/>
            <w:hideMark/>
          </w:tcPr>
          <w:p w14:paraId="699444A5" w14:textId="77777777" w:rsidR="007B2E98" w:rsidRPr="007B2E98" w:rsidRDefault="007B2E98" w:rsidP="007B2E98">
            <w:pPr>
              <w:jc w:val="center"/>
              <w:rPr>
                <w:rFonts w:ascii="Times New Roman" w:eastAsia="Times New Roman" w:hAnsi="Times New Roman" w:cs="Times New Roman"/>
                <w:b/>
                <w:bCs/>
                <w:sz w:val="20"/>
                <w:szCs w:val="20"/>
                <w:lang w:eastAsia="es-GT"/>
              </w:rPr>
            </w:pPr>
            <w:r w:rsidRPr="007B2E98">
              <w:rPr>
                <w:rFonts w:ascii="Times New Roman" w:eastAsia="Times New Roman" w:hAnsi="Times New Roman" w:cs="Times New Roman"/>
                <w:b/>
                <w:bCs/>
                <w:sz w:val="20"/>
                <w:szCs w:val="20"/>
                <w:lang w:eastAsia="es-GT"/>
              </w:rPr>
              <w:t>3.7</w:t>
            </w:r>
          </w:p>
        </w:tc>
        <w:tc>
          <w:tcPr>
            <w:tcW w:w="1360" w:type="dxa"/>
            <w:tcBorders>
              <w:top w:val="single" w:sz="8" w:space="0" w:color="auto"/>
              <w:left w:val="single" w:sz="8" w:space="0" w:color="auto"/>
              <w:bottom w:val="single" w:sz="8" w:space="0" w:color="auto"/>
              <w:right w:val="nil"/>
            </w:tcBorders>
            <w:shd w:val="clear" w:color="000000" w:fill="D9D9D9"/>
            <w:vAlign w:val="center"/>
            <w:hideMark/>
          </w:tcPr>
          <w:p w14:paraId="781A6021" w14:textId="77777777" w:rsidR="007B2E98" w:rsidRPr="007B2E98" w:rsidRDefault="007B2E98" w:rsidP="007B2E98">
            <w:pPr>
              <w:jc w:val="center"/>
              <w:rPr>
                <w:rFonts w:ascii="Times New Roman" w:eastAsia="Times New Roman" w:hAnsi="Times New Roman" w:cs="Times New Roman"/>
                <w:b/>
                <w:bCs/>
                <w:sz w:val="20"/>
                <w:szCs w:val="20"/>
                <w:lang w:eastAsia="es-GT"/>
              </w:rPr>
            </w:pPr>
            <w:r w:rsidRPr="007B2E98">
              <w:rPr>
                <w:rFonts w:ascii="Times New Roman" w:eastAsia="Times New Roman" w:hAnsi="Times New Roman" w:cs="Times New Roman"/>
                <w:b/>
                <w:bCs/>
                <w:sz w:val="20"/>
                <w:szCs w:val="20"/>
                <w:lang w:eastAsia="es-GT"/>
              </w:rPr>
              <w:t>2.0</w:t>
            </w:r>
          </w:p>
        </w:tc>
        <w:tc>
          <w:tcPr>
            <w:tcW w:w="136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26E6CB4D" w14:textId="77777777" w:rsidR="007B2E98" w:rsidRPr="007B2E98" w:rsidRDefault="007B2E98" w:rsidP="007B2E98">
            <w:pPr>
              <w:jc w:val="center"/>
              <w:rPr>
                <w:rFonts w:ascii="Times New Roman" w:eastAsia="Times New Roman" w:hAnsi="Times New Roman" w:cs="Times New Roman"/>
                <w:b/>
                <w:bCs/>
                <w:sz w:val="20"/>
                <w:szCs w:val="20"/>
                <w:lang w:eastAsia="es-GT"/>
              </w:rPr>
            </w:pPr>
            <w:r w:rsidRPr="007B2E98">
              <w:rPr>
                <w:rFonts w:ascii="Times New Roman" w:eastAsia="Times New Roman" w:hAnsi="Times New Roman" w:cs="Times New Roman"/>
                <w:b/>
                <w:bCs/>
                <w:sz w:val="20"/>
                <w:szCs w:val="20"/>
                <w:lang w:eastAsia="es-GT"/>
              </w:rPr>
              <w:t>54.6</w:t>
            </w:r>
          </w:p>
        </w:tc>
      </w:tr>
      <w:tr w:rsidR="007B2E98" w:rsidRPr="007B2E98" w14:paraId="446A9E06" w14:textId="77777777" w:rsidTr="007B2E98">
        <w:trPr>
          <w:trHeight w:val="540"/>
          <w:jc w:val="center"/>
        </w:trPr>
        <w:tc>
          <w:tcPr>
            <w:tcW w:w="3660" w:type="dxa"/>
            <w:tcBorders>
              <w:top w:val="nil"/>
              <w:left w:val="single" w:sz="8" w:space="0" w:color="auto"/>
              <w:bottom w:val="nil"/>
              <w:right w:val="nil"/>
            </w:tcBorders>
            <w:shd w:val="clear" w:color="auto" w:fill="auto"/>
            <w:vAlign w:val="center"/>
            <w:hideMark/>
          </w:tcPr>
          <w:p w14:paraId="70819446" w14:textId="77777777" w:rsidR="007B2E98" w:rsidRPr="007B2E98" w:rsidRDefault="007B2E98" w:rsidP="00374ACB">
            <w:pPr>
              <w:rPr>
                <w:rFonts w:ascii="Times New Roman" w:eastAsia="Times New Roman" w:hAnsi="Times New Roman" w:cs="Times New Roman"/>
                <w:color w:val="000000"/>
                <w:sz w:val="20"/>
                <w:szCs w:val="20"/>
                <w:lang w:eastAsia="es-GT"/>
              </w:rPr>
            </w:pPr>
            <w:r w:rsidRPr="007B2E98">
              <w:rPr>
                <w:rFonts w:ascii="Times New Roman" w:eastAsia="Times New Roman" w:hAnsi="Times New Roman" w:cs="Times New Roman"/>
                <w:color w:val="000000"/>
                <w:sz w:val="20"/>
                <w:szCs w:val="20"/>
                <w:lang w:eastAsia="es-GT"/>
              </w:rPr>
              <w:t>Ministerio de Comunicaciones, Infraestructura y Vivienda</w:t>
            </w:r>
          </w:p>
        </w:tc>
        <w:tc>
          <w:tcPr>
            <w:tcW w:w="1560" w:type="dxa"/>
            <w:tcBorders>
              <w:top w:val="nil"/>
              <w:left w:val="single" w:sz="8" w:space="0" w:color="auto"/>
              <w:bottom w:val="nil"/>
              <w:right w:val="single" w:sz="8" w:space="0" w:color="auto"/>
            </w:tcBorders>
            <w:shd w:val="clear" w:color="auto" w:fill="auto"/>
            <w:vAlign w:val="center"/>
            <w:hideMark/>
          </w:tcPr>
          <w:p w14:paraId="362235F2" w14:textId="77777777" w:rsidR="007B2E98" w:rsidRPr="007B2E98" w:rsidRDefault="007B2E98" w:rsidP="007B2E98">
            <w:pPr>
              <w:jc w:val="center"/>
              <w:rPr>
                <w:rFonts w:ascii="Times New Roman" w:eastAsia="Times New Roman" w:hAnsi="Times New Roman" w:cs="Times New Roman"/>
                <w:sz w:val="20"/>
                <w:szCs w:val="20"/>
                <w:lang w:eastAsia="es-GT"/>
              </w:rPr>
            </w:pPr>
            <w:r w:rsidRPr="007B2E98">
              <w:rPr>
                <w:rFonts w:ascii="Times New Roman" w:eastAsia="Times New Roman" w:hAnsi="Times New Roman" w:cs="Times New Roman"/>
                <w:sz w:val="20"/>
                <w:szCs w:val="20"/>
                <w:lang w:eastAsia="es-GT"/>
              </w:rPr>
              <w:t>3.7</w:t>
            </w:r>
          </w:p>
        </w:tc>
        <w:tc>
          <w:tcPr>
            <w:tcW w:w="1360" w:type="dxa"/>
            <w:tcBorders>
              <w:top w:val="nil"/>
              <w:left w:val="nil"/>
              <w:bottom w:val="nil"/>
              <w:right w:val="single" w:sz="8" w:space="0" w:color="auto"/>
            </w:tcBorders>
            <w:shd w:val="clear" w:color="auto" w:fill="auto"/>
            <w:vAlign w:val="center"/>
            <w:hideMark/>
          </w:tcPr>
          <w:p w14:paraId="597C49C6" w14:textId="77777777" w:rsidR="007B2E98" w:rsidRPr="007B2E98" w:rsidRDefault="007B2E98" w:rsidP="007B2E98">
            <w:pPr>
              <w:jc w:val="center"/>
              <w:rPr>
                <w:rFonts w:ascii="Times New Roman" w:eastAsia="Times New Roman" w:hAnsi="Times New Roman" w:cs="Times New Roman"/>
                <w:sz w:val="20"/>
                <w:szCs w:val="20"/>
                <w:lang w:eastAsia="es-GT"/>
              </w:rPr>
            </w:pPr>
            <w:r w:rsidRPr="007B2E98">
              <w:rPr>
                <w:rFonts w:ascii="Times New Roman" w:eastAsia="Times New Roman" w:hAnsi="Times New Roman" w:cs="Times New Roman"/>
                <w:sz w:val="20"/>
                <w:szCs w:val="20"/>
                <w:lang w:eastAsia="es-GT"/>
              </w:rPr>
              <w:t>2.0</w:t>
            </w:r>
          </w:p>
        </w:tc>
        <w:tc>
          <w:tcPr>
            <w:tcW w:w="1360" w:type="dxa"/>
            <w:tcBorders>
              <w:top w:val="nil"/>
              <w:left w:val="nil"/>
              <w:bottom w:val="nil"/>
              <w:right w:val="single" w:sz="8" w:space="0" w:color="auto"/>
            </w:tcBorders>
            <w:shd w:val="clear" w:color="auto" w:fill="auto"/>
            <w:noWrap/>
            <w:vAlign w:val="center"/>
            <w:hideMark/>
          </w:tcPr>
          <w:p w14:paraId="10270800" w14:textId="77777777" w:rsidR="007B2E98" w:rsidRPr="007B2E98" w:rsidRDefault="007B2E98" w:rsidP="007B2E98">
            <w:pPr>
              <w:jc w:val="center"/>
              <w:rPr>
                <w:rFonts w:ascii="Times New Roman" w:eastAsia="Times New Roman" w:hAnsi="Times New Roman" w:cs="Times New Roman"/>
                <w:sz w:val="20"/>
                <w:szCs w:val="20"/>
                <w:lang w:eastAsia="es-GT"/>
              </w:rPr>
            </w:pPr>
            <w:r w:rsidRPr="007B2E98">
              <w:rPr>
                <w:rFonts w:ascii="Times New Roman" w:eastAsia="Times New Roman" w:hAnsi="Times New Roman" w:cs="Times New Roman"/>
                <w:sz w:val="20"/>
                <w:szCs w:val="20"/>
                <w:lang w:eastAsia="es-GT"/>
              </w:rPr>
              <w:t>54.6</w:t>
            </w:r>
          </w:p>
        </w:tc>
      </w:tr>
      <w:tr w:rsidR="007B2E98" w:rsidRPr="007B2E98" w14:paraId="42BC5FC5" w14:textId="77777777" w:rsidTr="007B2E98">
        <w:trPr>
          <w:trHeight w:val="900"/>
          <w:jc w:val="center"/>
        </w:trPr>
        <w:tc>
          <w:tcPr>
            <w:tcW w:w="3660" w:type="dxa"/>
            <w:tcBorders>
              <w:top w:val="single" w:sz="8" w:space="0" w:color="auto"/>
              <w:left w:val="single" w:sz="8" w:space="0" w:color="auto"/>
              <w:bottom w:val="single" w:sz="8" w:space="0" w:color="auto"/>
              <w:right w:val="nil"/>
            </w:tcBorders>
            <w:shd w:val="clear" w:color="000000" w:fill="D9D9D9"/>
            <w:vAlign w:val="center"/>
            <w:hideMark/>
          </w:tcPr>
          <w:p w14:paraId="493D2498" w14:textId="77777777" w:rsidR="007B2E98" w:rsidRPr="007B2E98" w:rsidRDefault="007B2E98" w:rsidP="007B2E98">
            <w:pPr>
              <w:jc w:val="center"/>
              <w:rPr>
                <w:rFonts w:ascii="Times New Roman" w:eastAsia="Times New Roman" w:hAnsi="Times New Roman" w:cs="Times New Roman"/>
                <w:b/>
                <w:bCs/>
                <w:sz w:val="20"/>
                <w:szCs w:val="20"/>
                <w:lang w:eastAsia="es-GT"/>
              </w:rPr>
            </w:pPr>
            <w:r w:rsidRPr="007B2E98">
              <w:rPr>
                <w:rFonts w:ascii="Times New Roman" w:eastAsia="Times New Roman" w:hAnsi="Times New Roman" w:cs="Times New Roman"/>
                <w:b/>
                <w:bCs/>
                <w:sz w:val="20"/>
                <w:szCs w:val="20"/>
                <w:lang w:eastAsia="es-GT"/>
              </w:rPr>
              <w:t>Subprograma 11 Estado de Calamidad Pública por Depresión Tropical ETA (DG 20-2020 y 21-2020)</w:t>
            </w:r>
          </w:p>
        </w:tc>
        <w:tc>
          <w:tcPr>
            <w:tcW w:w="156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49B1C1F2" w14:textId="77777777" w:rsidR="007B2E98" w:rsidRPr="007B2E98" w:rsidRDefault="007B2E98" w:rsidP="007B2E98">
            <w:pPr>
              <w:jc w:val="center"/>
              <w:rPr>
                <w:rFonts w:ascii="Times New Roman" w:eastAsia="Times New Roman" w:hAnsi="Times New Roman" w:cs="Times New Roman"/>
                <w:b/>
                <w:bCs/>
                <w:sz w:val="20"/>
                <w:szCs w:val="20"/>
                <w:lang w:eastAsia="es-GT"/>
              </w:rPr>
            </w:pPr>
            <w:r w:rsidRPr="007B2E98">
              <w:rPr>
                <w:rFonts w:ascii="Times New Roman" w:eastAsia="Times New Roman" w:hAnsi="Times New Roman" w:cs="Times New Roman"/>
                <w:b/>
                <w:bCs/>
                <w:sz w:val="20"/>
                <w:szCs w:val="20"/>
                <w:lang w:eastAsia="es-GT"/>
              </w:rPr>
              <w:t>142.2</w:t>
            </w:r>
          </w:p>
        </w:tc>
        <w:tc>
          <w:tcPr>
            <w:tcW w:w="1360" w:type="dxa"/>
            <w:tcBorders>
              <w:top w:val="single" w:sz="8" w:space="0" w:color="auto"/>
              <w:left w:val="nil"/>
              <w:bottom w:val="single" w:sz="8" w:space="0" w:color="auto"/>
              <w:right w:val="single" w:sz="8" w:space="0" w:color="auto"/>
            </w:tcBorders>
            <w:shd w:val="clear" w:color="000000" w:fill="D9D9D9"/>
            <w:noWrap/>
            <w:vAlign w:val="center"/>
            <w:hideMark/>
          </w:tcPr>
          <w:p w14:paraId="436A3BE1" w14:textId="77777777" w:rsidR="007B2E98" w:rsidRPr="007B2E98" w:rsidRDefault="007B2E98" w:rsidP="007B2E98">
            <w:pPr>
              <w:jc w:val="center"/>
              <w:rPr>
                <w:rFonts w:ascii="Times New Roman" w:eastAsia="Times New Roman" w:hAnsi="Times New Roman" w:cs="Times New Roman"/>
                <w:b/>
                <w:bCs/>
                <w:sz w:val="20"/>
                <w:szCs w:val="20"/>
                <w:lang w:eastAsia="es-GT"/>
              </w:rPr>
            </w:pPr>
            <w:r w:rsidRPr="007B2E98">
              <w:rPr>
                <w:rFonts w:ascii="Times New Roman" w:eastAsia="Times New Roman" w:hAnsi="Times New Roman" w:cs="Times New Roman"/>
                <w:b/>
                <w:bCs/>
                <w:sz w:val="20"/>
                <w:szCs w:val="20"/>
                <w:lang w:eastAsia="es-GT"/>
              </w:rPr>
              <w:t>136.8</w:t>
            </w:r>
          </w:p>
        </w:tc>
        <w:tc>
          <w:tcPr>
            <w:tcW w:w="1360" w:type="dxa"/>
            <w:tcBorders>
              <w:top w:val="single" w:sz="8" w:space="0" w:color="auto"/>
              <w:left w:val="nil"/>
              <w:bottom w:val="single" w:sz="8" w:space="0" w:color="auto"/>
              <w:right w:val="single" w:sz="8" w:space="0" w:color="auto"/>
            </w:tcBorders>
            <w:shd w:val="clear" w:color="000000" w:fill="D9D9D9"/>
            <w:noWrap/>
            <w:vAlign w:val="center"/>
            <w:hideMark/>
          </w:tcPr>
          <w:p w14:paraId="5D87EDD8" w14:textId="77777777" w:rsidR="007B2E98" w:rsidRPr="007B2E98" w:rsidRDefault="007B2E98" w:rsidP="007B2E98">
            <w:pPr>
              <w:jc w:val="center"/>
              <w:rPr>
                <w:rFonts w:ascii="Times New Roman" w:eastAsia="Times New Roman" w:hAnsi="Times New Roman" w:cs="Times New Roman"/>
                <w:b/>
                <w:bCs/>
                <w:sz w:val="20"/>
                <w:szCs w:val="20"/>
                <w:lang w:eastAsia="es-GT"/>
              </w:rPr>
            </w:pPr>
            <w:r w:rsidRPr="007B2E98">
              <w:rPr>
                <w:rFonts w:ascii="Times New Roman" w:eastAsia="Times New Roman" w:hAnsi="Times New Roman" w:cs="Times New Roman"/>
                <w:b/>
                <w:bCs/>
                <w:sz w:val="20"/>
                <w:szCs w:val="20"/>
                <w:lang w:eastAsia="es-GT"/>
              </w:rPr>
              <w:t>96.2</w:t>
            </w:r>
          </w:p>
        </w:tc>
      </w:tr>
      <w:tr w:rsidR="007B2E98" w:rsidRPr="007B2E98" w14:paraId="5933B015" w14:textId="77777777" w:rsidTr="007B2E98">
        <w:trPr>
          <w:trHeight w:val="570"/>
          <w:jc w:val="center"/>
        </w:trPr>
        <w:tc>
          <w:tcPr>
            <w:tcW w:w="3660" w:type="dxa"/>
            <w:tcBorders>
              <w:top w:val="nil"/>
              <w:left w:val="single" w:sz="8" w:space="0" w:color="auto"/>
              <w:bottom w:val="nil"/>
              <w:right w:val="nil"/>
            </w:tcBorders>
            <w:shd w:val="clear" w:color="auto" w:fill="auto"/>
            <w:vAlign w:val="center"/>
            <w:hideMark/>
          </w:tcPr>
          <w:p w14:paraId="4FB2DC69" w14:textId="77777777" w:rsidR="007B2E98" w:rsidRPr="007B2E98" w:rsidRDefault="007B2E98" w:rsidP="00374ACB">
            <w:pPr>
              <w:rPr>
                <w:rFonts w:ascii="Times New Roman" w:eastAsia="Times New Roman" w:hAnsi="Times New Roman" w:cs="Times New Roman"/>
                <w:color w:val="000000"/>
                <w:sz w:val="20"/>
                <w:szCs w:val="20"/>
                <w:lang w:eastAsia="es-GT"/>
              </w:rPr>
            </w:pPr>
            <w:r w:rsidRPr="007B2E98">
              <w:rPr>
                <w:rFonts w:ascii="Times New Roman" w:eastAsia="Times New Roman" w:hAnsi="Times New Roman" w:cs="Times New Roman"/>
                <w:color w:val="000000"/>
                <w:sz w:val="20"/>
                <w:szCs w:val="20"/>
                <w:lang w:eastAsia="es-GT"/>
              </w:rPr>
              <w:t>Ministerio de Comunicaciones, Infraestructura y Vivienda</w:t>
            </w:r>
          </w:p>
        </w:tc>
        <w:tc>
          <w:tcPr>
            <w:tcW w:w="1560" w:type="dxa"/>
            <w:tcBorders>
              <w:top w:val="nil"/>
              <w:left w:val="single" w:sz="8" w:space="0" w:color="auto"/>
              <w:bottom w:val="nil"/>
              <w:right w:val="single" w:sz="8" w:space="0" w:color="auto"/>
            </w:tcBorders>
            <w:shd w:val="clear" w:color="auto" w:fill="auto"/>
            <w:vAlign w:val="center"/>
            <w:hideMark/>
          </w:tcPr>
          <w:p w14:paraId="1BBE8BCD" w14:textId="77777777" w:rsidR="007B2E98" w:rsidRPr="007B2E98" w:rsidRDefault="007B2E98" w:rsidP="007B2E98">
            <w:pPr>
              <w:jc w:val="center"/>
              <w:rPr>
                <w:rFonts w:ascii="Times New Roman" w:eastAsia="Times New Roman" w:hAnsi="Times New Roman" w:cs="Times New Roman"/>
                <w:color w:val="000000"/>
                <w:sz w:val="20"/>
                <w:szCs w:val="20"/>
                <w:lang w:eastAsia="es-GT"/>
              </w:rPr>
            </w:pPr>
            <w:r w:rsidRPr="007B2E98">
              <w:rPr>
                <w:rFonts w:ascii="Times New Roman" w:eastAsia="Times New Roman" w:hAnsi="Times New Roman" w:cs="Times New Roman"/>
                <w:color w:val="000000"/>
                <w:sz w:val="20"/>
                <w:szCs w:val="20"/>
                <w:lang w:eastAsia="es-GT"/>
              </w:rPr>
              <w:t>142.2</w:t>
            </w:r>
          </w:p>
        </w:tc>
        <w:tc>
          <w:tcPr>
            <w:tcW w:w="1360" w:type="dxa"/>
            <w:tcBorders>
              <w:top w:val="nil"/>
              <w:left w:val="nil"/>
              <w:bottom w:val="nil"/>
              <w:right w:val="single" w:sz="8" w:space="0" w:color="auto"/>
            </w:tcBorders>
            <w:shd w:val="clear" w:color="auto" w:fill="auto"/>
            <w:noWrap/>
            <w:vAlign w:val="center"/>
            <w:hideMark/>
          </w:tcPr>
          <w:p w14:paraId="78060146" w14:textId="77777777" w:rsidR="007B2E98" w:rsidRPr="007B2E98" w:rsidRDefault="007B2E98" w:rsidP="007B2E98">
            <w:pPr>
              <w:jc w:val="center"/>
              <w:rPr>
                <w:rFonts w:ascii="Times New Roman" w:eastAsia="Times New Roman" w:hAnsi="Times New Roman" w:cs="Times New Roman"/>
                <w:color w:val="000000"/>
                <w:sz w:val="20"/>
                <w:szCs w:val="20"/>
                <w:lang w:eastAsia="es-GT"/>
              </w:rPr>
            </w:pPr>
            <w:r w:rsidRPr="007B2E98">
              <w:rPr>
                <w:rFonts w:ascii="Times New Roman" w:eastAsia="Times New Roman" w:hAnsi="Times New Roman" w:cs="Times New Roman"/>
                <w:color w:val="000000"/>
                <w:sz w:val="20"/>
                <w:szCs w:val="20"/>
                <w:lang w:eastAsia="es-GT"/>
              </w:rPr>
              <w:t>136.8</w:t>
            </w:r>
          </w:p>
        </w:tc>
        <w:tc>
          <w:tcPr>
            <w:tcW w:w="1360" w:type="dxa"/>
            <w:tcBorders>
              <w:top w:val="nil"/>
              <w:left w:val="nil"/>
              <w:bottom w:val="nil"/>
              <w:right w:val="single" w:sz="8" w:space="0" w:color="auto"/>
            </w:tcBorders>
            <w:shd w:val="clear" w:color="auto" w:fill="auto"/>
            <w:noWrap/>
            <w:vAlign w:val="center"/>
            <w:hideMark/>
          </w:tcPr>
          <w:p w14:paraId="196BD76A" w14:textId="77777777" w:rsidR="007B2E98" w:rsidRPr="007B2E98" w:rsidRDefault="007B2E98" w:rsidP="007B2E98">
            <w:pPr>
              <w:jc w:val="center"/>
              <w:rPr>
                <w:rFonts w:ascii="Times New Roman" w:eastAsia="Times New Roman" w:hAnsi="Times New Roman" w:cs="Times New Roman"/>
                <w:color w:val="000000"/>
                <w:sz w:val="20"/>
                <w:szCs w:val="20"/>
                <w:lang w:eastAsia="es-GT"/>
              </w:rPr>
            </w:pPr>
            <w:r w:rsidRPr="007B2E98">
              <w:rPr>
                <w:rFonts w:ascii="Times New Roman" w:eastAsia="Times New Roman" w:hAnsi="Times New Roman" w:cs="Times New Roman"/>
                <w:color w:val="000000"/>
                <w:sz w:val="20"/>
                <w:szCs w:val="20"/>
                <w:lang w:eastAsia="es-GT"/>
              </w:rPr>
              <w:t>96.2</w:t>
            </w:r>
          </w:p>
        </w:tc>
      </w:tr>
      <w:tr w:rsidR="007B2E98" w:rsidRPr="007B2E98" w14:paraId="4AACBB80" w14:textId="77777777" w:rsidTr="007B2E98">
        <w:trPr>
          <w:trHeight w:val="930"/>
          <w:jc w:val="center"/>
        </w:trPr>
        <w:tc>
          <w:tcPr>
            <w:tcW w:w="3660" w:type="dxa"/>
            <w:tcBorders>
              <w:top w:val="single" w:sz="8" w:space="0" w:color="auto"/>
              <w:left w:val="single" w:sz="8" w:space="0" w:color="auto"/>
              <w:bottom w:val="single" w:sz="8" w:space="0" w:color="auto"/>
              <w:right w:val="nil"/>
            </w:tcBorders>
            <w:shd w:val="clear" w:color="000000" w:fill="D9D9D9"/>
            <w:vAlign w:val="center"/>
            <w:hideMark/>
          </w:tcPr>
          <w:p w14:paraId="2EF706C6" w14:textId="77777777" w:rsidR="007B2E98" w:rsidRPr="007B2E98" w:rsidRDefault="007B2E98" w:rsidP="007B2E98">
            <w:pPr>
              <w:jc w:val="center"/>
              <w:rPr>
                <w:rFonts w:ascii="Times New Roman" w:eastAsia="Times New Roman" w:hAnsi="Times New Roman" w:cs="Times New Roman"/>
                <w:b/>
                <w:bCs/>
                <w:sz w:val="20"/>
                <w:szCs w:val="20"/>
                <w:lang w:eastAsia="es-GT"/>
              </w:rPr>
            </w:pPr>
            <w:r w:rsidRPr="007B2E98">
              <w:rPr>
                <w:rFonts w:ascii="Times New Roman" w:eastAsia="Times New Roman" w:hAnsi="Times New Roman" w:cs="Times New Roman"/>
                <w:b/>
                <w:bCs/>
                <w:sz w:val="20"/>
                <w:szCs w:val="20"/>
                <w:lang w:eastAsia="es-GT"/>
              </w:rPr>
              <w:t xml:space="preserve">Subprograma 14 Estado de Calamidad Pública por época lluviosa, temporada ciclónica y sistemas de baja presión </w:t>
            </w:r>
          </w:p>
        </w:tc>
        <w:tc>
          <w:tcPr>
            <w:tcW w:w="156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55CB980B" w14:textId="77777777" w:rsidR="007B2E98" w:rsidRPr="007B2E98" w:rsidRDefault="007B2E98" w:rsidP="007B2E98">
            <w:pPr>
              <w:jc w:val="center"/>
              <w:rPr>
                <w:rFonts w:ascii="Times New Roman" w:eastAsia="Times New Roman" w:hAnsi="Times New Roman" w:cs="Times New Roman"/>
                <w:b/>
                <w:bCs/>
                <w:sz w:val="20"/>
                <w:szCs w:val="20"/>
                <w:lang w:eastAsia="es-GT"/>
              </w:rPr>
            </w:pPr>
            <w:r w:rsidRPr="007B2E98">
              <w:rPr>
                <w:rFonts w:ascii="Times New Roman" w:eastAsia="Times New Roman" w:hAnsi="Times New Roman" w:cs="Times New Roman"/>
                <w:b/>
                <w:bCs/>
                <w:sz w:val="20"/>
                <w:szCs w:val="20"/>
                <w:lang w:eastAsia="es-GT"/>
              </w:rPr>
              <w:t>168.0</w:t>
            </w:r>
          </w:p>
        </w:tc>
        <w:tc>
          <w:tcPr>
            <w:tcW w:w="1360" w:type="dxa"/>
            <w:tcBorders>
              <w:top w:val="single" w:sz="8" w:space="0" w:color="auto"/>
              <w:left w:val="nil"/>
              <w:bottom w:val="single" w:sz="8" w:space="0" w:color="auto"/>
              <w:right w:val="single" w:sz="8" w:space="0" w:color="auto"/>
            </w:tcBorders>
            <w:shd w:val="clear" w:color="000000" w:fill="D9D9D9"/>
            <w:noWrap/>
            <w:vAlign w:val="center"/>
            <w:hideMark/>
          </w:tcPr>
          <w:p w14:paraId="7E94CE16" w14:textId="77777777" w:rsidR="007B2E98" w:rsidRPr="007B2E98" w:rsidRDefault="007B2E98" w:rsidP="007B2E98">
            <w:pPr>
              <w:jc w:val="center"/>
              <w:rPr>
                <w:rFonts w:ascii="Times New Roman" w:eastAsia="Times New Roman" w:hAnsi="Times New Roman" w:cs="Times New Roman"/>
                <w:b/>
                <w:bCs/>
                <w:sz w:val="20"/>
                <w:szCs w:val="20"/>
                <w:lang w:eastAsia="es-GT"/>
              </w:rPr>
            </w:pPr>
            <w:r w:rsidRPr="007B2E98">
              <w:rPr>
                <w:rFonts w:ascii="Times New Roman" w:eastAsia="Times New Roman" w:hAnsi="Times New Roman" w:cs="Times New Roman"/>
                <w:b/>
                <w:bCs/>
                <w:sz w:val="20"/>
                <w:szCs w:val="20"/>
                <w:lang w:eastAsia="es-GT"/>
              </w:rPr>
              <w:t>166.7</w:t>
            </w:r>
          </w:p>
        </w:tc>
        <w:tc>
          <w:tcPr>
            <w:tcW w:w="1360" w:type="dxa"/>
            <w:tcBorders>
              <w:top w:val="single" w:sz="8" w:space="0" w:color="auto"/>
              <w:left w:val="nil"/>
              <w:bottom w:val="single" w:sz="8" w:space="0" w:color="auto"/>
              <w:right w:val="single" w:sz="8" w:space="0" w:color="auto"/>
            </w:tcBorders>
            <w:shd w:val="clear" w:color="000000" w:fill="D9D9D9"/>
            <w:noWrap/>
            <w:vAlign w:val="center"/>
            <w:hideMark/>
          </w:tcPr>
          <w:p w14:paraId="2DB31801" w14:textId="77777777" w:rsidR="007B2E98" w:rsidRPr="007B2E98" w:rsidRDefault="007B2E98" w:rsidP="007B2E98">
            <w:pPr>
              <w:jc w:val="center"/>
              <w:rPr>
                <w:rFonts w:ascii="Times New Roman" w:eastAsia="Times New Roman" w:hAnsi="Times New Roman" w:cs="Times New Roman"/>
                <w:b/>
                <w:bCs/>
                <w:sz w:val="20"/>
                <w:szCs w:val="20"/>
                <w:lang w:eastAsia="es-GT"/>
              </w:rPr>
            </w:pPr>
            <w:r w:rsidRPr="007B2E98">
              <w:rPr>
                <w:rFonts w:ascii="Times New Roman" w:eastAsia="Times New Roman" w:hAnsi="Times New Roman" w:cs="Times New Roman"/>
                <w:b/>
                <w:bCs/>
                <w:sz w:val="20"/>
                <w:szCs w:val="20"/>
                <w:lang w:eastAsia="es-GT"/>
              </w:rPr>
              <w:t>99.2</w:t>
            </w:r>
          </w:p>
        </w:tc>
      </w:tr>
      <w:tr w:rsidR="007B2E98" w:rsidRPr="007B2E98" w14:paraId="2F742D08" w14:textId="77777777" w:rsidTr="007B2E98">
        <w:trPr>
          <w:trHeight w:val="525"/>
          <w:jc w:val="center"/>
        </w:trPr>
        <w:tc>
          <w:tcPr>
            <w:tcW w:w="3660" w:type="dxa"/>
            <w:tcBorders>
              <w:top w:val="nil"/>
              <w:left w:val="single" w:sz="8" w:space="0" w:color="auto"/>
              <w:bottom w:val="nil"/>
              <w:right w:val="nil"/>
            </w:tcBorders>
            <w:shd w:val="clear" w:color="auto" w:fill="auto"/>
            <w:vAlign w:val="center"/>
            <w:hideMark/>
          </w:tcPr>
          <w:p w14:paraId="5FA1EEDF" w14:textId="77777777" w:rsidR="007B2E98" w:rsidRPr="007B2E98" w:rsidRDefault="007B2E98" w:rsidP="00374ACB">
            <w:pPr>
              <w:rPr>
                <w:rFonts w:ascii="Times New Roman" w:eastAsia="Times New Roman" w:hAnsi="Times New Roman" w:cs="Times New Roman"/>
                <w:sz w:val="20"/>
                <w:szCs w:val="20"/>
                <w:lang w:eastAsia="es-GT"/>
              </w:rPr>
            </w:pPr>
            <w:r w:rsidRPr="007B2E98">
              <w:rPr>
                <w:rFonts w:ascii="Times New Roman" w:eastAsia="Times New Roman" w:hAnsi="Times New Roman" w:cs="Times New Roman"/>
                <w:sz w:val="20"/>
                <w:szCs w:val="20"/>
                <w:lang w:eastAsia="es-GT"/>
              </w:rPr>
              <w:t>Ministerio de Comunicaciones, Infraestructura y Vivienda</w:t>
            </w:r>
          </w:p>
        </w:tc>
        <w:tc>
          <w:tcPr>
            <w:tcW w:w="1560" w:type="dxa"/>
            <w:tcBorders>
              <w:top w:val="nil"/>
              <w:left w:val="single" w:sz="8" w:space="0" w:color="auto"/>
              <w:bottom w:val="nil"/>
              <w:right w:val="single" w:sz="8" w:space="0" w:color="auto"/>
            </w:tcBorders>
            <w:shd w:val="clear" w:color="auto" w:fill="auto"/>
            <w:noWrap/>
            <w:vAlign w:val="center"/>
            <w:hideMark/>
          </w:tcPr>
          <w:p w14:paraId="6255C4E4" w14:textId="77777777" w:rsidR="007B2E98" w:rsidRPr="007B2E98" w:rsidRDefault="007B2E98" w:rsidP="007B2E98">
            <w:pPr>
              <w:jc w:val="center"/>
              <w:rPr>
                <w:rFonts w:ascii="Times New Roman" w:eastAsia="Times New Roman" w:hAnsi="Times New Roman" w:cs="Times New Roman"/>
                <w:sz w:val="20"/>
                <w:szCs w:val="20"/>
                <w:lang w:eastAsia="es-GT"/>
              </w:rPr>
            </w:pPr>
            <w:r w:rsidRPr="007B2E98">
              <w:rPr>
                <w:rFonts w:ascii="Times New Roman" w:eastAsia="Times New Roman" w:hAnsi="Times New Roman" w:cs="Times New Roman"/>
                <w:sz w:val="20"/>
                <w:szCs w:val="20"/>
                <w:lang w:eastAsia="es-GT"/>
              </w:rPr>
              <w:t>168.0</w:t>
            </w:r>
          </w:p>
        </w:tc>
        <w:tc>
          <w:tcPr>
            <w:tcW w:w="1360" w:type="dxa"/>
            <w:tcBorders>
              <w:top w:val="nil"/>
              <w:left w:val="nil"/>
              <w:bottom w:val="nil"/>
              <w:right w:val="single" w:sz="8" w:space="0" w:color="auto"/>
            </w:tcBorders>
            <w:shd w:val="clear" w:color="auto" w:fill="auto"/>
            <w:noWrap/>
            <w:vAlign w:val="center"/>
            <w:hideMark/>
          </w:tcPr>
          <w:p w14:paraId="0F6F3D8A" w14:textId="77777777" w:rsidR="007B2E98" w:rsidRPr="007B2E98" w:rsidRDefault="007B2E98" w:rsidP="007B2E98">
            <w:pPr>
              <w:jc w:val="center"/>
              <w:rPr>
                <w:rFonts w:ascii="Times New Roman" w:eastAsia="Times New Roman" w:hAnsi="Times New Roman" w:cs="Times New Roman"/>
                <w:sz w:val="20"/>
                <w:szCs w:val="20"/>
                <w:lang w:eastAsia="es-GT"/>
              </w:rPr>
            </w:pPr>
            <w:r w:rsidRPr="007B2E98">
              <w:rPr>
                <w:rFonts w:ascii="Times New Roman" w:eastAsia="Times New Roman" w:hAnsi="Times New Roman" w:cs="Times New Roman"/>
                <w:sz w:val="20"/>
                <w:szCs w:val="20"/>
                <w:lang w:eastAsia="es-GT"/>
              </w:rPr>
              <w:t>166.7</w:t>
            </w:r>
          </w:p>
        </w:tc>
        <w:tc>
          <w:tcPr>
            <w:tcW w:w="1360" w:type="dxa"/>
            <w:tcBorders>
              <w:top w:val="nil"/>
              <w:left w:val="nil"/>
              <w:bottom w:val="nil"/>
              <w:right w:val="single" w:sz="8" w:space="0" w:color="auto"/>
            </w:tcBorders>
            <w:shd w:val="clear" w:color="auto" w:fill="auto"/>
            <w:noWrap/>
            <w:vAlign w:val="center"/>
            <w:hideMark/>
          </w:tcPr>
          <w:p w14:paraId="3998A163" w14:textId="77777777" w:rsidR="007B2E98" w:rsidRPr="007B2E98" w:rsidRDefault="007B2E98" w:rsidP="007B2E98">
            <w:pPr>
              <w:jc w:val="center"/>
              <w:rPr>
                <w:rFonts w:ascii="Times New Roman" w:eastAsia="Times New Roman" w:hAnsi="Times New Roman" w:cs="Times New Roman"/>
                <w:sz w:val="20"/>
                <w:szCs w:val="20"/>
                <w:lang w:eastAsia="es-GT"/>
              </w:rPr>
            </w:pPr>
            <w:r w:rsidRPr="007B2E98">
              <w:rPr>
                <w:rFonts w:ascii="Times New Roman" w:eastAsia="Times New Roman" w:hAnsi="Times New Roman" w:cs="Times New Roman"/>
                <w:sz w:val="20"/>
                <w:szCs w:val="20"/>
                <w:lang w:eastAsia="es-GT"/>
              </w:rPr>
              <w:t>99.2</w:t>
            </w:r>
          </w:p>
        </w:tc>
      </w:tr>
      <w:tr w:rsidR="007B2E98" w:rsidRPr="007B2E98" w14:paraId="38078070" w14:textId="77777777" w:rsidTr="007B2E98">
        <w:trPr>
          <w:trHeight w:val="930"/>
          <w:jc w:val="center"/>
        </w:trPr>
        <w:tc>
          <w:tcPr>
            <w:tcW w:w="366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16F04C1F" w14:textId="77777777" w:rsidR="007B2E98" w:rsidRPr="007B2E98" w:rsidRDefault="007B2E98" w:rsidP="007B2E98">
            <w:pPr>
              <w:jc w:val="center"/>
              <w:rPr>
                <w:rFonts w:ascii="Times New Roman" w:eastAsia="Times New Roman" w:hAnsi="Times New Roman" w:cs="Times New Roman"/>
                <w:b/>
                <w:bCs/>
                <w:sz w:val="20"/>
                <w:szCs w:val="20"/>
                <w:lang w:eastAsia="es-GT"/>
              </w:rPr>
            </w:pPr>
            <w:r w:rsidRPr="007B2E98">
              <w:rPr>
                <w:rFonts w:ascii="Times New Roman" w:eastAsia="Times New Roman" w:hAnsi="Times New Roman" w:cs="Times New Roman"/>
                <w:b/>
                <w:bCs/>
                <w:sz w:val="20"/>
                <w:szCs w:val="20"/>
                <w:lang w:eastAsia="es-GT"/>
              </w:rPr>
              <w:t>Subprograma 15 Estado de Calamidad Pública por los efectos de la época lluviosa y el ciclón tropical Julia</w:t>
            </w:r>
          </w:p>
        </w:tc>
        <w:tc>
          <w:tcPr>
            <w:tcW w:w="1560" w:type="dxa"/>
            <w:tcBorders>
              <w:top w:val="single" w:sz="8" w:space="0" w:color="auto"/>
              <w:left w:val="nil"/>
              <w:bottom w:val="single" w:sz="8" w:space="0" w:color="auto"/>
              <w:right w:val="single" w:sz="8" w:space="0" w:color="auto"/>
            </w:tcBorders>
            <w:shd w:val="clear" w:color="000000" w:fill="D9D9D9"/>
            <w:noWrap/>
            <w:vAlign w:val="center"/>
            <w:hideMark/>
          </w:tcPr>
          <w:p w14:paraId="1BA50E4A" w14:textId="77777777" w:rsidR="007B2E98" w:rsidRPr="007B2E98" w:rsidRDefault="007B2E98" w:rsidP="007B2E98">
            <w:pPr>
              <w:jc w:val="center"/>
              <w:rPr>
                <w:rFonts w:ascii="Times New Roman" w:eastAsia="Times New Roman" w:hAnsi="Times New Roman" w:cs="Times New Roman"/>
                <w:b/>
                <w:bCs/>
                <w:sz w:val="20"/>
                <w:szCs w:val="20"/>
                <w:lang w:eastAsia="es-GT"/>
              </w:rPr>
            </w:pPr>
            <w:r w:rsidRPr="007B2E98">
              <w:rPr>
                <w:rFonts w:ascii="Times New Roman" w:eastAsia="Times New Roman" w:hAnsi="Times New Roman" w:cs="Times New Roman"/>
                <w:b/>
                <w:bCs/>
                <w:sz w:val="20"/>
                <w:szCs w:val="20"/>
                <w:lang w:eastAsia="es-GT"/>
              </w:rPr>
              <w:t>579.2</w:t>
            </w:r>
          </w:p>
        </w:tc>
        <w:tc>
          <w:tcPr>
            <w:tcW w:w="1360" w:type="dxa"/>
            <w:tcBorders>
              <w:top w:val="single" w:sz="8" w:space="0" w:color="auto"/>
              <w:left w:val="nil"/>
              <w:bottom w:val="single" w:sz="8" w:space="0" w:color="auto"/>
              <w:right w:val="single" w:sz="8" w:space="0" w:color="auto"/>
            </w:tcBorders>
            <w:shd w:val="clear" w:color="000000" w:fill="D9D9D9"/>
            <w:noWrap/>
            <w:vAlign w:val="center"/>
            <w:hideMark/>
          </w:tcPr>
          <w:p w14:paraId="2621FC3C" w14:textId="77777777" w:rsidR="007B2E98" w:rsidRPr="007B2E98" w:rsidRDefault="007B2E98" w:rsidP="007B2E98">
            <w:pPr>
              <w:jc w:val="center"/>
              <w:rPr>
                <w:rFonts w:ascii="Times New Roman" w:eastAsia="Times New Roman" w:hAnsi="Times New Roman" w:cs="Times New Roman"/>
                <w:b/>
                <w:bCs/>
                <w:sz w:val="20"/>
                <w:szCs w:val="20"/>
                <w:lang w:eastAsia="es-GT"/>
              </w:rPr>
            </w:pPr>
            <w:r w:rsidRPr="007B2E98">
              <w:rPr>
                <w:rFonts w:ascii="Times New Roman" w:eastAsia="Times New Roman" w:hAnsi="Times New Roman" w:cs="Times New Roman"/>
                <w:b/>
                <w:bCs/>
                <w:sz w:val="20"/>
                <w:szCs w:val="20"/>
                <w:lang w:eastAsia="es-GT"/>
              </w:rPr>
              <w:t>577.0</w:t>
            </w:r>
          </w:p>
        </w:tc>
        <w:tc>
          <w:tcPr>
            <w:tcW w:w="1360" w:type="dxa"/>
            <w:tcBorders>
              <w:top w:val="single" w:sz="8" w:space="0" w:color="auto"/>
              <w:left w:val="nil"/>
              <w:bottom w:val="single" w:sz="8" w:space="0" w:color="auto"/>
              <w:right w:val="single" w:sz="8" w:space="0" w:color="auto"/>
            </w:tcBorders>
            <w:shd w:val="clear" w:color="000000" w:fill="D9D9D9"/>
            <w:noWrap/>
            <w:vAlign w:val="center"/>
            <w:hideMark/>
          </w:tcPr>
          <w:p w14:paraId="00D64AFD" w14:textId="77777777" w:rsidR="007B2E98" w:rsidRPr="007B2E98" w:rsidRDefault="007B2E98" w:rsidP="007B2E98">
            <w:pPr>
              <w:jc w:val="center"/>
              <w:rPr>
                <w:rFonts w:ascii="Times New Roman" w:eastAsia="Times New Roman" w:hAnsi="Times New Roman" w:cs="Times New Roman"/>
                <w:b/>
                <w:bCs/>
                <w:sz w:val="20"/>
                <w:szCs w:val="20"/>
                <w:lang w:eastAsia="es-GT"/>
              </w:rPr>
            </w:pPr>
            <w:r w:rsidRPr="007B2E98">
              <w:rPr>
                <w:rFonts w:ascii="Times New Roman" w:eastAsia="Times New Roman" w:hAnsi="Times New Roman" w:cs="Times New Roman"/>
                <w:b/>
                <w:bCs/>
                <w:sz w:val="20"/>
                <w:szCs w:val="20"/>
                <w:lang w:eastAsia="es-GT"/>
              </w:rPr>
              <w:t>99.6</w:t>
            </w:r>
          </w:p>
        </w:tc>
      </w:tr>
      <w:tr w:rsidR="007B2E98" w:rsidRPr="007B2E98" w14:paraId="64572F5E" w14:textId="77777777" w:rsidTr="007B2E98">
        <w:trPr>
          <w:trHeight w:val="525"/>
          <w:jc w:val="center"/>
        </w:trPr>
        <w:tc>
          <w:tcPr>
            <w:tcW w:w="3660" w:type="dxa"/>
            <w:tcBorders>
              <w:top w:val="nil"/>
              <w:left w:val="single" w:sz="8" w:space="0" w:color="auto"/>
              <w:bottom w:val="single" w:sz="8" w:space="0" w:color="auto"/>
              <w:right w:val="single" w:sz="8" w:space="0" w:color="auto"/>
            </w:tcBorders>
            <w:shd w:val="clear" w:color="auto" w:fill="auto"/>
            <w:vAlign w:val="center"/>
            <w:hideMark/>
          </w:tcPr>
          <w:p w14:paraId="12D708D5" w14:textId="77777777" w:rsidR="007B2E98" w:rsidRPr="007B2E98" w:rsidRDefault="007B2E98" w:rsidP="00374ACB">
            <w:pPr>
              <w:rPr>
                <w:rFonts w:ascii="Times New Roman" w:eastAsia="Times New Roman" w:hAnsi="Times New Roman" w:cs="Times New Roman"/>
                <w:sz w:val="20"/>
                <w:szCs w:val="20"/>
                <w:lang w:eastAsia="es-GT"/>
              </w:rPr>
            </w:pPr>
            <w:r w:rsidRPr="007B2E98">
              <w:rPr>
                <w:rFonts w:ascii="Times New Roman" w:eastAsia="Times New Roman" w:hAnsi="Times New Roman" w:cs="Times New Roman"/>
                <w:sz w:val="20"/>
                <w:szCs w:val="20"/>
                <w:lang w:eastAsia="es-GT"/>
              </w:rPr>
              <w:t>Ministerio de Comunicaciones, Infraestructura y Vivienda</w:t>
            </w:r>
          </w:p>
        </w:tc>
        <w:tc>
          <w:tcPr>
            <w:tcW w:w="1560" w:type="dxa"/>
            <w:tcBorders>
              <w:top w:val="nil"/>
              <w:left w:val="nil"/>
              <w:bottom w:val="single" w:sz="8" w:space="0" w:color="auto"/>
              <w:right w:val="single" w:sz="8" w:space="0" w:color="auto"/>
            </w:tcBorders>
            <w:shd w:val="clear" w:color="auto" w:fill="auto"/>
            <w:noWrap/>
            <w:vAlign w:val="center"/>
            <w:hideMark/>
          </w:tcPr>
          <w:p w14:paraId="5E7A7E89" w14:textId="77777777" w:rsidR="007B2E98" w:rsidRPr="007B2E98" w:rsidRDefault="007B2E98" w:rsidP="007B2E98">
            <w:pPr>
              <w:jc w:val="center"/>
              <w:rPr>
                <w:rFonts w:ascii="Times New Roman" w:eastAsia="Times New Roman" w:hAnsi="Times New Roman" w:cs="Times New Roman"/>
                <w:sz w:val="20"/>
                <w:szCs w:val="20"/>
                <w:lang w:eastAsia="es-GT"/>
              </w:rPr>
            </w:pPr>
            <w:r w:rsidRPr="007B2E98">
              <w:rPr>
                <w:rFonts w:ascii="Times New Roman" w:eastAsia="Times New Roman" w:hAnsi="Times New Roman" w:cs="Times New Roman"/>
                <w:sz w:val="20"/>
                <w:szCs w:val="20"/>
                <w:lang w:eastAsia="es-GT"/>
              </w:rPr>
              <w:t>579.2</w:t>
            </w:r>
          </w:p>
        </w:tc>
        <w:tc>
          <w:tcPr>
            <w:tcW w:w="1360" w:type="dxa"/>
            <w:tcBorders>
              <w:top w:val="nil"/>
              <w:left w:val="nil"/>
              <w:bottom w:val="single" w:sz="8" w:space="0" w:color="auto"/>
              <w:right w:val="single" w:sz="8" w:space="0" w:color="auto"/>
            </w:tcBorders>
            <w:shd w:val="clear" w:color="auto" w:fill="auto"/>
            <w:noWrap/>
            <w:vAlign w:val="center"/>
            <w:hideMark/>
          </w:tcPr>
          <w:p w14:paraId="1C553F97" w14:textId="77777777" w:rsidR="007B2E98" w:rsidRPr="007B2E98" w:rsidRDefault="007B2E98" w:rsidP="007B2E98">
            <w:pPr>
              <w:jc w:val="center"/>
              <w:rPr>
                <w:rFonts w:ascii="Times New Roman" w:eastAsia="Times New Roman" w:hAnsi="Times New Roman" w:cs="Times New Roman"/>
                <w:sz w:val="20"/>
                <w:szCs w:val="20"/>
                <w:lang w:eastAsia="es-GT"/>
              </w:rPr>
            </w:pPr>
            <w:r w:rsidRPr="007B2E98">
              <w:rPr>
                <w:rFonts w:ascii="Times New Roman" w:eastAsia="Times New Roman" w:hAnsi="Times New Roman" w:cs="Times New Roman"/>
                <w:sz w:val="20"/>
                <w:szCs w:val="20"/>
                <w:lang w:eastAsia="es-GT"/>
              </w:rPr>
              <w:t>577.0</w:t>
            </w:r>
          </w:p>
        </w:tc>
        <w:tc>
          <w:tcPr>
            <w:tcW w:w="1360" w:type="dxa"/>
            <w:tcBorders>
              <w:top w:val="nil"/>
              <w:left w:val="nil"/>
              <w:bottom w:val="single" w:sz="8" w:space="0" w:color="auto"/>
              <w:right w:val="single" w:sz="8" w:space="0" w:color="auto"/>
            </w:tcBorders>
            <w:shd w:val="clear" w:color="auto" w:fill="auto"/>
            <w:noWrap/>
            <w:vAlign w:val="center"/>
            <w:hideMark/>
          </w:tcPr>
          <w:p w14:paraId="0D7533F6" w14:textId="77777777" w:rsidR="007B2E98" w:rsidRPr="007B2E98" w:rsidRDefault="007B2E98" w:rsidP="007B2E98">
            <w:pPr>
              <w:jc w:val="center"/>
              <w:rPr>
                <w:rFonts w:ascii="Times New Roman" w:eastAsia="Times New Roman" w:hAnsi="Times New Roman" w:cs="Times New Roman"/>
                <w:sz w:val="20"/>
                <w:szCs w:val="20"/>
                <w:lang w:eastAsia="es-GT"/>
              </w:rPr>
            </w:pPr>
            <w:r w:rsidRPr="007B2E98">
              <w:rPr>
                <w:rFonts w:ascii="Times New Roman" w:eastAsia="Times New Roman" w:hAnsi="Times New Roman" w:cs="Times New Roman"/>
                <w:sz w:val="20"/>
                <w:szCs w:val="20"/>
                <w:lang w:eastAsia="es-GT"/>
              </w:rPr>
              <w:t>99.6</w:t>
            </w:r>
          </w:p>
        </w:tc>
      </w:tr>
    </w:tbl>
    <w:p w14:paraId="63B5AE71" w14:textId="25AF4924" w:rsidR="0039645E" w:rsidRDefault="0039645E" w:rsidP="0039645E">
      <w:pPr>
        <w:rPr>
          <w:rFonts w:ascii="Times New Roman" w:eastAsia="Times New Roman" w:hAnsi="Times New Roman" w:cs="Times New Roman"/>
          <w:sz w:val="18"/>
          <w:szCs w:val="18"/>
          <w:lang w:val="es-MX" w:eastAsia="es-ES"/>
        </w:rPr>
      </w:pPr>
      <w:r w:rsidRPr="004A66F0">
        <w:rPr>
          <w:rFonts w:ascii="Times New Roman" w:eastAsia="Times New Roman" w:hAnsi="Times New Roman" w:cs="Times New Roman"/>
          <w:sz w:val="18"/>
          <w:szCs w:val="18"/>
          <w:lang w:val="es-MX" w:eastAsia="es-ES"/>
        </w:rPr>
        <w:t xml:space="preserve">           Fuente: SICOI</w:t>
      </w:r>
      <w:r>
        <w:rPr>
          <w:rFonts w:ascii="Times New Roman" w:eastAsia="Times New Roman" w:hAnsi="Times New Roman" w:cs="Times New Roman"/>
          <w:sz w:val="18"/>
          <w:szCs w:val="18"/>
          <w:lang w:val="es-MX" w:eastAsia="es-ES"/>
        </w:rPr>
        <w:t>N</w:t>
      </w:r>
    </w:p>
    <w:p w14:paraId="722532E3" w14:textId="77777777" w:rsidR="00C22D70" w:rsidRDefault="00C22D70" w:rsidP="004245AE">
      <w:pPr>
        <w:rPr>
          <w:rFonts w:ascii="Times New Roman" w:eastAsiaTheme="majorEastAsia" w:hAnsi="Times New Roman" w:cs="Times New Roman"/>
          <w:b/>
          <w:bCs/>
          <w:sz w:val="26"/>
          <w:szCs w:val="26"/>
          <w:lang w:val="es-ES_tradnl" w:eastAsia="es-ES"/>
        </w:rPr>
      </w:pPr>
      <w:bookmarkStart w:id="82" w:name="_Toc125538996"/>
    </w:p>
    <w:p w14:paraId="2DCADA3F" w14:textId="3A2F5106" w:rsidR="0039645E" w:rsidRDefault="00D77F0D" w:rsidP="003F65C5">
      <w:pPr>
        <w:jc w:val="both"/>
        <w:outlineLvl w:val="0"/>
        <w:rPr>
          <w:rFonts w:ascii="Times New Roman" w:eastAsiaTheme="majorEastAsia" w:hAnsi="Times New Roman" w:cs="Times New Roman"/>
          <w:b/>
          <w:bCs/>
          <w:sz w:val="26"/>
          <w:szCs w:val="26"/>
          <w:lang w:val="es-ES_tradnl" w:eastAsia="es-ES"/>
        </w:rPr>
      </w:pPr>
      <w:bookmarkStart w:id="83" w:name="_Toc160196854"/>
      <w:r>
        <w:rPr>
          <w:rFonts w:ascii="Times New Roman" w:eastAsiaTheme="majorEastAsia" w:hAnsi="Times New Roman" w:cs="Times New Roman"/>
          <w:b/>
          <w:bCs/>
          <w:sz w:val="26"/>
          <w:szCs w:val="26"/>
          <w:lang w:val="es-ES_tradnl" w:eastAsia="es-ES"/>
        </w:rPr>
        <w:t>III</w:t>
      </w:r>
      <w:r w:rsidR="00821B4C">
        <w:rPr>
          <w:rFonts w:ascii="Times New Roman" w:eastAsiaTheme="majorEastAsia" w:hAnsi="Times New Roman" w:cs="Times New Roman"/>
          <w:b/>
          <w:bCs/>
          <w:sz w:val="26"/>
          <w:szCs w:val="26"/>
          <w:lang w:val="es-ES_tradnl" w:eastAsia="es-ES"/>
        </w:rPr>
        <w:t>.</w:t>
      </w:r>
      <w:r w:rsidR="006E129B">
        <w:rPr>
          <w:rFonts w:ascii="Times New Roman" w:eastAsiaTheme="majorEastAsia" w:hAnsi="Times New Roman" w:cs="Times New Roman"/>
          <w:b/>
          <w:bCs/>
          <w:sz w:val="26"/>
          <w:szCs w:val="26"/>
          <w:lang w:val="es-ES_tradnl" w:eastAsia="es-ES"/>
        </w:rPr>
        <w:t xml:space="preserve"> </w:t>
      </w:r>
      <w:r w:rsidR="0039645E" w:rsidRPr="003F65C5">
        <w:rPr>
          <w:rFonts w:ascii="Times New Roman" w:eastAsiaTheme="majorEastAsia" w:hAnsi="Times New Roman" w:cs="Times New Roman"/>
          <w:b/>
          <w:bCs/>
          <w:sz w:val="26"/>
          <w:szCs w:val="26"/>
          <w:lang w:val="es-ES_tradnl" w:eastAsia="es-ES"/>
        </w:rPr>
        <w:t>Resultado Fiscal y Financiamient</w:t>
      </w:r>
      <w:bookmarkStart w:id="84" w:name="_Toc31624513"/>
      <w:bookmarkStart w:id="85" w:name="_Toc62724073"/>
      <w:bookmarkStart w:id="86" w:name="_Toc62724136"/>
      <w:bookmarkStart w:id="87" w:name="_Toc62724220"/>
      <w:bookmarkStart w:id="88" w:name="_Toc62724294"/>
      <w:bookmarkStart w:id="89" w:name="_Toc94250359"/>
      <w:bookmarkStart w:id="90" w:name="_Toc94250427"/>
      <w:bookmarkStart w:id="91" w:name="_Toc94251067"/>
      <w:bookmarkStart w:id="92" w:name="_Toc94257729"/>
      <w:bookmarkStart w:id="93" w:name="_Toc94259645"/>
      <w:bookmarkStart w:id="94" w:name="_Toc125451207"/>
      <w:bookmarkStart w:id="95" w:name="_Toc125451320"/>
      <w:bookmarkStart w:id="96" w:name="_Toc125451637"/>
      <w:bookmarkStart w:id="97" w:name="_Toc125451665"/>
      <w:bookmarkStart w:id="98" w:name="_Toc125451699"/>
      <w:bookmarkStart w:id="99" w:name="_Toc125451739"/>
      <w:bookmarkStart w:id="100" w:name="_Toc125451773"/>
      <w:bookmarkStart w:id="101" w:name="_Toc125458267"/>
      <w:bookmarkStart w:id="102" w:name="_Toc125458355"/>
      <w:bookmarkStart w:id="103" w:name="_Toc125458268"/>
      <w:bookmarkStart w:id="104" w:name="_Toc125458356"/>
      <w:bookmarkStart w:id="105" w:name="_Toc94259646"/>
      <w:bookmarkEnd w:id="82"/>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003F65C5">
        <w:rPr>
          <w:rFonts w:ascii="Times New Roman" w:eastAsiaTheme="majorEastAsia" w:hAnsi="Times New Roman" w:cs="Times New Roman"/>
          <w:b/>
          <w:bCs/>
          <w:sz w:val="26"/>
          <w:szCs w:val="26"/>
          <w:lang w:val="es-ES_tradnl" w:eastAsia="es-ES"/>
        </w:rPr>
        <w:t>o</w:t>
      </w:r>
      <w:bookmarkEnd w:id="83"/>
    </w:p>
    <w:p w14:paraId="5689DE72" w14:textId="77777777" w:rsidR="003F65C5" w:rsidRPr="003F65C5" w:rsidRDefault="003F65C5" w:rsidP="004245AE">
      <w:pPr>
        <w:rPr>
          <w:rFonts w:ascii="Times New Roman" w:eastAsiaTheme="majorEastAsia" w:hAnsi="Times New Roman" w:cs="Times New Roman"/>
          <w:b/>
          <w:bCs/>
          <w:sz w:val="26"/>
          <w:szCs w:val="26"/>
          <w:lang w:val="es-ES_tradnl" w:eastAsia="es-ES"/>
        </w:rPr>
      </w:pPr>
    </w:p>
    <w:bookmarkEnd w:id="105"/>
    <w:p w14:paraId="38C59195" w14:textId="20450A6F" w:rsidR="0039645E" w:rsidRPr="00400EB0" w:rsidRDefault="0039645E" w:rsidP="00835509">
      <w:pPr>
        <w:jc w:val="both"/>
        <w:rPr>
          <w:rFonts w:ascii="Times New Roman" w:eastAsia="Times New Roman" w:hAnsi="Times New Roman" w:cs="Times New Roman"/>
          <w:sz w:val="22"/>
          <w:szCs w:val="22"/>
        </w:rPr>
      </w:pPr>
      <w:r w:rsidRPr="00400EB0">
        <w:rPr>
          <w:rFonts w:ascii="Times New Roman" w:eastAsia="Times New Roman" w:hAnsi="Times New Roman" w:cs="Times New Roman"/>
          <w:sz w:val="22"/>
          <w:szCs w:val="22"/>
          <w:lang w:val="es-ES_tradnl"/>
        </w:rPr>
        <w:t>A lo largo del 202</w:t>
      </w:r>
      <w:r w:rsidR="003F65C5" w:rsidRPr="00400EB0">
        <w:rPr>
          <w:rFonts w:ascii="Times New Roman" w:eastAsia="Times New Roman" w:hAnsi="Times New Roman" w:cs="Times New Roman"/>
          <w:sz w:val="22"/>
          <w:szCs w:val="22"/>
          <w:lang w:val="es-ES_tradnl"/>
        </w:rPr>
        <w:t>3</w:t>
      </w:r>
      <w:r w:rsidRPr="00400EB0">
        <w:rPr>
          <w:rFonts w:ascii="Times New Roman" w:eastAsia="Times New Roman" w:hAnsi="Times New Roman" w:cs="Times New Roman"/>
          <w:sz w:val="22"/>
          <w:szCs w:val="22"/>
          <w:lang w:val="es-ES_tradnl"/>
        </w:rPr>
        <w:t xml:space="preserve"> </w:t>
      </w:r>
      <w:r w:rsidR="003F65C5" w:rsidRPr="00400EB0">
        <w:rPr>
          <w:rFonts w:ascii="Times New Roman" w:eastAsia="Times New Roman" w:hAnsi="Times New Roman" w:cs="Times New Roman"/>
          <w:sz w:val="22"/>
          <w:szCs w:val="22"/>
          <w:lang w:val="es-ES_tradnl"/>
        </w:rPr>
        <w:t>la recaudación tributaria mantuvo comportamiento positivo, durante todo el ejercicio fiscal</w:t>
      </w:r>
      <w:r w:rsidR="00C06C5D">
        <w:rPr>
          <w:rFonts w:ascii="Times New Roman" w:eastAsia="Times New Roman" w:hAnsi="Times New Roman" w:cs="Times New Roman"/>
          <w:sz w:val="22"/>
          <w:szCs w:val="22"/>
          <w:lang w:val="es-ES_tradnl"/>
        </w:rPr>
        <w:t>,</w:t>
      </w:r>
      <w:r w:rsidR="003F65C5" w:rsidRPr="00400EB0">
        <w:rPr>
          <w:rFonts w:ascii="Times New Roman" w:eastAsia="Times New Roman" w:hAnsi="Times New Roman" w:cs="Times New Roman"/>
          <w:sz w:val="22"/>
          <w:szCs w:val="22"/>
          <w:lang w:val="es-ES_tradnl"/>
        </w:rPr>
        <w:t xml:space="preserve"> la brecha con respecto a la meta establecida en presupuesto fue positiva, </w:t>
      </w:r>
      <w:r w:rsidR="00835509" w:rsidRPr="00400EB0">
        <w:rPr>
          <w:rFonts w:ascii="Times New Roman" w:eastAsia="Times New Roman" w:hAnsi="Times New Roman" w:cs="Times New Roman"/>
          <w:sz w:val="22"/>
          <w:szCs w:val="22"/>
          <w:lang w:val="es-ES_tradnl"/>
        </w:rPr>
        <w:t>ampliándose</w:t>
      </w:r>
      <w:r w:rsidR="00A07366">
        <w:rPr>
          <w:rFonts w:ascii="Times New Roman" w:eastAsia="Times New Roman" w:hAnsi="Times New Roman" w:cs="Times New Roman"/>
          <w:sz w:val="22"/>
          <w:szCs w:val="22"/>
          <w:lang w:val="es-ES_tradnl"/>
        </w:rPr>
        <w:t xml:space="preserve"> mes a mes</w:t>
      </w:r>
      <w:r w:rsidR="00835509" w:rsidRPr="00400EB0">
        <w:rPr>
          <w:rFonts w:ascii="Times New Roman" w:eastAsia="Times New Roman" w:hAnsi="Times New Roman" w:cs="Times New Roman"/>
          <w:sz w:val="22"/>
          <w:szCs w:val="22"/>
          <w:lang w:val="es-ES_tradnl"/>
        </w:rPr>
        <w:t xml:space="preserve"> hasta cerrar en Q9,</w:t>
      </w:r>
      <w:r w:rsidR="00ED0EE4">
        <w:rPr>
          <w:rFonts w:ascii="Times New Roman" w:eastAsia="Times New Roman" w:hAnsi="Times New Roman" w:cs="Times New Roman"/>
          <w:sz w:val="22"/>
          <w:szCs w:val="22"/>
          <w:lang w:val="es-ES_tradnl"/>
        </w:rPr>
        <w:t>300</w:t>
      </w:r>
      <w:r w:rsidR="00835509" w:rsidRPr="00400EB0">
        <w:rPr>
          <w:rFonts w:ascii="Times New Roman" w:eastAsia="Times New Roman" w:hAnsi="Times New Roman" w:cs="Times New Roman"/>
          <w:sz w:val="22"/>
          <w:szCs w:val="22"/>
          <w:lang w:val="es-ES_tradnl"/>
        </w:rPr>
        <w:t>.</w:t>
      </w:r>
      <w:r w:rsidR="00ED0EE4">
        <w:rPr>
          <w:rFonts w:ascii="Times New Roman" w:eastAsia="Times New Roman" w:hAnsi="Times New Roman" w:cs="Times New Roman"/>
          <w:sz w:val="22"/>
          <w:szCs w:val="22"/>
          <w:lang w:val="es-ES_tradnl"/>
        </w:rPr>
        <w:t>2</w:t>
      </w:r>
      <w:r w:rsidR="00835509" w:rsidRPr="00400EB0">
        <w:rPr>
          <w:rFonts w:ascii="Times New Roman" w:eastAsia="Times New Roman" w:hAnsi="Times New Roman" w:cs="Times New Roman"/>
          <w:sz w:val="22"/>
          <w:szCs w:val="22"/>
          <w:lang w:val="es-ES_tradnl"/>
        </w:rPr>
        <w:t xml:space="preserve"> millones por arriba de lo esperado en el presupuesto. Esto se debe a </w:t>
      </w:r>
      <w:r w:rsidRPr="00400EB0">
        <w:rPr>
          <w:rFonts w:ascii="Times New Roman" w:eastAsia="Times New Roman" w:hAnsi="Times New Roman" w:cs="Times New Roman"/>
          <w:sz w:val="22"/>
          <w:szCs w:val="22"/>
        </w:rPr>
        <w:t xml:space="preserve">las medidas administrativas adoptadas por la SAT que </w:t>
      </w:r>
      <w:r w:rsidR="00835509" w:rsidRPr="00400EB0">
        <w:rPr>
          <w:rFonts w:ascii="Times New Roman" w:eastAsia="Times New Roman" w:hAnsi="Times New Roman" w:cs="Times New Roman"/>
          <w:sz w:val="22"/>
          <w:szCs w:val="22"/>
        </w:rPr>
        <w:t xml:space="preserve">han </w:t>
      </w:r>
      <w:r w:rsidRPr="00400EB0">
        <w:rPr>
          <w:rFonts w:ascii="Times New Roman" w:eastAsia="Times New Roman" w:hAnsi="Times New Roman" w:cs="Times New Roman"/>
          <w:sz w:val="22"/>
          <w:szCs w:val="22"/>
        </w:rPr>
        <w:t>apuntal</w:t>
      </w:r>
      <w:r w:rsidR="00835509" w:rsidRPr="00400EB0">
        <w:rPr>
          <w:rFonts w:ascii="Times New Roman" w:eastAsia="Times New Roman" w:hAnsi="Times New Roman" w:cs="Times New Roman"/>
          <w:sz w:val="22"/>
          <w:szCs w:val="22"/>
        </w:rPr>
        <w:t>ado</w:t>
      </w:r>
      <w:r w:rsidRPr="00400EB0">
        <w:rPr>
          <w:rFonts w:ascii="Times New Roman" w:eastAsia="Times New Roman" w:hAnsi="Times New Roman" w:cs="Times New Roman"/>
          <w:sz w:val="22"/>
          <w:szCs w:val="22"/>
        </w:rPr>
        <w:t xml:space="preserve"> el nivel de recaudación</w:t>
      </w:r>
      <w:r w:rsidR="00835509" w:rsidRPr="00400EB0">
        <w:rPr>
          <w:rFonts w:ascii="Times New Roman" w:eastAsia="Times New Roman" w:hAnsi="Times New Roman" w:cs="Times New Roman"/>
          <w:sz w:val="22"/>
          <w:szCs w:val="22"/>
        </w:rPr>
        <w:t xml:space="preserve"> y han permitido que por segundo ejercicio fiscal consecutivo se alcance </w:t>
      </w:r>
      <w:r w:rsidR="007830D3">
        <w:rPr>
          <w:rFonts w:ascii="Times New Roman" w:eastAsia="Times New Roman" w:hAnsi="Times New Roman" w:cs="Times New Roman"/>
          <w:sz w:val="22"/>
          <w:szCs w:val="22"/>
        </w:rPr>
        <w:t>el</w:t>
      </w:r>
      <w:r w:rsidR="007830D3" w:rsidRPr="00400EB0">
        <w:rPr>
          <w:rFonts w:ascii="Times New Roman" w:eastAsia="Times New Roman" w:hAnsi="Times New Roman" w:cs="Times New Roman"/>
          <w:sz w:val="22"/>
          <w:szCs w:val="22"/>
        </w:rPr>
        <w:t xml:space="preserve"> </w:t>
      </w:r>
      <w:r w:rsidR="00835509" w:rsidRPr="00400EB0">
        <w:rPr>
          <w:rFonts w:ascii="Times New Roman" w:eastAsia="Times New Roman" w:hAnsi="Times New Roman" w:cs="Times New Roman"/>
          <w:sz w:val="22"/>
          <w:szCs w:val="22"/>
        </w:rPr>
        <w:t>nivel de 12.0%.</w:t>
      </w:r>
    </w:p>
    <w:p w14:paraId="0E6EDEDE" w14:textId="77777777" w:rsidR="0039645E" w:rsidRPr="00400EB0" w:rsidRDefault="0039645E" w:rsidP="0039645E">
      <w:pPr>
        <w:jc w:val="both"/>
        <w:rPr>
          <w:rFonts w:ascii="Times New Roman" w:eastAsia="Times New Roman" w:hAnsi="Times New Roman" w:cs="Times New Roman"/>
          <w:sz w:val="22"/>
          <w:szCs w:val="22"/>
        </w:rPr>
      </w:pPr>
    </w:p>
    <w:p w14:paraId="4E68A70A" w14:textId="3553B221" w:rsidR="0039645E" w:rsidRPr="00400EB0" w:rsidRDefault="00835509" w:rsidP="0039645E">
      <w:pPr>
        <w:jc w:val="both"/>
        <w:rPr>
          <w:rFonts w:ascii="Times New Roman" w:eastAsia="Times New Roman" w:hAnsi="Times New Roman" w:cs="Times New Roman"/>
          <w:sz w:val="22"/>
          <w:szCs w:val="22"/>
        </w:rPr>
      </w:pPr>
      <w:r w:rsidRPr="00400EB0">
        <w:rPr>
          <w:rFonts w:ascii="Times New Roman" w:eastAsia="Times New Roman" w:hAnsi="Times New Roman" w:cs="Times New Roman"/>
          <w:sz w:val="22"/>
          <w:szCs w:val="22"/>
        </w:rPr>
        <w:t>Adicionalmente, el gasto público se fue desacelerando después de alcanzar el nivel más alto del año, en abril 2023 (</w:t>
      </w:r>
      <w:r w:rsidR="00F46012" w:rsidRPr="00400EB0">
        <w:rPr>
          <w:rFonts w:ascii="Times New Roman" w:eastAsia="Times New Roman" w:hAnsi="Times New Roman" w:cs="Times New Roman"/>
          <w:sz w:val="22"/>
          <w:szCs w:val="22"/>
        </w:rPr>
        <w:t>20</w:t>
      </w:r>
      <w:r w:rsidRPr="00400EB0">
        <w:rPr>
          <w:rFonts w:ascii="Times New Roman" w:eastAsia="Times New Roman" w:hAnsi="Times New Roman" w:cs="Times New Roman"/>
          <w:sz w:val="22"/>
          <w:szCs w:val="22"/>
        </w:rPr>
        <w:t>.3% crecimiento interanual), para cerrar en</w:t>
      </w:r>
      <w:r w:rsidR="00F46012" w:rsidRPr="00400EB0">
        <w:rPr>
          <w:rFonts w:ascii="Times New Roman" w:eastAsia="Times New Roman" w:hAnsi="Times New Roman" w:cs="Times New Roman"/>
          <w:sz w:val="22"/>
          <w:szCs w:val="22"/>
        </w:rPr>
        <w:t xml:space="preserve"> </w:t>
      </w:r>
      <w:r w:rsidR="007B583D">
        <w:rPr>
          <w:rFonts w:ascii="Times New Roman" w:eastAsia="Times New Roman" w:hAnsi="Times New Roman" w:cs="Times New Roman"/>
          <w:sz w:val="22"/>
          <w:szCs w:val="22"/>
        </w:rPr>
        <w:t>el</w:t>
      </w:r>
      <w:r w:rsidR="00F46012" w:rsidRPr="00400EB0">
        <w:rPr>
          <w:rFonts w:ascii="Times New Roman" w:eastAsia="Times New Roman" w:hAnsi="Times New Roman" w:cs="Times New Roman"/>
          <w:sz w:val="22"/>
          <w:szCs w:val="22"/>
        </w:rPr>
        <w:t xml:space="preserve"> nivel de 6.2% de crecimiento interanual, esto coadyuvó a que</w:t>
      </w:r>
      <w:r w:rsidR="0039645E" w:rsidRPr="00400EB0">
        <w:rPr>
          <w:rFonts w:ascii="Times New Roman" w:eastAsia="Times New Roman" w:hAnsi="Times New Roman" w:cs="Times New Roman"/>
          <w:sz w:val="22"/>
          <w:szCs w:val="22"/>
        </w:rPr>
        <w:t xml:space="preserve"> el déficit fiscal se ubic</w:t>
      </w:r>
      <w:r w:rsidR="00F46012" w:rsidRPr="00400EB0">
        <w:rPr>
          <w:rFonts w:ascii="Times New Roman" w:eastAsia="Times New Roman" w:hAnsi="Times New Roman" w:cs="Times New Roman"/>
          <w:sz w:val="22"/>
          <w:szCs w:val="22"/>
        </w:rPr>
        <w:t>ara al final del ejercicio</w:t>
      </w:r>
      <w:r w:rsidR="0039645E" w:rsidRPr="00400EB0">
        <w:rPr>
          <w:rFonts w:ascii="Times New Roman" w:eastAsia="Times New Roman" w:hAnsi="Times New Roman" w:cs="Times New Roman"/>
          <w:sz w:val="22"/>
          <w:szCs w:val="22"/>
        </w:rPr>
        <w:t xml:space="preserve"> en Q1</w:t>
      </w:r>
      <w:r w:rsidR="00F46012" w:rsidRPr="00400EB0">
        <w:rPr>
          <w:rFonts w:ascii="Times New Roman" w:eastAsia="Times New Roman" w:hAnsi="Times New Roman" w:cs="Times New Roman"/>
          <w:sz w:val="22"/>
          <w:szCs w:val="22"/>
        </w:rPr>
        <w:t>0</w:t>
      </w:r>
      <w:r w:rsidR="0039645E" w:rsidRPr="00400EB0">
        <w:rPr>
          <w:rFonts w:ascii="Times New Roman" w:eastAsia="Times New Roman" w:hAnsi="Times New Roman" w:cs="Times New Roman"/>
          <w:sz w:val="22"/>
          <w:szCs w:val="22"/>
        </w:rPr>
        <w:t>,</w:t>
      </w:r>
      <w:r w:rsidR="00ED0EE4">
        <w:rPr>
          <w:rFonts w:ascii="Times New Roman" w:eastAsia="Times New Roman" w:hAnsi="Times New Roman" w:cs="Times New Roman"/>
          <w:sz w:val="22"/>
          <w:szCs w:val="22"/>
        </w:rPr>
        <w:t>230</w:t>
      </w:r>
      <w:r w:rsidR="0039645E" w:rsidRPr="00400EB0">
        <w:rPr>
          <w:rFonts w:ascii="Times New Roman" w:eastAsia="Times New Roman" w:hAnsi="Times New Roman" w:cs="Times New Roman"/>
          <w:sz w:val="22"/>
          <w:szCs w:val="22"/>
        </w:rPr>
        <w:t>.</w:t>
      </w:r>
      <w:r w:rsidR="00ED0EE4">
        <w:rPr>
          <w:rFonts w:ascii="Times New Roman" w:eastAsia="Times New Roman" w:hAnsi="Times New Roman" w:cs="Times New Roman"/>
          <w:sz w:val="22"/>
          <w:szCs w:val="22"/>
        </w:rPr>
        <w:t>6</w:t>
      </w:r>
      <w:r w:rsidR="0039645E" w:rsidRPr="00400EB0">
        <w:rPr>
          <w:rFonts w:ascii="Times New Roman" w:eastAsia="Times New Roman" w:hAnsi="Times New Roman" w:cs="Times New Roman"/>
          <w:sz w:val="22"/>
          <w:szCs w:val="22"/>
        </w:rPr>
        <w:t xml:space="preserve"> millones, equivalente al 1.</w:t>
      </w:r>
      <w:r w:rsidR="009267B9">
        <w:rPr>
          <w:rFonts w:ascii="Times New Roman" w:eastAsia="Times New Roman" w:hAnsi="Times New Roman" w:cs="Times New Roman"/>
          <w:sz w:val="22"/>
          <w:szCs w:val="22"/>
        </w:rPr>
        <w:t>3</w:t>
      </w:r>
      <w:r w:rsidR="0039645E" w:rsidRPr="00400EB0">
        <w:rPr>
          <w:rFonts w:ascii="Times New Roman" w:eastAsia="Times New Roman" w:hAnsi="Times New Roman" w:cs="Times New Roman"/>
          <w:sz w:val="22"/>
          <w:szCs w:val="22"/>
        </w:rPr>
        <w:t>% del PIB.</w:t>
      </w:r>
    </w:p>
    <w:p w14:paraId="1FDD13E9" w14:textId="77777777" w:rsidR="0039645E" w:rsidRPr="00400EB0" w:rsidRDefault="0039645E" w:rsidP="0039645E">
      <w:pPr>
        <w:jc w:val="both"/>
        <w:rPr>
          <w:rFonts w:ascii="Times New Roman" w:eastAsia="Times New Roman" w:hAnsi="Times New Roman" w:cs="Times New Roman"/>
          <w:sz w:val="22"/>
          <w:szCs w:val="22"/>
        </w:rPr>
      </w:pPr>
    </w:p>
    <w:p w14:paraId="58551C03" w14:textId="08E96B48" w:rsidR="00F46012" w:rsidRPr="00400EB0" w:rsidRDefault="0039645E" w:rsidP="0039645E">
      <w:pPr>
        <w:jc w:val="both"/>
        <w:rPr>
          <w:rFonts w:ascii="Times New Roman" w:eastAsia="Times New Roman" w:hAnsi="Times New Roman" w:cs="Times New Roman"/>
          <w:sz w:val="22"/>
          <w:szCs w:val="22"/>
        </w:rPr>
      </w:pPr>
      <w:r w:rsidRPr="00400EB0">
        <w:rPr>
          <w:rFonts w:ascii="Times New Roman" w:eastAsia="Times New Roman" w:hAnsi="Times New Roman" w:cs="Times New Roman"/>
          <w:sz w:val="22"/>
          <w:szCs w:val="22"/>
        </w:rPr>
        <w:lastRenderedPageBreak/>
        <w:t xml:space="preserve">Este déficit fiscal es </w:t>
      </w:r>
      <w:r w:rsidR="00F46012" w:rsidRPr="00400EB0">
        <w:rPr>
          <w:rFonts w:ascii="Times New Roman" w:eastAsia="Times New Roman" w:hAnsi="Times New Roman" w:cs="Times New Roman"/>
          <w:sz w:val="22"/>
          <w:szCs w:val="22"/>
        </w:rPr>
        <w:t xml:space="preserve">menor en </w:t>
      </w:r>
      <w:r w:rsidR="009267B9">
        <w:rPr>
          <w:rFonts w:ascii="Times New Roman" w:eastAsia="Times New Roman" w:hAnsi="Times New Roman" w:cs="Times New Roman"/>
          <w:sz w:val="22"/>
          <w:szCs w:val="22"/>
        </w:rPr>
        <w:t>cuatro</w:t>
      </w:r>
      <w:r w:rsidR="00F46012" w:rsidRPr="00400EB0">
        <w:rPr>
          <w:rFonts w:ascii="Times New Roman" w:eastAsia="Times New Roman" w:hAnsi="Times New Roman" w:cs="Times New Roman"/>
          <w:sz w:val="22"/>
          <w:szCs w:val="22"/>
        </w:rPr>
        <w:t xml:space="preserve"> d</w:t>
      </w:r>
      <w:r w:rsidRPr="00400EB0">
        <w:rPr>
          <w:rFonts w:ascii="Times New Roman" w:eastAsia="Times New Roman" w:hAnsi="Times New Roman" w:cs="Times New Roman"/>
          <w:sz w:val="22"/>
          <w:szCs w:val="22"/>
        </w:rPr>
        <w:t>écimas al cierre de 202</w:t>
      </w:r>
      <w:r w:rsidR="00F46012" w:rsidRPr="00400EB0">
        <w:rPr>
          <w:rFonts w:ascii="Times New Roman" w:eastAsia="Times New Roman" w:hAnsi="Times New Roman" w:cs="Times New Roman"/>
          <w:sz w:val="22"/>
          <w:szCs w:val="22"/>
        </w:rPr>
        <w:t>2</w:t>
      </w:r>
      <w:r w:rsidRPr="00400EB0">
        <w:rPr>
          <w:rFonts w:ascii="Times New Roman" w:eastAsia="Times New Roman" w:hAnsi="Times New Roman" w:cs="Times New Roman"/>
          <w:sz w:val="22"/>
          <w:szCs w:val="22"/>
        </w:rPr>
        <w:t xml:space="preserve"> (1.</w:t>
      </w:r>
      <w:r w:rsidR="00F46012" w:rsidRPr="00400EB0">
        <w:rPr>
          <w:rFonts w:ascii="Times New Roman" w:eastAsia="Times New Roman" w:hAnsi="Times New Roman" w:cs="Times New Roman"/>
          <w:sz w:val="22"/>
          <w:szCs w:val="22"/>
        </w:rPr>
        <w:t>7</w:t>
      </w:r>
      <w:r w:rsidRPr="00400EB0">
        <w:rPr>
          <w:rFonts w:ascii="Times New Roman" w:eastAsia="Times New Roman" w:hAnsi="Times New Roman" w:cs="Times New Roman"/>
          <w:sz w:val="22"/>
          <w:szCs w:val="22"/>
        </w:rPr>
        <w:t>%)</w:t>
      </w:r>
      <w:r w:rsidR="00F46012" w:rsidRPr="00400EB0">
        <w:rPr>
          <w:rFonts w:ascii="Times New Roman" w:eastAsia="Times New Roman" w:hAnsi="Times New Roman" w:cs="Times New Roman"/>
          <w:sz w:val="22"/>
          <w:szCs w:val="22"/>
        </w:rPr>
        <w:t xml:space="preserve"> y es menor al programado en el presupuesto vigente (3.1%), lo cual permite continuar manteniendo el déficit en niveles sostenibles</w:t>
      </w:r>
      <w:r w:rsidRPr="00400EB0">
        <w:rPr>
          <w:rFonts w:ascii="Times New Roman" w:eastAsia="Times New Roman" w:hAnsi="Times New Roman" w:cs="Times New Roman"/>
          <w:sz w:val="22"/>
          <w:szCs w:val="22"/>
        </w:rPr>
        <w:t xml:space="preserve">. </w:t>
      </w:r>
      <w:r w:rsidR="00F46012" w:rsidRPr="00400EB0">
        <w:rPr>
          <w:rFonts w:ascii="Times New Roman" w:eastAsia="Times New Roman" w:hAnsi="Times New Roman" w:cs="Times New Roman"/>
          <w:sz w:val="22"/>
          <w:szCs w:val="22"/>
        </w:rPr>
        <w:t>Adicionalmente, el manejo prudente de las finanzas públicas</w:t>
      </w:r>
      <w:r w:rsidR="00526A86">
        <w:rPr>
          <w:rFonts w:ascii="Times New Roman" w:eastAsia="Times New Roman" w:hAnsi="Times New Roman" w:cs="Times New Roman"/>
          <w:sz w:val="22"/>
          <w:szCs w:val="22"/>
        </w:rPr>
        <w:t xml:space="preserve"> en años anteriores</w:t>
      </w:r>
      <w:r w:rsidR="00F46012" w:rsidRPr="00400EB0">
        <w:rPr>
          <w:rFonts w:ascii="Times New Roman" w:eastAsia="Times New Roman" w:hAnsi="Times New Roman" w:cs="Times New Roman"/>
          <w:sz w:val="22"/>
          <w:szCs w:val="22"/>
        </w:rPr>
        <w:t xml:space="preserve"> permit</w:t>
      </w:r>
      <w:r w:rsidR="00526A86">
        <w:rPr>
          <w:rFonts w:ascii="Times New Roman" w:eastAsia="Times New Roman" w:hAnsi="Times New Roman" w:cs="Times New Roman"/>
          <w:sz w:val="22"/>
          <w:szCs w:val="22"/>
        </w:rPr>
        <w:t>ió</w:t>
      </w:r>
      <w:r w:rsidR="00F46012" w:rsidRPr="00400EB0">
        <w:rPr>
          <w:rFonts w:ascii="Times New Roman" w:eastAsia="Times New Roman" w:hAnsi="Times New Roman" w:cs="Times New Roman"/>
          <w:sz w:val="22"/>
          <w:szCs w:val="22"/>
        </w:rPr>
        <w:t xml:space="preserve"> hacer uso de recursos en caja y bancos, preservando el espacio fiscal para afrontar gastos no previstos. </w:t>
      </w:r>
    </w:p>
    <w:p w14:paraId="226FCB06" w14:textId="77777777" w:rsidR="00B01229" w:rsidRPr="00400EB0" w:rsidRDefault="00B01229" w:rsidP="0039645E">
      <w:pPr>
        <w:jc w:val="both"/>
        <w:rPr>
          <w:rFonts w:ascii="Times New Roman" w:eastAsia="Times New Roman" w:hAnsi="Times New Roman" w:cs="Times New Roman"/>
          <w:sz w:val="22"/>
          <w:szCs w:val="22"/>
        </w:rPr>
      </w:pPr>
    </w:p>
    <w:p w14:paraId="242063CF" w14:textId="1B6902EB" w:rsidR="0039645E" w:rsidRPr="004245AE" w:rsidRDefault="004245AE" w:rsidP="004245AE">
      <w:pPr>
        <w:pStyle w:val="Descripcin"/>
        <w:keepNext/>
        <w:spacing w:after="0"/>
        <w:jc w:val="center"/>
        <w:rPr>
          <w:sz w:val="22"/>
          <w:szCs w:val="22"/>
        </w:rPr>
      </w:pPr>
      <w:bookmarkStart w:id="106" w:name="_Toc125534812"/>
      <w:bookmarkStart w:id="107" w:name="_Toc160196921"/>
      <w:r w:rsidRPr="004245AE">
        <w:rPr>
          <w:sz w:val="22"/>
          <w:szCs w:val="22"/>
        </w:rPr>
        <w:t xml:space="preserve">Tabla </w:t>
      </w:r>
      <w:r w:rsidRPr="004245AE">
        <w:rPr>
          <w:sz w:val="22"/>
          <w:szCs w:val="22"/>
        </w:rPr>
        <w:fldChar w:fldCharType="begin"/>
      </w:r>
      <w:r w:rsidRPr="004245AE">
        <w:rPr>
          <w:sz w:val="22"/>
          <w:szCs w:val="22"/>
        </w:rPr>
        <w:instrText xml:space="preserve"> SEQ Tabla \* ARABIC </w:instrText>
      </w:r>
      <w:r w:rsidRPr="004245AE">
        <w:rPr>
          <w:sz w:val="22"/>
          <w:szCs w:val="22"/>
        </w:rPr>
        <w:fldChar w:fldCharType="separate"/>
      </w:r>
      <w:r w:rsidR="00C015DC">
        <w:rPr>
          <w:noProof/>
          <w:sz w:val="22"/>
          <w:szCs w:val="22"/>
        </w:rPr>
        <w:t>6</w:t>
      </w:r>
      <w:r w:rsidRPr="004245AE">
        <w:rPr>
          <w:sz w:val="22"/>
          <w:szCs w:val="22"/>
        </w:rPr>
        <w:fldChar w:fldCharType="end"/>
      </w:r>
      <w:r w:rsidRPr="004245AE">
        <w:rPr>
          <w:sz w:val="22"/>
          <w:szCs w:val="22"/>
        </w:rPr>
        <w:t xml:space="preserve">.  </w:t>
      </w:r>
      <w:r w:rsidR="0039645E" w:rsidRPr="004245AE">
        <w:rPr>
          <w:rFonts w:eastAsia="Times New Roman" w:cs="Times New Roman"/>
          <w:sz w:val="22"/>
          <w:szCs w:val="22"/>
        </w:rPr>
        <w:t>Situación Financiera Resumida</w:t>
      </w:r>
      <w:bookmarkEnd w:id="106"/>
      <w:bookmarkEnd w:id="107"/>
    </w:p>
    <w:p w14:paraId="09A1D272" w14:textId="08341D49" w:rsidR="0039645E" w:rsidRPr="004245AE" w:rsidRDefault="0039645E" w:rsidP="0039645E">
      <w:pPr>
        <w:jc w:val="center"/>
        <w:rPr>
          <w:rFonts w:ascii="Times New Roman" w:eastAsia="Times New Roman" w:hAnsi="Times New Roman" w:cs="Times New Roman"/>
          <w:sz w:val="22"/>
          <w:szCs w:val="22"/>
        </w:rPr>
      </w:pPr>
      <w:r w:rsidRPr="004245AE">
        <w:rPr>
          <w:rFonts w:ascii="Times New Roman" w:eastAsia="Times New Roman" w:hAnsi="Times New Roman" w:cs="Times New Roman"/>
          <w:sz w:val="22"/>
          <w:szCs w:val="22"/>
        </w:rPr>
        <w:t>Observado 202</w:t>
      </w:r>
      <w:r w:rsidR="00F46012" w:rsidRPr="004245AE">
        <w:rPr>
          <w:rFonts w:ascii="Times New Roman" w:eastAsia="Times New Roman" w:hAnsi="Times New Roman" w:cs="Times New Roman"/>
          <w:sz w:val="22"/>
          <w:szCs w:val="22"/>
        </w:rPr>
        <w:t>2</w:t>
      </w:r>
      <w:r w:rsidRPr="004245AE">
        <w:rPr>
          <w:rFonts w:ascii="Times New Roman" w:eastAsia="Times New Roman" w:hAnsi="Times New Roman" w:cs="Times New Roman"/>
          <w:sz w:val="22"/>
          <w:szCs w:val="22"/>
        </w:rPr>
        <w:t>, presupuesto y ejecución 202</w:t>
      </w:r>
      <w:r w:rsidR="00F46012" w:rsidRPr="004245AE">
        <w:rPr>
          <w:rFonts w:ascii="Times New Roman" w:eastAsia="Times New Roman" w:hAnsi="Times New Roman" w:cs="Times New Roman"/>
          <w:sz w:val="22"/>
          <w:szCs w:val="22"/>
        </w:rPr>
        <w:t>3</w:t>
      </w:r>
    </w:p>
    <w:p w14:paraId="20131584" w14:textId="2000508E" w:rsidR="0039645E" w:rsidRPr="004245AE" w:rsidRDefault="0039645E" w:rsidP="0039645E">
      <w:pPr>
        <w:jc w:val="center"/>
        <w:rPr>
          <w:rFonts w:ascii="Times New Roman" w:eastAsia="Times New Roman" w:hAnsi="Times New Roman" w:cs="Calibri"/>
          <w:sz w:val="22"/>
          <w:szCs w:val="22"/>
        </w:rPr>
      </w:pPr>
      <w:r w:rsidRPr="004245AE">
        <w:rPr>
          <w:rFonts w:ascii="Times New Roman" w:eastAsia="Times New Roman" w:hAnsi="Times New Roman" w:cs="Calibri"/>
          <w:sz w:val="22"/>
          <w:szCs w:val="22"/>
        </w:rPr>
        <w:t>Millones de quetzales y porcentajes</w:t>
      </w:r>
    </w:p>
    <w:tbl>
      <w:tblPr>
        <w:tblW w:w="8160" w:type="dxa"/>
        <w:jc w:val="center"/>
        <w:tblCellMar>
          <w:left w:w="70" w:type="dxa"/>
          <w:right w:w="70" w:type="dxa"/>
        </w:tblCellMar>
        <w:tblLook w:val="04A0" w:firstRow="1" w:lastRow="0" w:firstColumn="1" w:lastColumn="0" w:noHBand="0" w:noVBand="1"/>
      </w:tblPr>
      <w:tblGrid>
        <w:gridCol w:w="2804"/>
        <w:gridCol w:w="1304"/>
        <w:gridCol w:w="1444"/>
        <w:gridCol w:w="1304"/>
        <w:gridCol w:w="1304"/>
      </w:tblGrid>
      <w:tr w:rsidR="00F46012" w:rsidRPr="00F46012" w14:paraId="2CBA2B68" w14:textId="77777777" w:rsidTr="004245AE">
        <w:trPr>
          <w:trHeight w:val="327"/>
          <w:jc w:val="center"/>
        </w:trPr>
        <w:tc>
          <w:tcPr>
            <w:tcW w:w="2804" w:type="dxa"/>
            <w:tcBorders>
              <w:top w:val="single" w:sz="8" w:space="0" w:color="auto"/>
              <w:left w:val="single" w:sz="8" w:space="0" w:color="auto"/>
              <w:bottom w:val="single" w:sz="8" w:space="0" w:color="000000"/>
              <w:right w:val="nil"/>
            </w:tcBorders>
            <w:shd w:val="clear" w:color="000000" w:fill="1F4E78"/>
            <w:vAlign w:val="center"/>
            <w:hideMark/>
          </w:tcPr>
          <w:p w14:paraId="5FA0F350" w14:textId="77777777" w:rsidR="00F46012" w:rsidRPr="004245AE" w:rsidRDefault="00F46012" w:rsidP="00F46012">
            <w:pPr>
              <w:jc w:val="center"/>
              <w:rPr>
                <w:rFonts w:ascii="Times New Roman" w:eastAsia="Times New Roman" w:hAnsi="Times New Roman" w:cs="Times New Roman"/>
                <w:b/>
                <w:bCs/>
                <w:color w:val="FFFFFF"/>
                <w:sz w:val="22"/>
                <w:szCs w:val="22"/>
                <w:lang w:eastAsia="es-GT"/>
              </w:rPr>
            </w:pPr>
            <w:r w:rsidRPr="004245AE">
              <w:rPr>
                <w:rFonts w:ascii="Times New Roman" w:eastAsia="Times New Roman" w:hAnsi="Times New Roman" w:cs="Times New Roman"/>
                <w:b/>
                <w:bCs/>
                <w:color w:val="FFFFFF"/>
                <w:sz w:val="22"/>
                <w:szCs w:val="22"/>
                <w:lang w:eastAsia="es-GT"/>
              </w:rPr>
              <w:t>Descripción</w:t>
            </w:r>
          </w:p>
        </w:tc>
        <w:tc>
          <w:tcPr>
            <w:tcW w:w="1304" w:type="dxa"/>
            <w:tcBorders>
              <w:top w:val="single" w:sz="8" w:space="0" w:color="auto"/>
              <w:left w:val="single" w:sz="8" w:space="0" w:color="auto"/>
              <w:bottom w:val="single" w:sz="8" w:space="0" w:color="000000"/>
              <w:right w:val="single" w:sz="8" w:space="0" w:color="auto"/>
            </w:tcBorders>
            <w:shd w:val="clear" w:color="000000" w:fill="1F4E78"/>
            <w:vAlign w:val="center"/>
            <w:hideMark/>
          </w:tcPr>
          <w:p w14:paraId="3CA31F8D" w14:textId="77777777" w:rsidR="00F46012" w:rsidRPr="004245AE" w:rsidRDefault="00F46012" w:rsidP="00F46012">
            <w:pPr>
              <w:jc w:val="center"/>
              <w:rPr>
                <w:rFonts w:ascii="Times New Roman" w:eastAsia="Times New Roman" w:hAnsi="Times New Roman" w:cs="Times New Roman"/>
                <w:b/>
                <w:bCs/>
                <w:color w:val="FFFFFF"/>
                <w:sz w:val="22"/>
                <w:szCs w:val="22"/>
                <w:lang w:eastAsia="es-GT"/>
              </w:rPr>
            </w:pPr>
            <w:r w:rsidRPr="004245AE">
              <w:rPr>
                <w:rFonts w:ascii="Times New Roman" w:eastAsia="Times New Roman" w:hAnsi="Times New Roman" w:cs="Times New Roman"/>
                <w:b/>
                <w:bCs/>
                <w:color w:val="FFFFFF"/>
                <w:sz w:val="22"/>
                <w:szCs w:val="22"/>
                <w:lang w:eastAsia="es-GT"/>
              </w:rPr>
              <w:t>2022</w:t>
            </w:r>
          </w:p>
        </w:tc>
        <w:tc>
          <w:tcPr>
            <w:tcW w:w="1444" w:type="dxa"/>
            <w:tcBorders>
              <w:top w:val="single" w:sz="8" w:space="0" w:color="auto"/>
              <w:left w:val="nil"/>
              <w:bottom w:val="single" w:sz="8" w:space="0" w:color="000000"/>
              <w:right w:val="nil"/>
            </w:tcBorders>
            <w:shd w:val="clear" w:color="000000" w:fill="1F4E78"/>
            <w:vAlign w:val="center"/>
            <w:hideMark/>
          </w:tcPr>
          <w:p w14:paraId="58FE35BE" w14:textId="77777777" w:rsidR="00F46012" w:rsidRPr="004245AE" w:rsidRDefault="00F46012" w:rsidP="00F46012">
            <w:pPr>
              <w:jc w:val="center"/>
              <w:rPr>
                <w:rFonts w:ascii="Times New Roman" w:eastAsia="Times New Roman" w:hAnsi="Times New Roman" w:cs="Times New Roman"/>
                <w:b/>
                <w:bCs/>
                <w:color w:val="FFFFFF"/>
                <w:sz w:val="22"/>
                <w:szCs w:val="22"/>
                <w:lang w:eastAsia="es-GT"/>
              </w:rPr>
            </w:pPr>
            <w:r w:rsidRPr="004245AE">
              <w:rPr>
                <w:rFonts w:ascii="Times New Roman" w:eastAsia="Times New Roman" w:hAnsi="Times New Roman" w:cs="Times New Roman"/>
                <w:b/>
                <w:bCs/>
                <w:color w:val="FFFFFF"/>
                <w:sz w:val="22"/>
                <w:szCs w:val="22"/>
                <w:lang w:eastAsia="es-GT"/>
              </w:rPr>
              <w:t xml:space="preserve">Presupuesto Vigente </w:t>
            </w:r>
          </w:p>
        </w:tc>
        <w:tc>
          <w:tcPr>
            <w:tcW w:w="1304" w:type="dxa"/>
            <w:tcBorders>
              <w:top w:val="single" w:sz="8" w:space="0" w:color="auto"/>
              <w:left w:val="nil"/>
              <w:bottom w:val="single" w:sz="8" w:space="0" w:color="000000"/>
              <w:right w:val="nil"/>
            </w:tcBorders>
            <w:shd w:val="clear" w:color="000000" w:fill="1F4E78"/>
            <w:vAlign w:val="center"/>
            <w:hideMark/>
          </w:tcPr>
          <w:p w14:paraId="2B60ABD7" w14:textId="77777777" w:rsidR="00F46012" w:rsidRPr="004245AE" w:rsidRDefault="00F46012" w:rsidP="00F46012">
            <w:pPr>
              <w:jc w:val="center"/>
              <w:rPr>
                <w:rFonts w:ascii="Times New Roman" w:eastAsia="Times New Roman" w:hAnsi="Times New Roman" w:cs="Times New Roman"/>
                <w:b/>
                <w:bCs/>
                <w:color w:val="FFFFFF"/>
                <w:sz w:val="22"/>
                <w:szCs w:val="22"/>
                <w:lang w:eastAsia="es-GT"/>
              </w:rPr>
            </w:pPr>
            <w:r w:rsidRPr="004245AE">
              <w:rPr>
                <w:rFonts w:ascii="Times New Roman" w:eastAsia="Times New Roman" w:hAnsi="Times New Roman" w:cs="Times New Roman"/>
                <w:b/>
                <w:bCs/>
                <w:color w:val="FFFFFF"/>
                <w:sz w:val="22"/>
                <w:szCs w:val="22"/>
                <w:lang w:eastAsia="es-GT"/>
              </w:rPr>
              <w:t>31/12/2023</w:t>
            </w:r>
          </w:p>
        </w:tc>
        <w:tc>
          <w:tcPr>
            <w:tcW w:w="1304" w:type="dxa"/>
            <w:tcBorders>
              <w:top w:val="single" w:sz="8" w:space="0" w:color="auto"/>
              <w:left w:val="nil"/>
              <w:bottom w:val="single" w:sz="8" w:space="0" w:color="000000"/>
              <w:right w:val="single" w:sz="8" w:space="0" w:color="auto"/>
            </w:tcBorders>
            <w:shd w:val="clear" w:color="000000" w:fill="1F4E78"/>
            <w:vAlign w:val="center"/>
            <w:hideMark/>
          </w:tcPr>
          <w:p w14:paraId="36AD2D93" w14:textId="77777777" w:rsidR="00F46012" w:rsidRPr="004245AE" w:rsidRDefault="00F46012" w:rsidP="00F46012">
            <w:pPr>
              <w:jc w:val="center"/>
              <w:rPr>
                <w:rFonts w:ascii="Times New Roman" w:eastAsia="Times New Roman" w:hAnsi="Times New Roman" w:cs="Times New Roman"/>
                <w:b/>
                <w:bCs/>
                <w:color w:val="FFFFFF"/>
                <w:sz w:val="22"/>
                <w:szCs w:val="22"/>
                <w:lang w:eastAsia="es-GT"/>
              </w:rPr>
            </w:pPr>
            <w:r w:rsidRPr="004245AE">
              <w:rPr>
                <w:rFonts w:ascii="Times New Roman" w:eastAsia="Times New Roman" w:hAnsi="Times New Roman" w:cs="Times New Roman"/>
                <w:b/>
                <w:bCs/>
                <w:color w:val="FFFFFF"/>
                <w:sz w:val="22"/>
                <w:szCs w:val="22"/>
                <w:lang w:eastAsia="es-GT"/>
              </w:rPr>
              <w:t>% del PIB</w:t>
            </w:r>
          </w:p>
        </w:tc>
      </w:tr>
      <w:tr w:rsidR="00F46012" w:rsidRPr="00F46012" w14:paraId="54CAC9EB" w14:textId="77777777" w:rsidTr="00F22DD8">
        <w:trPr>
          <w:trHeight w:val="267"/>
          <w:jc w:val="center"/>
        </w:trPr>
        <w:tc>
          <w:tcPr>
            <w:tcW w:w="2804" w:type="dxa"/>
            <w:tcBorders>
              <w:top w:val="nil"/>
              <w:left w:val="single" w:sz="8" w:space="0" w:color="auto"/>
              <w:bottom w:val="nil"/>
              <w:right w:val="nil"/>
            </w:tcBorders>
            <w:shd w:val="clear" w:color="000000" w:fill="FFFFFF"/>
            <w:vAlign w:val="center"/>
            <w:hideMark/>
          </w:tcPr>
          <w:p w14:paraId="7D2007CC" w14:textId="77777777" w:rsidR="00F46012" w:rsidRPr="004245AE" w:rsidRDefault="00F46012" w:rsidP="00F46012">
            <w:pPr>
              <w:rPr>
                <w:rFonts w:ascii="Times New Roman" w:eastAsia="Times New Roman" w:hAnsi="Times New Roman" w:cs="Times New Roman"/>
                <w:color w:val="000000"/>
                <w:sz w:val="22"/>
                <w:szCs w:val="22"/>
                <w:lang w:eastAsia="es-GT"/>
              </w:rPr>
            </w:pPr>
            <w:r w:rsidRPr="004245AE">
              <w:rPr>
                <w:rFonts w:ascii="Times New Roman" w:eastAsia="Times New Roman" w:hAnsi="Times New Roman" w:cs="Times New Roman"/>
                <w:color w:val="000000"/>
                <w:sz w:val="22"/>
                <w:szCs w:val="22"/>
                <w:lang w:eastAsia="es-GT"/>
              </w:rPr>
              <w:t>Ingresos Totales</w:t>
            </w:r>
          </w:p>
        </w:tc>
        <w:tc>
          <w:tcPr>
            <w:tcW w:w="1304" w:type="dxa"/>
            <w:tcBorders>
              <w:top w:val="nil"/>
              <w:left w:val="single" w:sz="8" w:space="0" w:color="auto"/>
              <w:bottom w:val="nil"/>
              <w:right w:val="single" w:sz="8" w:space="0" w:color="auto"/>
            </w:tcBorders>
            <w:shd w:val="clear" w:color="000000" w:fill="FFFFFF"/>
            <w:vAlign w:val="center"/>
            <w:hideMark/>
          </w:tcPr>
          <w:p w14:paraId="50D82734" w14:textId="77777777" w:rsidR="00F46012" w:rsidRPr="004245AE" w:rsidRDefault="00F46012" w:rsidP="00F46012">
            <w:pPr>
              <w:jc w:val="center"/>
              <w:rPr>
                <w:rFonts w:ascii="Times New Roman" w:eastAsia="Times New Roman" w:hAnsi="Times New Roman" w:cs="Times New Roman"/>
                <w:color w:val="000000"/>
                <w:sz w:val="22"/>
                <w:szCs w:val="22"/>
                <w:lang w:eastAsia="es-GT"/>
              </w:rPr>
            </w:pPr>
            <w:r w:rsidRPr="004245AE">
              <w:rPr>
                <w:rFonts w:ascii="Times New Roman" w:eastAsia="Times New Roman" w:hAnsi="Times New Roman" w:cs="Times New Roman"/>
                <w:color w:val="000000"/>
                <w:sz w:val="22"/>
                <w:szCs w:val="22"/>
                <w:lang w:eastAsia="es-GT"/>
              </w:rPr>
              <w:t>93,163.9</w:t>
            </w:r>
          </w:p>
        </w:tc>
        <w:tc>
          <w:tcPr>
            <w:tcW w:w="1444" w:type="dxa"/>
            <w:tcBorders>
              <w:top w:val="nil"/>
              <w:left w:val="nil"/>
              <w:bottom w:val="nil"/>
              <w:right w:val="nil"/>
            </w:tcBorders>
            <w:shd w:val="clear" w:color="000000" w:fill="FFFFFF"/>
            <w:vAlign w:val="center"/>
            <w:hideMark/>
          </w:tcPr>
          <w:p w14:paraId="0F64C6BE" w14:textId="77777777" w:rsidR="00F46012" w:rsidRPr="004245AE" w:rsidRDefault="00F46012" w:rsidP="00F46012">
            <w:pPr>
              <w:jc w:val="center"/>
              <w:rPr>
                <w:rFonts w:ascii="Times New Roman" w:eastAsia="Times New Roman" w:hAnsi="Times New Roman" w:cs="Times New Roman"/>
                <w:color w:val="000000"/>
                <w:sz w:val="22"/>
                <w:szCs w:val="22"/>
                <w:lang w:eastAsia="es-GT"/>
              </w:rPr>
            </w:pPr>
            <w:r w:rsidRPr="004245AE">
              <w:rPr>
                <w:rFonts w:ascii="Times New Roman" w:eastAsia="Times New Roman" w:hAnsi="Times New Roman" w:cs="Times New Roman"/>
                <w:color w:val="000000"/>
                <w:sz w:val="22"/>
                <w:szCs w:val="22"/>
                <w:lang w:eastAsia="es-GT"/>
              </w:rPr>
              <w:t>91,120.6</w:t>
            </w:r>
          </w:p>
        </w:tc>
        <w:tc>
          <w:tcPr>
            <w:tcW w:w="1304" w:type="dxa"/>
            <w:tcBorders>
              <w:top w:val="nil"/>
              <w:left w:val="nil"/>
              <w:bottom w:val="nil"/>
              <w:right w:val="nil"/>
            </w:tcBorders>
            <w:shd w:val="clear" w:color="000000" w:fill="FFFFFF"/>
            <w:vAlign w:val="center"/>
            <w:hideMark/>
          </w:tcPr>
          <w:p w14:paraId="28291A20" w14:textId="553A2579" w:rsidR="00F46012" w:rsidRPr="004245AE" w:rsidRDefault="00F46012" w:rsidP="00F46012">
            <w:pPr>
              <w:jc w:val="center"/>
              <w:rPr>
                <w:rFonts w:ascii="Times New Roman" w:eastAsia="Times New Roman" w:hAnsi="Times New Roman" w:cs="Times New Roman"/>
                <w:color w:val="000000"/>
                <w:sz w:val="22"/>
                <w:szCs w:val="22"/>
                <w:lang w:eastAsia="es-GT"/>
              </w:rPr>
            </w:pPr>
            <w:r w:rsidRPr="004245AE">
              <w:rPr>
                <w:rFonts w:ascii="Times New Roman" w:eastAsia="Times New Roman" w:hAnsi="Times New Roman" w:cs="Times New Roman"/>
                <w:color w:val="000000"/>
                <w:sz w:val="22"/>
                <w:szCs w:val="22"/>
                <w:lang w:eastAsia="es-GT"/>
              </w:rPr>
              <w:t>10</w:t>
            </w:r>
            <w:r w:rsidR="008E506F">
              <w:rPr>
                <w:rFonts w:ascii="Times New Roman" w:eastAsia="Times New Roman" w:hAnsi="Times New Roman" w:cs="Times New Roman"/>
                <w:color w:val="000000"/>
                <w:sz w:val="22"/>
                <w:szCs w:val="22"/>
                <w:lang w:eastAsia="es-GT"/>
              </w:rPr>
              <w:t>2</w:t>
            </w:r>
            <w:r w:rsidRPr="004245AE">
              <w:rPr>
                <w:rFonts w:ascii="Times New Roman" w:eastAsia="Times New Roman" w:hAnsi="Times New Roman" w:cs="Times New Roman"/>
                <w:color w:val="000000"/>
                <w:sz w:val="22"/>
                <w:szCs w:val="22"/>
                <w:lang w:eastAsia="es-GT"/>
              </w:rPr>
              <w:t>,</w:t>
            </w:r>
            <w:r w:rsidR="008E506F">
              <w:rPr>
                <w:rFonts w:ascii="Times New Roman" w:eastAsia="Times New Roman" w:hAnsi="Times New Roman" w:cs="Times New Roman"/>
                <w:color w:val="000000"/>
                <w:sz w:val="22"/>
                <w:szCs w:val="22"/>
                <w:lang w:eastAsia="es-GT"/>
              </w:rPr>
              <w:t>015</w:t>
            </w:r>
            <w:r w:rsidRPr="004245AE">
              <w:rPr>
                <w:rFonts w:ascii="Times New Roman" w:eastAsia="Times New Roman" w:hAnsi="Times New Roman" w:cs="Times New Roman"/>
                <w:color w:val="000000"/>
                <w:sz w:val="22"/>
                <w:szCs w:val="22"/>
                <w:lang w:eastAsia="es-GT"/>
              </w:rPr>
              <w:t>.</w:t>
            </w:r>
            <w:r w:rsidR="008E506F">
              <w:rPr>
                <w:rFonts w:ascii="Times New Roman" w:eastAsia="Times New Roman" w:hAnsi="Times New Roman" w:cs="Times New Roman"/>
                <w:color w:val="000000"/>
                <w:sz w:val="22"/>
                <w:szCs w:val="22"/>
                <w:lang w:eastAsia="es-GT"/>
              </w:rPr>
              <w:t>8</w:t>
            </w:r>
          </w:p>
        </w:tc>
        <w:tc>
          <w:tcPr>
            <w:tcW w:w="1304" w:type="dxa"/>
            <w:tcBorders>
              <w:top w:val="nil"/>
              <w:left w:val="nil"/>
              <w:bottom w:val="nil"/>
              <w:right w:val="single" w:sz="8" w:space="0" w:color="auto"/>
            </w:tcBorders>
            <w:shd w:val="clear" w:color="000000" w:fill="FFFFFF"/>
            <w:vAlign w:val="center"/>
            <w:hideMark/>
          </w:tcPr>
          <w:p w14:paraId="4BDC12D1" w14:textId="77777777" w:rsidR="00F46012" w:rsidRPr="004245AE" w:rsidRDefault="00F46012" w:rsidP="00F46012">
            <w:pPr>
              <w:jc w:val="center"/>
              <w:rPr>
                <w:rFonts w:ascii="Times New Roman" w:eastAsia="Times New Roman" w:hAnsi="Times New Roman" w:cs="Times New Roman"/>
                <w:color w:val="000000"/>
                <w:sz w:val="22"/>
                <w:szCs w:val="22"/>
                <w:lang w:eastAsia="es-GT"/>
              </w:rPr>
            </w:pPr>
            <w:r w:rsidRPr="004245AE">
              <w:rPr>
                <w:rFonts w:ascii="Times New Roman" w:eastAsia="Times New Roman" w:hAnsi="Times New Roman" w:cs="Times New Roman"/>
                <w:color w:val="000000"/>
                <w:sz w:val="22"/>
                <w:szCs w:val="22"/>
                <w:lang w:eastAsia="es-GT"/>
              </w:rPr>
              <w:t>12.7</w:t>
            </w:r>
          </w:p>
        </w:tc>
      </w:tr>
      <w:tr w:rsidR="00F46012" w:rsidRPr="00F46012" w14:paraId="5960EE5E" w14:textId="77777777" w:rsidTr="00F22DD8">
        <w:trPr>
          <w:trHeight w:val="276"/>
          <w:jc w:val="center"/>
        </w:trPr>
        <w:tc>
          <w:tcPr>
            <w:tcW w:w="2804" w:type="dxa"/>
            <w:tcBorders>
              <w:top w:val="nil"/>
              <w:left w:val="single" w:sz="8" w:space="0" w:color="auto"/>
              <w:bottom w:val="nil"/>
              <w:right w:val="nil"/>
            </w:tcBorders>
            <w:shd w:val="clear" w:color="auto" w:fill="auto"/>
            <w:vAlign w:val="center"/>
            <w:hideMark/>
          </w:tcPr>
          <w:p w14:paraId="02B12F17" w14:textId="77777777" w:rsidR="00F46012" w:rsidRPr="004245AE" w:rsidRDefault="00F46012" w:rsidP="00F46012">
            <w:pPr>
              <w:rPr>
                <w:rFonts w:ascii="Times New Roman" w:eastAsia="Times New Roman" w:hAnsi="Times New Roman" w:cs="Times New Roman"/>
                <w:sz w:val="22"/>
                <w:szCs w:val="22"/>
                <w:lang w:eastAsia="es-GT"/>
              </w:rPr>
            </w:pPr>
            <w:r w:rsidRPr="004245AE">
              <w:rPr>
                <w:rFonts w:ascii="Times New Roman" w:eastAsia="Times New Roman" w:hAnsi="Times New Roman" w:cs="Times New Roman"/>
                <w:sz w:val="22"/>
                <w:szCs w:val="22"/>
                <w:lang w:eastAsia="es-GT"/>
              </w:rPr>
              <w:t xml:space="preserve">    Ingresos Tributarios </w:t>
            </w:r>
          </w:p>
        </w:tc>
        <w:tc>
          <w:tcPr>
            <w:tcW w:w="1304" w:type="dxa"/>
            <w:tcBorders>
              <w:top w:val="nil"/>
              <w:left w:val="single" w:sz="8" w:space="0" w:color="auto"/>
              <w:bottom w:val="nil"/>
              <w:right w:val="single" w:sz="8" w:space="0" w:color="auto"/>
            </w:tcBorders>
            <w:shd w:val="clear" w:color="auto" w:fill="auto"/>
            <w:vAlign w:val="center"/>
            <w:hideMark/>
          </w:tcPr>
          <w:p w14:paraId="62683C5A" w14:textId="77777777" w:rsidR="00F46012" w:rsidRPr="004245AE" w:rsidRDefault="00F46012" w:rsidP="00F46012">
            <w:pPr>
              <w:jc w:val="center"/>
              <w:rPr>
                <w:rFonts w:ascii="Times New Roman" w:eastAsia="Times New Roman" w:hAnsi="Times New Roman" w:cs="Times New Roman"/>
                <w:sz w:val="22"/>
                <w:szCs w:val="22"/>
                <w:lang w:eastAsia="es-GT"/>
              </w:rPr>
            </w:pPr>
            <w:r w:rsidRPr="004245AE">
              <w:rPr>
                <w:rFonts w:ascii="Times New Roman" w:eastAsia="Times New Roman" w:hAnsi="Times New Roman" w:cs="Times New Roman"/>
                <w:sz w:val="22"/>
                <w:szCs w:val="22"/>
                <w:lang w:eastAsia="es-GT"/>
              </w:rPr>
              <w:t>88,579.0</w:t>
            </w:r>
          </w:p>
        </w:tc>
        <w:tc>
          <w:tcPr>
            <w:tcW w:w="1444" w:type="dxa"/>
            <w:tcBorders>
              <w:top w:val="nil"/>
              <w:left w:val="nil"/>
              <w:bottom w:val="nil"/>
              <w:right w:val="nil"/>
            </w:tcBorders>
            <w:shd w:val="clear" w:color="auto" w:fill="auto"/>
            <w:vAlign w:val="center"/>
            <w:hideMark/>
          </w:tcPr>
          <w:p w14:paraId="53E02EF9" w14:textId="77777777" w:rsidR="00F46012" w:rsidRPr="004245AE" w:rsidRDefault="00F46012" w:rsidP="00F46012">
            <w:pPr>
              <w:jc w:val="center"/>
              <w:rPr>
                <w:rFonts w:ascii="Times New Roman" w:eastAsia="Times New Roman" w:hAnsi="Times New Roman" w:cs="Times New Roman"/>
                <w:sz w:val="22"/>
                <w:szCs w:val="22"/>
                <w:lang w:eastAsia="es-GT"/>
              </w:rPr>
            </w:pPr>
            <w:r w:rsidRPr="004245AE">
              <w:rPr>
                <w:rFonts w:ascii="Times New Roman" w:eastAsia="Times New Roman" w:hAnsi="Times New Roman" w:cs="Times New Roman"/>
                <w:sz w:val="22"/>
                <w:szCs w:val="22"/>
                <w:lang w:eastAsia="es-GT"/>
              </w:rPr>
              <w:t>86,247.6</w:t>
            </w:r>
          </w:p>
        </w:tc>
        <w:tc>
          <w:tcPr>
            <w:tcW w:w="1304" w:type="dxa"/>
            <w:tcBorders>
              <w:top w:val="nil"/>
              <w:left w:val="nil"/>
              <w:bottom w:val="nil"/>
              <w:right w:val="nil"/>
            </w:tcBorders>
            <w:shd w:val="clear" w:color="auto" w:fill="auto"/>
            <w:vAlign w:val="center"/>
            <w:hideMark/>
          </w:tcPr>
          <w:p w14:paraId="5A76F4FA" w14:textId="4A007AD9" w:rsidR="00F46012" w:rsidRPr="004245AE" w:rsidRDefault="00F46012" w:rsidP="00F46012">
            <w:pPr>
              <w:jc w:val="center"/>
              <w:rPr>
                <w:rFonts w:ascii="Times New Roman" w:eastAsia="Times New Roman" w:hAnsi="Times New Roman" w:cs="Times New Roman"/>
                <w:sz w:val="22"/>
                <w:szCs w:val="22"/>
                <w:lang w:eastAsia="es-GT"/>
              </w:rPr>
            </w:pPr>
            <w:r w:rsidRPr="004245AE">
              <w:rPr>
                <w:rFonts w:ascii="Times New Roman" w:eastAsia="Times New Roman" w:hAnsi="Times New Roman" w:cs="Times New Roman"/>
                <w:sz w:val="22"/>
                <w:szCs w:val="22"/>
                <w:lang w:eastAsia="es-GT"/>
              </w:rPr>
              <w:t>95,54</w:t>
            </w:r>
            <w:r w:rsidR="008E506F">
              <w:rPr>
                <w:rFonts w:ascii="Times New Roman" w:eastAsia="Times New Roman" w:hAnsi="Times New Roman" w:cs="Times New Roman"/>
                <w:sz w:val="22"/>
                <w:szCs w:val="22"/>
                <w:lang w:eastAsia="es-GT"/>
              </w:rPr>
              <w:t>7</w:t>
            </w:r>
            <w:r w:rsidRPr="004245AE">
              <w:rPr>
                <w:rFonts w:ascii="Times New Roman" w:eastAsia="Times New Roman" w:hAnsi="Times New Roman" w:cs="Times New Roman"/>
                <w:sz w:val="22"/>
                <w:szCs w:val="22"/>
                <w:lang w:eastAsia="es-GT"/>
              </w:rPr>
              <w:t>.</w:t>
            </w:r>
            <w:r w:rsidR="008E506F">
              <w:rPr>
                <w:rFonts w:ascii="Times New Roman" w:eastAsia="Times New Roman" w:hAnsi="Times New Roman" w:cs="Times New Roman"/>
                <w:sz w:val="22"/>
                <w:szCs w:val="22"/>
                <w:lang w:eastAsia="es-GT"/>
              </w:rPr>
              <w:t>8</w:t>
            </w:r>
          </w:p>
        </w:tc>
        <w:tc>
          <w:tcPr>
            <w:tcW w:w="1304" w:type="dxa"/>
            <w:tcBorders>
              <w:top w:val="nil"/>
              <w:left w:val="nil"/>
              <w:bottom w:val="nil"/>
              <w:right w:val="single" w:sz="8" w:space="0" w:color="auto"/>
            </w:tcBorders>
            <w:shd w:val="clear" w:color="000000" w:fill="FFFFFF"/>
            <w:vAlign w:val="center"/>
            <w:hideMark/>
          </w:tcPr>
          <w:p w14:paraId="20A0F197" w14:textId="77777777" w:rsidR="00F46012" w:rsidRPr="004245AE" w:rsidRDefault="00F46012" w:rsidP="00F46012">
            <w:pPr>
              <w:jc w:val="center"/>
              <w:rPr>
                <w:rFonts w:ascii="Times New Roman" w:eastAsia="Times New Roman" w:hAnsi="Times New Roman" w:cs="Times New Roman"/>
                <w:color w:val="000000"/>
                <w:sz w:val="22"/>
                <w:szCs w:val="22"/>
                <w:lang w:eastAsia="es-GT"/>
              </w:rPr>
            </w:pPr>
            <w:r w:rsidRPr="004245AE">
              <w:rPr>
                <w:rFonts w:ascii="Times New Roman" w:eastAsia="Times New Roman" w:hAnsi="Times New Roman" w:cs="Times New Roman"/>
                <w:color w:val="000000"/>
                <w:sz w:val="22"/>
                <w:szCs w:val="22"/>
                <w:lang w:eastAsia="es-GT"/>
              </w:rPr>
              <w:t>12.0</w:t>
            </w:r>
          </w:p>
        </w:tc>
      </w:tr>
      <w:tr w:rsidR="00F46012" w:rsidRPr="00F46012" w14:paraId="15EE04A1" w14:textId="77777777" w:rsidTr="00F22DD8">
        <w:trPr>
          <w:trHeight w:val="280"/>
          <w:jc w:val="center"/>
        </w:trPr>
        <w:tc>
          <w:tcPr>
            <w:tcW w:w="2804" w:type="dxa"/>
            <w:tcBorders>
              <w:top w:val="nil"/>
              <w:left w:val="single" w:sz="8" w:space="0" w:color="auto"/>
              <w:bottom w:val="nil"/>
              <w:right w:val="nil"/>
            </w:tcBorders>
            <w:shd w:val="clear" w:color="auto" w:fill="auto"/>
            <w:vAlign w:val="center"/>
            <w:hideMark/>
          </w:tcPr>
          <w:p w14:paraId="76A5750C" w14:textId="77777777" w:rsidR="00F46012" w:rsidRPr="004245AE" w:rsidRDefault="00F46012" w:rsidP="00F46012">
            <w:pPr>
              <w:rPr>
                <w:rFonts w:ascii="Times New Roman" w:eastAsia="Times New Roman" w:hAnsi="Times New Roman" w:cs="Times New Roman"/>
                <w:sz w:val="22"/>
                <w:szCs w:val="22"/>
                <w:lang w:eastAsia="es-GT"/>
              </w:rPr>
            </w:pPr>
            <w:r w:rsidRPr="004245AE">
              <w:rPr>
                <w:rFonts w:ascii="Times New Roman" w:eastAsia="Times New Roman" w:hAnsi="Times New Roman" w:cs="Times New Roman"/>
                <w:sz w:val="22"/>
                <w:szCs w:val="22"/>
                <w:lang w:eastAsia="es-GT"/>
              </w:rPr>
              <w:t>Gastos Totales</w:t>
            </w:r>
          </w:p>
        </w:tc>
        <w:tc>
          <w:tcPr>
            <w:tcW w:w="1304" w:type="dxa"/>
            <w:tcBorders>
              <w:top w:val="nil"/>
              <w:left w:val="single" w:sz="8" w:space="0" w:color="auto"/>
              <w:bottom w:val="nil"/>
              <w:right w:val="single" w:sz="8" w:space="0" w:color="auto"/>
            </w:tcBorders>
            <w:shd w:val="clear" w:color="auto" w:fill="auto"/>
            <w:vAlign w:val="center"/>
            <w:hideMark/>
          </w:tcPr>
          <w:p w14:paraId="44883296" w14:textId="77777777" w:rsidR="00F46012" w:rsidRPr="004245AE" w:rsidRDefault="00F46012" w:rsidP="00F46012">
            <w:pPr>
              <w:jc w:val="center"/>
              <w:rPr>
                <w:rFonts w:ascii="Times New Roman" w:eastAsia="Times New Roman" w:hAnsi="Times New Roman" w:cs="Times New Roman"/>
                <w:sz w:val="22"/>
                <w:szCs w:val="22"/>
                <w:lang w:eastAsia="es-GT"/>
              </w:rPr>
            </w:pPr>
            <w:r w:rsidRPr="004245AE">
              <w:rPr>
                <w:rFonts w:ascii="Times New Roman" w:eastAsia="Times New Roman" w:hAnsi="Times New Roman" w:cs="Times New Roman"/>
                <w:sz w:val="22"/>
                <w:szCs w:val="22"/>
                <w:lang w:eastAsia="es-GT"/>
              </w:rPr>
              <w:t>105,725.8</w:t>
            </w:r>
          </w:p>
        </w:tc>
        <w:tc>
          <w:tcPr>
            <w:tcW w:w="1444" w:type="dxa"/>
            <w:tcBorders>
              <w:top w:val="nil"/>
              <w:left w:val="nil"/>
              <w:bottom w:val="nil"/>
              <w:right w:val="nil"/>
            </w:tcBorders>
            <w:shd w:val="clear" w:color="auto" w:fill="auto"/>
            <w:vAlign w:val="center"/>
            <w:hideMark/>
          </w:tcPr>
          <w:p w14:paraId="38098D9E" w14:textId="77777777" w:rsidR="00F46012" w:rsidRPr="004245AE" w:rsidRDefault="00F46012" w:rsidP="00F46012">
            <w:pPr>
              <w:jc w:val="center"/>
              <w:rPr>
                <w:rFonts w:ascii="Times New Roman" w:eastAsia="Times New Roman" w:hAnsi="Times New Roman" w:cs="Times New Roman"/>
                <w:sz w:val="22"/>
                <w:szCs w:val="22"/>
                <w:lang w:eastAsia="es-GT"/>
              </w:rPr>
            </w:pPr>
            <w:r w:rsidRPr="004245AE">
              <w:rPr>
                <w:rFonts w:ascii="Times New Roman" w:eastAsia="Times New Roman" w:hAnsi="Times New Roman" w:cs="Times New Roman"/>
                <w:sz w:val="22"/>
                <w:szCs w:val="22"/>
                <w:lang w:eastAsia="es-GT"/>
              </w:rPr>
              <w:t>115,838.6</w:t>
            </w:r>
          </w:p>
        </w:tc>
        <w:tc>
          <w:tcPr>
            <w:tcW w:w="1304" w:type="dxa"/>
            <w:tcBorders>
              <w:top w:val="nil"/>
              <w:left w:val="nil"/>
              <w:bottom w:val="nil"/>
              <w:right w:val="nil"/>
            </w:tcBorders>
            <w:shd w:val="clear" w:color="auto" w:fill="auto"/>
            <w:vAlign w:val="center"/>
            <w:hideMark/>
          </w:tcPr>
          <w:p w14:paraId="618ABA2B" w14:textId="77777777" w:rsidR="00F46012" w:rsidRPr="004245AE" w:rsidRDefault="00F46012" w:rsidP="00F46012">
            <w:pPr>
              <w:jc w:val="center"/>
              <w:rPr>
                <w:rFonts w:ascii="Times New Roman" w:eastAsia="Times New Roman" w:hAnsi="Times New Roman" w:cs="Times New Roman"/>
                <w:sz w:val="22"/>
                <w:szCs w:val="22"/>
                <w:lang w:eastAsia="es-GT"/>
              </w:rPr>
            </w:pPr>
            <w:r w:rsidRPr="004245AE">
              <w:rPr>
                <w:rFonts w:ascii="Times New Roman" w:eastAsia="Times New Roman" w:hAnsi="Times New Roman" w:cs="Times New Roman"/>
                <w:sz w:val="22"/>
                <w:szCs w:val="22"/>
                <w:lang w:eastAsia="es-GT"/>
              </w:rPr>
              <w:t>112,246.4</w:t>
            </w:r>
          </w:p>
        </w:tc>
        <w:tc>
          <w:tcPr>
            <w:tcW w:w="1304" w:type="dxa"/>
            <w:tcBorders>
              <w:top w:val="nil"/>
              <w:left w:val="nil"/>
              <w:bottom w:val="nil"/>
              <w:right w:val="single" w:sz="8" w:space="0" w:color="auto"/>
            </w:tcBorders>
            <w:shd w:val="clear" w:color="000000" w:fill="FFFFFF"/>
            <w:vAlign w:val="center"/>
            <w:hideMark/>
          </w:tcPr>
          <w:p w14:paraId="2214E04F" w14:textId="77777777" w:rsidR="00F46012" w:rsidRPr="004245AE" w:rsidRDefault="00F46012" w:rsidP="00F46012">
            <w:pPr>
              <w:jc w:val="center"/>
              <w:rPr>
                <w:rFonts w:ascii="Times New Roman" w:eastAsia="Times New Roman" w:hAnsi="Times New Roman" w:cs="Times New Roman"/>
                <w:color w:val="000000"/>
                <w:sz w:val="22"/>
                <w:szCs w:val="22"/>
                <w:lang w:eastAsia="es-GT"/>
              </w:rPr>
            </w:pPr>
            <w:r w:rsidRPr="004245AE">
              <w:rPr>
                <w:rFonts w:ascii="Times New Roman" w:eastAsia="Times New Roman" w:hAnsi="Times New Roman" w:cs="Times New Roman"/>
                <w:color w:val="000000"/>
                <w:sz w:val="22"/>
                <w:szCs w:val="22"/>
                <w:lang w:eastAsia="es-GT"/>
              </w:rPr>
              <w:t>14.0</w:t>
            </w:r>
          </w:p>
        </w:tc>
      </w:tr>
      <w:tr w:rsidR="00F46012" w:rsidRPr="00F46012" w14:paraId="5B516D3D" w14:textId="77777777" w:rsidTr="00F22DD8">
        <w:trPr>
          <w:trHeight w:val="298"/>
          <w:jc w:val="center"/>
        </w:trPr>
        <w:tc>
          <w:tcPr>
            <w:tcW w:w="2804" w:type="dxa"/>
            <w:tcBorders>
              <w:top w:val="nil"/>
              <w:left w:val="single" w:sz="8" w:space="0" w:color="auto"/>
              <w:bottom w:val="nil"/>
              <w:right w:val="nil"/>
            </w:tcBorders>
            <w:shd w:val="clear" w:color="000000" w:fill="FFFFFF"/>
            <w:vAlign w:val="center"/>
            <w:hideMark/>
          </w:tcPr>
          <w:p w14:paraId="6734445E" w14:textId="77777777" w:rsidR="00F46012" w:rsidRPr="004245AE" w:rsidRDefault="00F46012" w:rsidP="00F46012">
            <w:pPr>
              <w:ind w:firstLineChars="100" w:firstLine="220"/>
              <w:rPr>
                <w:rFonts w:ascii="Times New Roman" w:eastAsia="Times New Roman" w:hAnsi="Times New Roman" w:cs="Times New Roman"/>
                <w:color w:val="000000"/>
                <w:sz w:val="22"/>
                <w:szCs w:val="22"/>
                <w:lang w:eastAsia="es-GT"/>
              </w:rPr>
            </w:pPr>
            <w:r w:rsidRPr="004245AE">
              <w:rPr>
                <w:rFonts w:ascii="Times New Roman" w:eastAsia="Times New Roman" w:hAnsi="Times New Roman" w:cs="Times New Roman"/>
                <w:color w:val="000000"/>
                <w:sz w:val="22"/>
                <w:szCs w:val="22"/>
                <w:lang w:eastAsia="es-GT"/>
              </w:rPr>
              <w:t>Gastos Corrientes</w:t>
            </w:r>
          </w:p>
        </w:tc>
        <w:tc>
          <w:tcPr>
            <w:tcW w:w="1304" w:type="dxa"/>
            <w:tcBorders>
              <w:top w:val="nil"/>
              <w:left w:val="single" w:sz="8" w:space="0" w:color="auto"/>
              <w:bottom w:val="nil"/>
              <w:right w:val="single" w:sz="8" w:space="0" w:color="auto"/>
            </w:tcBorders>
            <w:shd w:val="clear" w:color="000000" w:fill="FFFFFF"/>
            <w:vAlign w:val="center"/>
            <w:hideMark/>
          </w:tcPr>
          <w:p w14:paraId="5B2FA69C" w14:textId="77777777" w:rsidR="00F46012" w:rsidRPr="004245AE" w:rsidRDefault="00F46012" w:rsidP="00F46012">
            <w:pPr>
              <w:jc w:val="center"/>
              <w:rPr>
                <w:rFonts w:ascii="Times New Roman" w:eastAsia="Times New Roman" w:hAnsi="Times New Roman" w:cs="Times New Roman"/>
                <w:color w:val="000000"/>
                <w:sz w:val="22"/>
                <w:szCs w:val="22"/>
                <w:lang w:eastAsia="es-GT"/>
              </w:rPr>
            </w:pPr>
            <w:r w:rsidRPr="004245AE">
              <w:rPr>
                <w:rFonts w:ascii="Times New Roman" w:eastAsia="Times New Roman" w:hAnsi="Times New Roman" w:cs="Times New Roman"/>
                <w:color w:val="000000"/>
                <w:sz w:val="22"/>
                <w:szCs w:val="22"/>
                <w:lang w:eastAsia="es-GT"/>
              </w:rPr>
              <w:t>87,280.5</w:t>
            </w:r>
          </w:p>
        </w:tc>
        <w:tc>
          <w:tcPr>
            <w:tcW w:w="1444" w:type="dxa"/>
            <w:tcBorders>
              <w:top w:val="nil"/>
              <w:left w:val="nil"/>
              <w:bottom w:val="nil"/>
              <w:right w:val="nil"/>
            </w:tcBorders>
            <w:shd w:val="clear" w:color="000000" w:fill="FFFFFF"/>
            <w:vAlign w:val="center"/>
            <w:hideMark/>
          </w:tcPr>
          <w:p w14:paraId="4E178E0E" w14:textId="77777777" w:rsidR="00F46012" w:rsidRPr="004245AE" w:rsidRDefault="00F46012" w:rsidP="00F46012">
            <w:pPr>
              <w:jc w:val="center"/>
              <w:rPr>
                <w:rFonts w:ascii="Times New Roman" w:eastAsia="Times New Roman" w:hAnsi="Times New Roman" w:cs="Times New Roman"/>
                <w:color w:val="000000"/>
                <w:sz w:val="22"/>
                <w:szCs w:val="22"/>
                <w:lang w:eastAsia="es-GT"/>
              </w:rPr>
            </w:pPr>
            <w:r w:rsidRPr="004245AE">
              <w:rPr>
                <w:rFonts w:ascii="Times New Roman" w:eastAsia="Times New Roman" w:hAnsi="Times New Roman" w:cs="Times New Roman"/>
                <w:color w:val="000000"/>
                <w:sz w:val="22"/>
                <w:szCs w:val="22"/>
                <w:lang w:eastAsia="es-GT"/>
              </w:rPr>
              <w:t>93,775.1</w:t>
            </w:r>
          </w:p>
        </w:tc>
        <w:tc>
          <w:tcPr>
            <w:tcW w:w="1304" w:type="dxa"/>
            <w:tcBorders>
              <w:top w:val="nil"/>
              <w:left w:val="nil"/>
              <w:bottom w:val="nil"/>
              <w:right w:val="nil"/>
            </w:tcBorders>
            <w:shd w:val="clear" w:color="000000" w:fill="FFFFFF"/>
            <w:vAlign w:val="center"/>
            <w:hideMark/>
          </w:tcPr>
          <w:p w14:paraId="78B191B0" w14:textId="77777777" w:rsidR="00F46012" w:rsidRPr="004245AE" w:rsidRDefault="00F46012" w:rsidP="00F46012">
            <w:pPr>
              <w:jc w:val="center"/>
              <w:rPr>
                <w:rFonts w:ascii="Times New Roman" w:eastAsia="Times New Roman" w:hAnsi="Times New Roman" w:cs="Times New Roman"/>
                <w:color w:val="000000"/>
                <w:sz w:val="22"/>
                <w:szCs w:val="22"/>
                <w:lang w:eastAsia="es-GT"/>
              </w:rPr>
            </w:pPr>
            <w:r w:rsidRPr="004245AE">
              <w:rPr>
                <w:rFonts w:ascii="Times New Roman" w:eastAsia="Times New Roman" w:hAnsi="Times New Roman" w:cs="Times New Roman"/>
                <w:color w:val="000000"/>
                <w:sz w:val="22"/>
                <w:szCs w:val="22"/>
                <w:lang w:eastAsia="es-GT"/>
              </w:rPr>
              <w:t>91,563.3</w:t>
            </w:r>
          </w:p>
        </w:tc>
        <w:tc>
          <w:tcPr>
            <w:tcW w:w="1304" w:type="dxa"/>
            <w:tcBorders>
              <w:top w:val="nil"/>
              <w:left w:val="nil"/>
              <w:bottom w:val="nil"/>
              <w:right w:val="single" w:sz="8" w:space="0" w:color="auto"/>
            </w:tcBorders>
            <w:shd w:val="clear" w:color="000000" w:fill="FFFFFF"/>
            <w:vAlign w:val="center"/>
            <w:hideMark/>
          </w:tcPr>
          <w:p w14:paraId="4F2F0EA3" w14:textId="77777777" w:rsidR="00F46012" w:rsidRPr="004245AE" w:rsidRDefault="00F46012" w:rsidP="00F46012">
            <w:pPr>
              <w:jc w:val="center"/>
              <w:rPr>
                <w:rFonts w:ascii="Times New Roman" w:eastAsia="Times New Roman" w:hAnsi="Times New Roman" w:cs="Times New Roman"/>
                <w:color w:val="000000"/>
                <w:sz w:val="22"/>
                <w:szCs w:val="22"/>
                <w:lang w:eastAsia="es-GT"/>
              </w:rPr>
            </w:pPr>
            <w:r w:rsidRPr="004245AE">
              <w:rPr>
                <w:rFonts w:ascii="Times New Roman" w:eastAsia="Times New Roman" w:hAnsi="Times New Roman" w:cs="Times New Roman"/>
                <w:color w:val="000000"/>
                <w:sz w:val="22"/>
                <w:szCs w:val="22"/>
                <w:lang w:eastAsia="es-GT"/>
              </w:rPr>
              <w:t>11.5</w:t>
            </w:r>
          </w:p>
        </w:tc>
      </w:tr>
      <w:tr w:rsidR="00F46012" w:rsidRPr="00F46012" w14:paraId="0C28A021" w14:textId="77777777" w:rsidTr="00F22DD8">
        <w:trPr>
          <w:trHeight w:val="274"/>
          <w:jc w:val="center"/>
        </w:trPr>
        <w:tc>
          <w:tcPr>
            <w:tcW w:w="2804" w:type="dxa"/>
            <w:tcBorders>
              <w:top w:val="nil"/>
              <w:left w:val="single" w:sz="8" w:space="0" w:color="auto"/>
              <w:bottom w:val="nil"/>
              <w:right w:val="nil"/>
            </w:tcBorders>
            <w:shd w:val="clear" w:color="000000" w:fill="FFFFFF"/>
            <w:vAlign w:val="center"/>
            <w:hideMark/>
          </w:tcPr>
          <w:p w14:paraId="5DD897D2" w14:textId="77777777" w:rsidR="00F46012" w:rsidRPr="004245AE" w:rsidRDefault="00F46012" w:rsidP="00F46012">
            <w:pPr>
              <w:ind w:firstLineChars="100" w:firstLine="220"/>
              <w:rPr>
                <w:rFonts w:ascii="Times New Roman" w:eastAsia="Times New Roman" w:hAnsi="Times New Roman" w:cs="Times New Roman"/>
                <w:color w:val="000000"/>
                <w:sz w:val="22"/>
                <w:szCs w:val="22"/>
                <w:lang w:eastAsia="es-GT"/>
              </w:rPr>
            </w:pPr>
            <w:r w:rsidRPr="004245AE">
              <w:rPr>
                <w:rFonts w:ascii="Times New Roman" w:eastAsia="Times New Roman" w:hAnsi="Times New Roman" w:cs="Times New Roman"/>
                <w:color w:val="000000"/>
                <w:sz w:val="22"/>
                <w:szCs w:val="22"/>
                <w:lang w:eastAsia="es-GT"/>
              </w:rPr>
              <w:t xml:space="preserve">Gastos de Capital </w:t>
            </w:r>
          </w:p>
        </w:tc>
        <w:tc>
          <w:tcPr>
            <w:tcW w:w="1304" w:type="dxa"/>
            <w:tcBorders>
              <w:top w:val="nil"/>
              <w:left w:val="single" w:sz="8" w:space="0" w:color="auto"/>
              <w:bottom w:val="nil"/>
              <w:right w:val="single" w:sz="8" w:space="0" w:color="auto"/>
            </w:tcBorders>
            <w:shd w:val="clear" w:color="000000" w:fill="FFFFFF"/>
            <w:vAlign w:val="center"/>
            <w:hideMark/>
          </w:tcPr>
          <w:p w14:paraId="59454B3F" w14:textId="77777777" w:rsidR="00F46012" w:rsidRPr="004245AE" w:rsidRDefault="00F46012" w:rsidP="00F46012">
            <w:pPr>
              <w:jc w:val="center"/>
              <w:rPr>
                <w:rFonts w:ascii="Times New Roman" w:eastAsia="Times New Roman" w:hAnsi="Times New Roman" w:cs="Times New Roman"/>
                <w:color w:val="000000"/>
                <w:sz w:val="22"/>
                <w:szCs w:val="22"/>
                <w:lang w:eastAsia="es-GT"/>
              </w:rPr>
            </w:pPr>
            <w:r w:rsidRPr="004245AE">
              <w:rPr>
                <w:rFonts w:ascii="Times New Roman" w:eastAsia="Times New Roman" w:hAnsi="Times New Roman" w:cs="Times New Roman"/>
                <w:color w:val="000000"/>
                <w:sz w:val="22"/>
                <w:szCs w:val="22"/>
                <w:lang w:eastAsia="es-GT"/>
              </w:rPr>
              <w:t>18,445.3</w:t>
            </w:r>
          </w:p>
        </w:tc>
        <w:tc>
          <w:tcPr>
            <w:tcW w:w="1444" w:type="dxa"/>
            <w:tcBorders>
              <w:top w:val="nil"/>
              <w:left w:val="nil"/>
              <w:bottom w:val="nil"/>
              <w:right w:val="nil"/>
            </w:tcBorders>
            <w:shd w:val="clear" w:color="000000" w:fill="FFFFFF"/>
            <w:vAlign w:val="center"/>
            <w:hideMark/>
          </w:tcPr>
          <w:p w14:paraId="5264A8AC" w14:textId="77777777" w:rsidR="00F46012" w:rsidRPr="004245AE" w:rsidRDefault="00F46012" w:rsidP="00F46012">
            <w:pPr>
              <w:jc w:val="center"/>
              <w:rPr>
                <w:rFonts w:ascii="Times New Roman" w:eastAsia="Times New Roman" w:hAnsi="Times New Roman" w:cs="Times New Roman"/>
                <w:color w:val="000000"/>
                <w:sz w:val="22"/>
                <w:szCs w:val="22"/>
                <w:lang w:eastAsia="es-GT"/>
              </w:rPr>
            </w:pPr>
            <w:r w:rsidRPr="004245AE">
              <w:rPr>
                <w:rFonts w:ascii="Times New Roman" w:eastAsia="Times New Roman" w:hAnsi="Times New Roman" w:cs="Times New Roman"/>
                <w:color w:val="000000"/>
                <w:sz w:val="22"/>
                <w:szCs w:val="22"/>
                <w:lang w:eastAsia="es-GT"/>
              </w:rPr>
              <w:t>22,063.5</w:t>
            </w:r>
          </w:p>
        </w:tc>
        <w:tc>
          <w:tcPr>
            <w:tcW w:w="1304" w:type="dxa"/>
            <w:tcBorders>
              <w:top w:val="nil"/>
              <w:left w:val="nil"/>
              <w:bottom w:val="nil"/>
              <w:right w:val="nil"/>
            </w:tcBorders>
            <w:shd w:val="clear" w:color="000000" w:fill="FFFFFF"/>
            <w:vAlign w:val="center"/>
            <w:hideMark/>
          </w:tcPr>
          <w:p w14:paraId="7AA7A0D4" w14:textId="77777777" w:rsidR="00F46012" w:rsidRPr="004245AE" w:rsidRDefault="00F46012" w:rsidP="00F46012">
            <w:pPr>
              <w:jc w:val="center"/>
              <w:rPr>
                <w:rFonts w:ascii="Times New Roman" w:eastAsia="Times New Roman" w:hAnsi="Times New Roman" w:cs="Times New Roman"/>
                <w:color w:val="000000"/>
                <w:sz w:val="22"/>
                <w:szCs w:val="22"/>
                <w:lang w:eastAsia="es-GT"/>
              </w:rPr>
            </w:pPr>
            <w:r w:rsidRPr="004245AE">
              <w:rPr>
                <w:rFonts w:ascii="Times New Roman" w:eastAsia="Times New Roman" w:hAnsi="Times New Roman" w:cs="Times New Roman"/>
                <w:color w:val="000000"/>
                <w:sz w:val="22"/>
                <w:szCs w:val="22"/>
                <w:lang w:eastAsia="es-GT"/>
              </w:rPr>
              <w:t>20,683.1</w:t>
            </w:r>
          </w:p>
        </w:tc>
        <w:tc>
          <w:tcPr>
            <w:tcW w:w="1304" w:type="dxa"/>
            <w:tcBorders>
              <w:top w:val="nil"/>
              <w:left w:val="nil"/>
              <w:bottom w:val="nil"/>
              <w:right w:val="single" w:sz="8" w:space="0" w:color="auto"/>
            </w:tcBorders>
            <w:shd w:val="clear" w:color="000000" w:fill="FFFFFF"/>
            <w:vAlign w:val="center"/>
            <w:hideMark/>
          </w:tcPr>
          <w:p w14:paraId="0BD1D6C3" w14:textId="77777777" w:rsidR="00F46012" w:rsidRPr="004245AE" w:rsidRDefault="00F46012" w:rsidP="00F46012">
            <w:pPr>
              <w:jc w:val="center"/>
              <w:rPr>
                <w:rFonts w:ascii="Times New Roman" w:eastAsia="Times New Roman" w:hAnsi="Times New Roman" w:cs="Times New Roman"/>
                <w:color w:val="000000"/>
                <w:sz w:val="22"/>
                <w:szCs w:val="22"/>
                <w:lang w:eastAsia="es-GT"/>
              </w:rPr>
            </w:pPr>
            <w:r w:rsidRPr="004245AE">
              <w:rPr>
                <w:rFonts w:ascii="Times New Roman" w:eastAsia="Times New Roman" w:hAnsi="Times New Roman" w:cs="Times New Roman"/>
                <w:color w:val="000000"/>
                <w:sz w:val="22"/>
                <w:szCs w:val="22"/>
                <w:lang w:eastAsia="es-GT"/>
              </w:rPr>
              <w:t>2.6</w:t>
            </w:r>
          </w:p>
        </w:tc>
      </w:tr>
      <w:tr w:rsidR="00F46012" w:rsidRPr="00F46012" w14:paraId="0B3C654E" w14:textId="77777777" w:rsidTr="004245AE">
        <w:trPr>
          <w:trHeight w:val="372"/>
          <w:jc w:val="center"/>
        </w:trPr>
        <w:tc>
          <w:tcPr>
            <w:tcW w:w="2804" w:type="dxa"/>
            <w:tcBorders>
              <w:top w:val="single" w:sz="8" w:space="0" w:color="auto"/>
              <w:left w:val="single" w:sz="8" w:space="0" w:color="auto"/>
              <w:bottom w:val="single" w:sz="8" w:space="0" w:color="auto"/>
              <w:right w:val="nil"/>
            </w:tcBorders>
            <w:shd w:val="clear" w:color="000000" w:fill="D9D9D9"/>
            <w:vAlign w:val="center"/>
            <w:hideMark/>
          </w:tcPr>
          <w:p w14:paraId="0D93C8B0" w14:textId="36A3BD0C" w:rsidR="00F46012" w:rsidRPr="004245AE" w:rsidRDefault="00790233" w:rsidP="00F46012">
            <w:pPr>
              <w:rPr>
                <w:rFonts w:ascii="Times New Roman" w:eastAsia="Times New Roman" w:hAnsi="Times New Roman" w:cs="Times New Roman"/>
                <w:b/>
                <w:bCs/>
                <w:sz w:val="22"/>
                <w:szCs w:val="22"/>
                <w:lang w:eastAsia="es-GT"/>
              </w:rPr>
            </w:pPr>
            <w:r w:rsidRPr="004245AE">
              <w:rPr>
                <w:rFonts w:ascii="Times New Roman" w:eastAsia="Times New Roman" w:hAnsi="Times New Roman" w:cs="Times New Roman"/>
                <w:b/>
                <w:bCs/>
                <w:sz w:val="22"/>
                <w:szCs w:val="22"/>
                <w:lang w:eastAsia="es-GT"/>
              </w:rPr>
              <w:t>Balance Presupuestal</w:t>
            </w:r>
          </w:p>
        </w:tc>
        <w:tc>
          <w:tcPr>
            <w:tcW w:w="1304"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7986D257" w14:textId="77777777" w:rsidR="00F46012" w:rsidRPr="004245AE" w:rsidRDefault="00F46012" w:rsidP="00F46012">
            <w:pPr>
              <w:jc w:val="center"/>
              <w:rPr>
                <w:rFonts w:ascii="Times New Roman" w:eastAsia="Times New Roman" w:hAnsi="Times New Roman" w:cs="Times New Roman"/>
                <w:b/>
                <w:bCs/>
                <w:sz w:val="22"/>
                <w:szCs w:val="22"/>
                <w:lang w:eastAsia="es-GT"/>
              </w:rPr>
            </w:pPr>
            <w:r w:rsidRPr="004245AE">
              <w:rPr>
                <w:rFonts w:ascii="Times New Roman" w:eastAsia="Times New Roman" w:hAnsi="Times New Roman" w:cs="Times New Roman"/>
                <w:b/>
                <w:bCs/>
                <w:sz w:val="22"/>
                <w:szCs w:val="22"/>
                <w:lang w:eastAsia="es-GT"/>
              </w:rPr>
              <w:t>-12,561.9</w:t>
            </w:r>
          </w:p>
        </w:tc>
        <w:tc>
          <w:tcPr>
            <w:tcW w:w="1444" w:type="dxa"/>
            <w:tcBorders>
              <w:top w:val="single" w:sz="8" w:space="0" w:color="auto"/>
              <w:left w:val="nil"/>
              <w:bottom w:val="single" w:sz="8" w:space="0" w:color="auto"/>
              <w:right w:val="nil"/>
            </w:tcBorders>
            <w:shd w:val="clear" w:color="000000" w:fill="D9D9D9"/>
            <w:vAlign w:val="center"/>
            <w:hideMark/>
          </w:tcPr>
          <w:p w14:paraId="44403B9B" w14:textId="77777777" w:rsidR="00F46012" w:rsidRPr="004245AE" w:rsidRDefault="00F46012" w:rsidP="00F46012">
            <w:pPr>
              <w:jc w:val="center"/>
              <w:rPr>
                <w:rFonts w:ascii="Times New Roman" w:eastAsia="Times New Roman" w:hAnsi="Times New Roman" w:cs="Times New Roman"/>
                <w:b/>
                <w:bCs/>
                <w:sz w:val="22"/>
                <w:szCs w:val="22"/>
                <w:lang w:eastAsia="es-GT"/>
              </w:rPr>
            </w:pPr>
            <w:r w:rsidRPr="004245AE">
              <w:rPr>
                <w:rFonts w:ascii="Times New Roman" w:eastAsia="Times New Roman" w:hAnsi="Times New Roman" w:cs="Times New Roman"/>
                <w:b/>
                <w:bCs/>
                <w:sz w:val="22"/>
                <w:szCs w:val="22"/>
                <w:lang w:eastAsia="es-GT"/>
              </w:rPr>
              <w:t>-24,718.0</w:t>
            </w:r>
          </w:p>
        </w:tc>
        <w:tc>
          <w:tcPr>
            <w:tcW w:w="1304" w:type="dxa"/>
            <w:tcBorders>
              <w:top w:val="single" w:sz="8" w:space="0" w:color="auto"/>
              <w:left w:val="nil"/>
              <w:bottom w:val="single" w:sz="8" w:space="0" w:color="auto"/>
              <w:right w:val="nil"/>
            </w:tcBorders>
            <w:shd w:val="clear" w:color="000000" w:fill="D9D9D9"/>
            <w:vAlign w:val="center"/>
            <w:hideMark/>
          </w:tcPr>
          <w:p w14:paraId="6F3B87A4" w14:textId="25DE0BD3" w:rsidR="00F46012" w:rsidRPr="004245AE" w:rsidRDefault="00F46012" w:rsidP="00F46012">
            <w:pPr>
              <w:jc w:val="center"/>
              <w:rPr>
                <w:rFonts w:ascii="Times New Roman" w:eastAsia="Times New Roman" w:hAnsi="Times New Roman" w:cs="Times New Roman"/>
                <w:b/>
                <w:bCs/>
                <w:sz w:val="22"/>
                <w:szCs w:val="22"/>
                <w:lang w:eastAsia="es-GT"/>
              </w:rPr>
            </w:pPr>
            <w:r w:rsidRPr="004245AE">
              <w:rPr>
                <w:rFonts w:ascii="Times New Roman" w:eastAsia="Times New Roman" w:hAnsi="Times New Roman" w:cs="Times New Roman"/>
                <w:b/>
                <w:bCs/>
                <w:sz w:val="22"/>
                <w:szCs w:val="22"/>
                <w:lang w:eastAsia="es-GT"/>
              </w:rPr>
              <w:t>-10,</w:t>
            </w:r>
            <w:r w:rsidR="008E506F">
              <w:rPr>
                <w:rFonts w:ascii="Times New Roman" w:eastAsia="Times New Roman" w:hAnsi="Times New Roman" w:cs="Times New Roman"/>
                <w:b/>
                <w:bCs/>
                <w:sz w:val="22"/>
                <w:szCs w:val="22"/>
                <w:lang w:eastAsia="es-GT"/>
              </w:rPr>
              <w:t>230</w:t>
            </w:r>
            <w:r w:rsidRPr="004245AE">
              <w:rPr>
                <w:rFonts w:ascii="Times New Roman" w:eastAsia="Times New Roman" w:hAnsi="Times New Roman" w:cs="Times New Roman"/>
                <w:b/>
                <w:bCs/>
                <w:sz w:val="22"/>
                <w:szCs w:val="22"/>
                <w:lang w:eastAsia="es-GT"/>
              </w:rPr>
              <w:t>.</w:t>
            </w:r>
            <w:r w:rsidR="008E506F">
              <w:rPr>
                <w:rFonts w:ascii="Times New Roman" w:eastAsia="Times New Roman" w:hAnsi="Times New Roman" w:cs="Times New Roman"/>
                <w:b/>
                <w:bCs/>
                <w:sz w:val="22"/>
                <w:szCs w:val="22"/>
                <w:lang w:eastAsia="es-GT"/>
              </w:rPr>
              <w:t>6</w:t>
            </w:r>
          </w:p>
        </w:tc>
        <w:tc>
          <w:tcPr>
            <w:tcW w:w="1304" w:type="dxa"/>
            <w:tcBorders>
              <w:top w:val="single" w:sz="8" w:space="0" w:color="auto"/>
              <w:left w:val="nil"/>
              <w:bottom w:val="single" w:sz="8" w:space="0" w:color="auto"/>
              <w:right w:val="single" w:sz="8" w:space="0" w:color="auto"/>
            </w:tcBorders>
            <w:shd w:val="clear" w:color="000000" w:fill="D9D9D9"/>
            <w:vAlign w:val="center"/>
            <w:hideMark/>
          </w:tcPr>
          <w:p w14:paraId="59CF92B7" w14:textId="5B1CC1B4" w:rsidR="00F46012" w:rsidRPr="004245AE" w:rsidRDefault="00F46012" w:rsidP="00F46012">
            <w:pPr>
              <w:jc w:val="center"/>
              <w:rPr>
                <w:rFonts w:ascii="Times New Roman" w:eastAsia="Times New Roman" w:hAnsi="Times New Roman" w:cs="Times New Roman"/>
                <w:b/>
                <w:bCs/>
                <w:sz w:val="22"/>
                <w:szCs w:val="22"/>
                <w:lang w:eastAsia="es-GT"/>
              </w:rPr>
            </w:pPr>
            <w:r w:rsidRPr="004245AE">
              <w:rPr>
                <w:rFonts w:ascii="Times New Roman" w:eastAsia="Times New Roman" w:hAnsi="Times New Roman" w:cs="Times New Roman"/>
                <w:b/>
                <w:bCs/>
                <w:sz w:val="22"/>
                <w:szCs w:val="22"/>
                <w:lang w:eastAsia="es-GT"/>
              </w:rPr>
              <w:t>-1.</w:t>
            </w:r>
            <w:r w:rsidR="000017C9" w:rsidRPr="004245AE">
              <w:rPr>
                <w:rFonts w:ascii="Times New Roman" w:eastAsia="Times New Roman" w:hAnsi="Times New Roman" w:cs="Times New Roman"/>
                <w:b/>
                <w:bCs/>
                <w:sz w:val="22"/>
                <w:szCs w:val="22"/>
                <w:lang w:eastAsia="es-GT"/>
              </w:rPr>
              <w:t>3</w:t>
            </w:r>
          </w:p>
        </w:tc>
      </w:tr>
      <w:tr w:rsidR="00F46012" w:rsidRPr="00F46012" w14:paraId="7745AB80" w14:textId="77777777" w:rsidTr="00F22DD8">
        <w:trPr>
          <w:trHeight w:val="164"/>
          <w:jc w:val="center"/>
        </w:trPr>
        <w:tc>
          <w:tcPr>
            <w:tcW w:w="2804" w:type="dxa"/>
            <w:tcBorders>
              <w:top w:val="nil"/>
              <w:left w:val="single" w:sz="8" w:space="0" w:color="auto"/>
              <w:bottom w:val="nil"/>
              <w:right w:val="nil"/>
            </w:tcBorders>
            <w:shd w:val="clear" w:color="000000" w:fill="FFFFFF"/>
            <w:vAlign w:val="center"/>
            <w:hideMark/>
          </w:tcPr>
          <w:p w14:paraId="27070740" w14:textId="77777777" w:rsidR="00F46012" w:rsidRPr="004245AE" w:rsidRDefault="00F46012" w:rsidP="00F46012">
            <w:pPr>
              <w:rPr>
                <w:rFonts w:ascii="Times New Roman" w:eastAsia="Times New Roman" w:hAnsi="Times New Roman" w:cs="Times New Roman"/>
                <w:color w:val="000000"/>
                <w:sz w:val="22"/>
                <w:szCs w:val="22"/>
                <w:lang w:eastAsia="es-GT"/>
              </w:rPr>
            </w:pPr>
            <w:r w:rsidRPr="004245AE">
              <w:rPr>
                <w:rFonts w:ascii="Times New Roman" w:eastAsia="Times New Roman" w:hAnsi="Times New Roman" w:cs="Times New Roman"/>
                <w:color w:val="000000"/>
                <w:sz w:val="22"/>
                <w:szCs w:val="22"/>
                <w:lang w:eastAsia="es-GT"/>
              </w:rPr>
              <w:t> </w:t>
            </w:r>
          </w:p>
        </w:tc>
        <w:tc>
          <w:tcPr>
            <w:tcW w:w="1304" w:type="dxa"/>
            <w:tcBorders>
              <w:top w:val="nil"/>
              <w:left w:val="single" w:sz="8" w:space="0" w:color="auto"/>
              <w:bottom w:val="nil"/>
              <w:right w:val="single" w:sz="8" w:space="0" w:color="auto"/>
            </w:tcBorders>
            <w:shd w:val="clear" w:color="000000" w:fill="FFFFFF"/>
            <w:vAlign w:val="center"/>
            <w:hideMark/>
          </w:tcPr>
          <w:p w14:paraId="53ADF8A4" w14:textId="77777777" w:rsidR="00F46012" w:rsidRPr="004245AE" w:rsidRDefault="00F46012" w:rsidP="00F46012">
            <w:pPr>
              <w:jc w:val="center"/>
              <w:rPr>
                <w:rFonts w:ascii="Times New Roman" w:eastAsia="Times New Roman" w:hAnsi="Times New Roman" w:cs="Times New Roman"/>
                <w:color w:val="000000"/>
                <w:sz w:val="22"/>
                <w:szCs w:val="22"/>
                <w:lang w:eastAsia="es-GT"/>
              </w:rPr>
            </w:pPr>
            <w:r w:rsidRPr="004245AE">
              <w:rPr>
                <w:rFonts w:ascii="Times New Roman" w:eastAsia="Times New Roman" w:hAnsi="Times New Roman" w:cs="Times New Roman"/>
                <w:color w:val="000000"/>
                <w:sz w:val="22"/>
                <w:szCs w:val="22"/>
                <w:lang w:eastAsia="es-GT"/>
              </w:rPr>
              <w:t> </w:t>
            </w:r>
          </w:p>
        </w:tc>
        <w:tc>
          <w:tcPr>
            <w:tcW w:w="1444" w:type="dxa"/>
            <w:tcBorders>
              <w:top w:val="nil"/>
              <w:left w:val="nil"/>
              <w:bottom w:val="nil"/>
              <w:right w:val="nil"/>
            </w:tcBorders>
            <w:shd w:val="clear" w:color="000000" w:fill="FFFFFF"/>
            <w:vAlign w:val="center"/>
            <w:hideMark/>
          </w:tcPr>
          <w:p w14:paraId="542895FA" w14:textId="77777777" w:rsidR="00F46012" w:rsidRPr="004245AE" w:rsidRDefault="00F46012" w:rsidP="00F46012">
            <w:pPr>
              <w:jc w:val="center"/>
              <w:rPr>
                <w:rFonts w:ascii="Times New Roman" w:eastAsia="Times New Roman" w:hAnsi="Times New Roman" w:cs="Times New Roman"/>
                <w:color w:val="000000"/>
                <w:sz w:val="22"/>
                <w:szCs w:val="22"/>
                <w:lang w:eastAsia="es-GT"/>
              </w:rPr>
            </w:pPr>
            <w:r w:rsidRPr="004245AE">
              <w:rPr>
                <w:rFonts w:ascii="Times New Roman" w:eastAsia="Times New Roman" w:hAnsi="Times New Roman" w:cs="Times New Roman"/>
                <w:color w:val="000000"/>
                <w:sz w:val="22"/>
                <w:szCs w:val="22"/>
                <w:lang w:eastAsia="es-GT"/>
              </w:rPr>
              <w:t> </w:t>
            </w:r>
          </w:p>
        </w:tc>
        <w:tc>
          <w:tcPr>
            <w:tcW w:w="1304" w:type="dxa"/>
            <w:tcBorders>
              <w:top w:val="nil"/>
              <w:left w:val="nil"/>
              <w:bottom w:val="nil"/>
              <w:right w:val="nil"/>
            </w:tcBorders>
            <w:shd w:val="clear" w:color="000000" w:fill="FFFFFF"/>
            <w:vAlign w:val="center"/>
            <w:hideMark/>
          </w:tcPr>
          <w:p w14:paraId="340E6EF7" w14:textId="77777777" w:rsidR="00F46012" w:rsidRPr="004245AE" w:rsidRDefault="00F46012" w:rsidP="00F46012">
            <w:pPr>
              <w:jc w:val="center"/>
              <w:rPr>
                <w:rFonts w:ascii="Times New Roman" w:eastAsia="Times New Roman" w:hAnsi="Times New Roman" w:cs="Times New Roman"/>
                <w:color w:val="000000"/>
                <w:sz w:val="22"/>
                <w:szCs w:val="22"/>
                <w:lang w:eastAsia="es-GT"/>
              </w:rPr>
            </w:pPr>
            <w:r w:rsidRPr="004245AE">
              <w:rPr>
                <w:rFonts w:ascii="Times New Roman" w:eastAsia="Times New Roman" w:hAnsi="Times New Roman" w:cs="Times New Roman"/>
                <w:color w:val="000000"/>
                <w:sz w:val="22"/>
                <w:szCs w:val="22"/>
                <w:lang w:eastAsia="es-GT"/>
              </w:rPr>
              <w:t> </w:t>
            </w:r>
          </w:p>
        </w:tc>
        <w:tc>
          <w:tcPr>
            <w:tcW w:w="1304" w:type="dxa"/>
            <w:tcBorders>
              <w:top w:val="nil"/>
              <w:left w:val="nil"/>
              <w:bottom w:val="nil"/>
              <w:right w:val="single" w:sz="8" w:space="0" w:color="auto"/>
            </w:tcBorders>
            <w:shd w:val="clear" w:color="000000" w:fill="FFFFFF"/>
            <w:vAlign w:val="center"/>
            <w:hideMark/>
          </w:tcPr>
          <w:p w14:paraId="28C3B6B9" w14:textId="6ADEA08C" w:rsidR="00F46012" w:rsidRPr="004245AE" w:rsidRDefault="00F46012" w:rsidP="00F46012">
            <w:pPr>
              <w:jc w:val="center"/>
              <w:rPr>
                <w:rFonts w:ascii="Times New Roman" w:eastAsia="Times New Roman" w:hAnsi="Times New Roman" w:cs="Times New Roman"/>
                <w:color w:val="000000"/>
                <w:sz w:val="22"/>
                <w:szCs w:val="22"/>
                <w:lang w:eastAsia="es-GT"/>
              </w:rPr>
            </w:pPr>
          </w:p>
        </w:tc>
      </w:tr>
      <w:tr w:rsidR="00F46012" w:rsidRPr="00F46012" w14:paraId="68B786FC" w14:textId="77777777" w:rsidTr="004245AE">
        <w:trPr>
          <w:trHeight w:val="372"/>
          <w:jc w:val="center"/>
        </w:trPr>
        <w:tc>
          <w:tcPr>
            <w:tcW w:w="2804" w:type="dxa"/>
            <w:tcBorders>
              <w:top w:val="nil"/>
              <w:left w:val="single" w:sz="8" w:space="0" w:color="auto"/>
              <w:bottom w:val="nil"/>
              <w:right w:val="nil"/>
            </w:tcBorders>
            <w:shd w:val="clear" w:color="000000" w:fill="FFFFFF"/>
            <w:vAlign w:val="center"/>
            <w:hideMark/>
          </w:tcPr>
          <w:p w14:paraId="46D1349A" w14:textId="77777777" w:rsidR="00F46012" w:rsidRPr="004245AE" w:rsidRDefault="00F46012" w:rsidP="00F46012">
            <w:pPr>
              <w:rPr>
                <w:rFonts w:ascii="Times New Roman" w:eastAsia="Times New Roman" w:hAnsi="Times New Roman" w:cs="Times New Roman"/>
                <w:color w:val="000000"/>
                <w:sz w:val="22"/>
                <w:szCs w:val="22"/>
                <w:lang w:eastAsia="es-GT"/>
              </w:rPr>
            </w:pPr>
            <w:r w:rsidRPr="004245AE">
              <w:rPr>
                <w:rFonts w:ascii="Times New Roman" w:eastAsia="Times New Roman" w:hAnsi="Times New Roman" w:cs="Times New Roman"/>
                <w:color w:val="000000"/>
                <w:sz w:val="22"/>
                <w:szCs w:val="22"/>
                <w:lang w:eastAsia="es-GT"/>
              </w:rPr>
              <w:t>Financiamiento Externo Neto</w:t>
            </w:r>
          </w:p>
        </w:tc>
        <w:tc>
          <w:tcPr>
            <w:tcW w:w="1304" w:type="dxa"/>
            <w:tcBorders>
              <w:top w:val="nil"/>
              <w:left w:val="single" w:sz="8" w:space="0" w:color="auto"/>
              <w:bottom w:val="nil"/>
              <w:right w:val="single" w:sz="8" w:space="0" w:color="auto"/>
            </w:tcBorders>
            <w:shd w:val="clear" w:color="000000" w:fill="FFFFFF"/>
            <w:vAlign w:val="center"/>
            <w:hideMark/>
          </w:tcPr>
          <w:p w14:paraId="62DBCF63" w14:textId="77777777" w:rsidR="00F46012" w:rsidRPr="004245AE" w:rsidRDefault="00F46012" w:rsidP="00F46012">
            <w:pPr>
              <w:jc w:val="center"/>
              <w:rPr>
                <w:rFonts w:ascii="Times New Roman" w:eastAsia="Times New Roman" w:hAnsi="Times New Roman" w:cs="Times New Roman"/>
                <w:color w:val="000000"/>
                <w:sz w:val="22"/>
                <w:szCs w:val="22"/>
                <w:lang w:eastAsia="es-GT"/>
              </w:rPr>
            </w:pPr>
            <w:r w:rsidRPr="004245AE">
              <w:rPr>
                <w:rFonts w:ascii="Times New Roman" w:eastAsia="Times New Roman" w:hAnsi="Times New Roman" w:cs="Times New Roman"/>
                <w:color w:val="000000"/>
                <w:sz w:val="22"/>
                <w:szCs w:val="22"/>
                <w:lang w:eastAsia="es-GT"/>
              </w:rPr>
              <w:t>109.7</w:t>
            </w:r>
          </w:p>
        </w:tc>
        <w:tc>
          <w:tcPr>
            <w:tcW w:w="1444" w:type="dxa"/>
            <w:tcBorders>
              <w:top w:val="nil"/>
              <w:left w:val="nil"/>
              <w:bottom w:val="nil"/>
              <w:right w:val="nil"/>
            </w:tcBorders>
            <w:shd w:val="clear" w:color="000000" w:fill="FFFFFF"/>
            <w:vAlign w:val="center"/>
            <w:hideMark/>
          </w:tcPr>
          <w:p w14:paraId="25AFE1D5" w14:textId="77777777" w:rsidR="00F46012" w:rsidRPr="004245AE" w:rsidRDefault="00F46012" w:rsidP="00F46012">
            <w:pPr>
              <w:jc w:val="center"/>
              <w:rPr>
                <w:rFonts w:ascii="Times New Roman" w:eastAsia="Times New Roman" w:hAnsi="Times New Roman" w:cs="Times New Roman"/>
                <w:color w:val="000000"/>
                <w:sz w:val="22"/>
                <w:szCs w:val="22"/>
                <w:lang w:eastAsia="es-GT"/>
              </w:rPr>
            </w:pPr>
            <w:r w:rsidRPr="004245AE">
              <w:rPr>
                <w:rFonts w:ascii="Times New Roman" w:eastAsia="Times New Roman" w:hAnsi="Times New Roman" w:cs="Times New Roman"/>
                <w:color w:val="000000"/>
                <w:sz w:val="22"/>
                <w:szCs w:val="22"/>
                <w:lang w:eastAsia="es-GT"/>
              </w:rPr>
              <w:t>365.5</w:t>
            </w:r>
          </w:p>
        </w:tc>
        <w:tc>
          <w:tcPr>
            <w:tcW w:w="1304" w:type="dxa"/>
            <w:tcBorders>
              <w:top w:val="nil"/>
              <w:left w:val="nil"/>
              <w:bottom w:val="nil"/>
              <w:right w:val="nil"/>
            </w:tcBorders>
            <w:shd w:val="clear" w:color="000000" w:fill="FFFFFF"/>
            <w:vAlign w:val="center"/>
            <w:hideMark/>
          </w:tcPr>
          <w:p w14:paraId="67776C30" w14:textId="77777777" w:rsidR="00F46012" w:rsidRPr="004245AE" w:rsidRDefault="00F46012" w:rsidP="00F46012">
            <w:pPr>
              <w:jc w:val="center"/>
              <w:rPr>
                <w:rFonts w:ascii="Times New Roman" w:eastAsia="Times New Roman" w:hAnsi="Times New Roman" w:cs="Times New Roman"/>
                <w:color w:val="000000"/>
                <w:sz w:val="22"/>
                <w:szCs w:val="22"/>
                <w:lang w:eastAsia="es-GT"/>
              </w:rPr>
            </w:pPr>
            <w:r w:rsidRPr="004245AE">
              <w:rPr>
                <w:rFonts w:ascii="Times New Roman" w:eastAsia="Times New Roman" w:hAnsi="Times New Roman" w:cs="Times New Roman"/>
                <w:color w:val="000000"/>
                <w:sz w:val="22"/>
                <w:szCs w:val="22"/>
                <w:lang w:eastAsia="es-GT"/>
              </w:rPr>
              <w:t>10,700.9</w:t>
            </w:r>
          </w:p>
        </w:tc>
        <w:tc>
          <w:tcPr>
            <w:tcW w:w="1304" w:type="dxa"/>
            <w:tcBorders>
              <w:top w:val="nil"/>
              <w:left w:val="nil"/>
              <w:bottom w:val="nil"/>
              <w:right w:val="single" w:sz="8" w:space="0" w:color="auto"/>
            </w:tcBorders>
            <w:shd w:val="clear" w:color="000000" w:fill="FFFFFF"/>
            <w:vAlign w:val="center"/>
            <w:hideMark/>
          </w:tcPr>
          <w:p w14:paraId="6B7E5609" w14:textId="77777777" w:rsidR="00F46012" w:rsidRPr="004245AE" w:rsidRDefault="00F46012" w:rsidP="00F46012">
            <w:pPr>
              <w:jc w:val="center"/>
              <w:rPr>
                <w:rFonts w:ascii="Times New Roman" w:eastAsia="Times New Roman" w:hAnsi="Times New Roman" w:cs="Times New Roman"/>
                <w:color w:val="000000"/>
                <w:sz w:val="22"/>
                <w:szCs w:val="22"/>
                <w:lang w:eastAsia="es-GT"/>
              </w:rPr>
            </w:pPr>
            <w:r w:rsidRPr="004245AE">
              <w:rPr>
                <w:rFonts w:ascii="Times New Roman" w:eastAsia="Times New Roman" w:hAnsi="Times New Roman" w:cs="Times New Roman"/>
                <w:color w:val="000000"/>
                <w:sz w:val="22"/>
                <w:szCs w:val="22"/>
                <w:lang w:eastAsia="es-GT"/>
              </w:rPr>
              <w:t>1.3</w:t>
            </w:r>
          </w:p>
        </w:tc>
      </w:tr>
      <w:tr w:rsidR="00F46012" w:rsidRPr="00F46012" w14:paraId="314143FD" w14:textId="77777777" w:rsidTr="00F22DD8">
        <w:trPr>
          <w:trHeight w:val="378"/>
          <w:jc w:val="center"/>
        </w:trPr>
        <w:tc>
          <w:tcPr>
            <w:tcW w:w="2804" w:type="dxa"/>
            <w:tcBorders>
              <w:top w:val="nil"/>
              <w:left w:val="single" w:sz="8" w:space="0" w:color="auto"/>
              <w:bottom w:val="nil"/>
              <w:right w:val="nil"/>
            </w:tcBorders>
            <w:shd w:val="clear" w:color="000000" w:fill="FFFFFF"/>
            <w:vAlign w:val="center"/>
            <w:hideMark/>
          </w:tcPr>
          <w:p w14:paraId="63C26B27" w14:textId="77777777" w:rsidR="00F46012" w:rsidRPr="004245AE" w:rsidRDefault="00F46012" w:rsidP="00F46012">
            <w:pPr>
              <w:rPr>
                <w:rFonts w:ascii="Times New Roman" w:eastAsia="Times New Roman" w:hAnsi="Times New Roman" w:cs="Times New Roman"/>
                <w:color w:val="000000"/>
                <w:sz w:val="22"/>
                <w:szCs w:val="22"/>
                <w:lang w:eastAsia="es-GT"/>
              </w:rPr>
            </w:pPr>
            <w:r w:rsidRPr="004245AE">
              <w:rPr>
                <w:rFonts w:ascii="Times New Roman" w:eastAsia="Times New Roman" w:hAnsi="Times New Roman" w:cs="Times New Roman"/>
                <w:color w:val="000000"/>
                <w:sz w:val="22"/>
                <w:szCs w:val="22"/>
                <w:lang w:eastAsia="es-GT"/>
              </w:rPr>
              <w:t>Negociación Neta de Bonos Internos</w:t>
            </w:r>
          </w:p>
        </w:tc>
        <w:tc>
          <w:tcPr>
            <w:tcW w:w="1304" w:type="dxa"/>
            <w:tcBorders>
              <w:top w:val="nil"/>
              <w:left w:val="single" w:sz="8" w:space="0" w:color="auto"/>
              <w:bottom w:val="nil"/>
              <w:right w:val="single" w:sz="8" w:space="0" w:color="auto"/>
            </w:tcBorders>
            <w:shd w:val="clear" w:color="000000" w:fill="FFFFFF"/>
            <w:vAlign w:val="center"/>
            <w:hideMark/>
          </w:tcPr>
          <w:p w14:paraId="3495AFCE" w14:textId="77777777" w:rsidR="00F46012" w:rsidRPr="004245AE" w:rsidRDefault="00F46012" w:rsidP="00F46012">
            <w:pPr>
              <w:jc w:val="center"/>
              <w:rPr>
                <w:rFonts w:ascii="Times New Roman" w:eastAsia="Times New Roman" w:hAnsi="Times New Roman" w:cs="Times New Roman"/>
                <w:color w:val="000000"/>
                <w:sz w:val="22"/>
                <w:szCs w:val="22"/>
                <w:lang w:eastAsia="es-GT"/>
              </w:rPr>
            </w:pPr>
            <w:r w:rsidRPr="004245AE">
              <w:rPr>
                <w:rFonts w:ascii="Times New Roman" w:eastAsia="Times New Roman" w:hAnsi="Times New Roman" w:cs="Times New Roman"/>
                <w:color w:val="000000"/>
                <w:sz w:val="22"/>
                <w:szCs w:val="22"/>
                <w:lang w:eastAsia="es-GT"/>
              </w:rPr>
              <w:t>8,562.3</w:t>
            </w:r>
          </w:p>
        </w:tc>
        <w:tc>
          <w:tcPr>
            <w:tcW w:w="1444" w:type="dxa"/>
            <w:tcBorders>
              <w:top w:val="nil"/>
              <w:left w:val="nil"/>
              <w:bottom w:val="nil"/>
              <w:right w:val="nil"/>
            </w:tcBorders>
            <w:shd w:val="clear" w:color="000000" w:fill="FFFFFF"/>
            <w:vAlign w:val="center"/>
            <w:hideMark/>
          </w:tcPr>
          <w:p w14:paraId="6D86363E" w14:textId="77777777" w:rsidR="00F46012" w:rsidRPr="004245AE" w:rsidRDefault="00F46012" w:rsidP="00F46012">
            <w:pPr>
              <w:jc w:val="center"/>
              <w:rPr>
                <w:rFonts w:ascii="Times New Roman" w:eastAsia="Times New Roman" w:hAnsi="Times New Roman" w:cs="Times New Roman"/>
                <w:color w:val="000000"/>
                <w:sz w:val="22"/>
                <w:szCs w:val="22"/>
                <w:lang w:eastAsia="es-GT"/>
              </w:rPr>
            </w:pPr>
            <w:r w:rsidRPr="004245AE">
              <w:rPr>
                <w:rFonts w:ascii="Times New Roman" w:eastAsia="Times New Roman" w:hAnsi="Times New Roman" w:cs="Times New Roman"/>
                <w:color w:val="000000"/>
                <w:sz w:val="22"/>
                <w:szCs w:val="22"/>
                <w:lang w:eastAsia="es-GT"/>
              </w:rPr>
              <w:t>12,775.1</w:t>
            </w:r>
          </w:p>
        </w:tc>
        <w:tc>
          <w:tcPr>
            <w:tcW w:w="1304" w:type="dxa"/>
            <w:tcBorders>
              <w:top w:val="nil"/>
              <w:left w:val="nil"/>
              <w:bottom w:val="nil"/>
              <w:right w:val="nil"/>
            </w:tcBorders>
            <w:shd w:val="clear" w:color="000000" w:fill="FFFFFF"/>
            <w:vAlign w:val="center"/>
            <w:hideMark/>
          </w:tcPr>
          <w:p w14:paraId="50DBE282" w14:textId="77777777" w:rsidR="00F46012" w:rsidRPr="004245AE" w:rsidRDefault="00F46012" w:rsidP="00F46012">
            <w:pPr>
              <w:jc w:val="center"/>
              <w:rPr>
                <w:rFonts w:ascii="Times New Roman" w:eastAsia="Times New Roman" w:hAnsi="Times New Roman" w:cs="Times New Roman"/>
                <w:color w:val="000000"/>
                <w:sz w:val="22"/>
                <w:szCs w:val="22"/>
                <w:lang w:eastAsia="es-GT"/>
              </w:rPr>
            </w:pPr>
            <w:r w:rsidRPr="004245AE">
              <w:rPr>
                <w:rFonts w:ascii="Times New Roman" w:eastAsia="Times New Roman" w:hAnsi="Times New Roman" w:cs="Times New Roman"/>
                <w:color w:val="000000"/>
                <w:sz w:val="22"/>
                <w:szCs w:val="22"/>
                <w:lang w:eastAsia="es-GT"/>
              </w:rPr>
              <w:t>-2,486.3</w:t>
            </w:r>
          </w:p>
        </w:tc>
        <w:tc>
          <w:tcPr>
            <w:tcW w:w="1304" w:type="dxa"/>
            <w:tcBorders>
              <w:top w:val="nil"/>
              <w:left w:val="nil"/>
              <w:bottom w:val="nil"/>
              <w:right w:val="single" w:sz="8" w:space="0" w:color="auto"/>
            </w:tcBorders>
            <w:shd w:val="clear" w:color="000000" w:fill="FFFFFF"/>
            <w:vAlign w:val="center"/>
            <w:hideMark/>
          </w:tcPr>
          <w:p w14:paraId="1E8D63FB" w14:textId="77777777" w:rsidR="00F46012" w:rsidRPr="004245AE" w:rsidRDefault="00F46012" w:rsidP="00F46012">
            <w:pPr>
              <w:jc w:val="center"/>
              <w:rPr>
                <w:rFonts w:ascii="Times New Roman" w:eastAsia="Times New Roman" w:hAnsi="Times New Roman" w:cs="Times New Roman"/>
                <w:color w:val="000000"/>
                <w:sz w:val="22"/>
                <w:szCs w:val="22"/>
                <w:lang w:eastAsia="es-GT"/>
              </w:rPr>
            </w:pPr>
            <w:r w:rsidRPr="004245AE">
              <w:rPr>
                <w:rFonts w:ascii="Times New Roman" w:eastAsia="Times New Roman" w:hAnsi="Times New Roman" w:cs="Times New Roman"/>
                <w:color w:val="000000"/>
                <w:sz w:val="22"/>
                <w:szCs w:val="22"/>
                <w:lang w:eastAsia="es-GT"/>
              </w:rPr>
              <w:t>-0.3</w:t>
            </w:r>
          </w:p>
        </w:tc>
      </w:tr>
      <w:tr w:rsidR="00F46012" w:rsidRPr="00F46012" w14:paraId="5D409041" w14:textId="77777777" w:rsidTr="00F22DD8">
        <w:trPr>
          <w:trHeight w:val="300"/>
          <w:jc w:val="center"/>
        </w:trPr>
        <w:tc>
          <w:tcPr>
            <w:tcW w:w="2804" w:type="dxa"/>
            <w:tcBorders>
              <w:top w:val="nil"/>
              <w:left w:val="single" w:sz="8" w:space="0" w:color="auto"/>
              <w:bottom w:val="single" w:sz="8" w:space="0" w:color="auto"/>
              <w:right w:val="nil"/>
            </w:tcBorders>
            <w:shd w:val="clear" w:color="000000" w:fill="FFFFFF"/>
            <w:vAlign w:val="center"/>
            <w:hideMark/>
          </w:tcPr>
          <w:p w14:paraId="2FDA1668" w14:textId="77777777" w:rsidR="00F46012" w:rsidRPr="004245AE" w:rsidRDefault="00F46012" w:rsidP="00F46012">
            <w:pPr>
              <w:ind w:firstLineChars="100" w:firstLine="221"/>
              <w:rPr>
                <w:rFonts w:ascii="Times New Roman" w:eastAsia="Times New Roman" w:hAnsi="Times New Roman" w:cs="Times New Roman"/>
                <w:b/>
                <w:bCs/>
                <w:color w:val="000000"/>
                <w:sz w:val="22"/>
                <w:szCs w:val="22"/>
                <w:lang w:eastAsia="es-GT"/>
              </w:rPr>
            </w:pPr>
            <w:r w:rsidRPr="004245AE">
              <w:rPr>
                <w:rFonts w:ascii="Times New Roman" w:eastAsia="Times New Roman" w:hAnsi="Times New Roman" w:cs="Times New Roman"/>
                <w:b/>
                <w:bCs/>
                <w:color w:val="000000"/>
                <w:sz w:val="22"/>
                <w:szCs w:val="22"/>
                <w:lang w:eastAsia="es-GT"/>
              </w:rPr>
              <w:t>Variación de Caja</w:t>
            </w:r>
          </w:p>
        </w:tc>
        <w:tc>
          <w:tcPr>
            <w:tcW w:w="1304" w:type="dxa"/>
            <w:tcBorders>
              <w:top w:val="nil"/>
              <w:left w:val="single" w:sz="8" w:space="0" w:color="auto"/>
              <w:bottom w:val="single" w:sz="8" w:space="0" w:color="auto"/>
              <w:right w:val="single" w:sz="8" w:space="0" w:color="auto"/>
            </w:tcBorders>
            <w:shd w:val="clear" w:color="000000" w:fill="FFFFFF"/>
            <w:vAlign w:val="center"/>
            <w:hideMark/>
          </w:tcPr>
          <w:p w14:paraId="5C9A50EC" w14:textId="77777777" w:rsidR="00F46012" w:rsidRPr="004245AE" w:rsidRDefault="00F46012" w:rsidP="00F46012">
            <w:pPr>
              <w:jc w:val="center"/>
              <w:rPr>
                <w:rFonts w:ascii="Times New Roman" w:eastAsia="Times New Roman" w:hAnsi="Times New Roman" w:cs="Times New Roman"/>
                <w:b/>
                <w:bCs/>
                <w:color w:val="000000"/>
                <w:sz w:val="22"/>
                <w:szCs w:val="22"/>
                <w:lang w:eastAsia="es-GT"/>
              </w:rPr>
            </w:pPr>
            <w:r w:rsidRPr="004245AE">
              <w:rPr>
                <w:rFonts w:ascii="Times New Roman" w:eastAsia="Times New Roman" w:hAnsi="Times New Roman" w:cs="Times New Roman"/>
                <w:b/>
                <w:bCs/>
                <w:color w:val="000000"/>
                <w:sz w:val="22"/>
                <w:szCs w:val="22"/>
                <w:lang w:eastAsia="es-GT"/>
              </w:rPr>
              <w:t>3,883.7</w:t>
            </w:r>
          </w:p>
        </w:tc>
        <w:tc>
          <w:tcPr>
            <w:tcW w:w="1444" w:type="dxa"/>
            <w:tcBorders>
              <w:top w:val="nil"/>
              <w:left w:val="nil"/>
              <w:bottom w:val="single" w:sz="8" w:space="0" w:color="auto"/>
              <w:right w:val="nil"/>
            </w:tcBorders>
            <w:shd w:val="clear" w:color="000000" w:fill="FFFFFF"/>
            <w:vAlign w:val="center"/>
            <w:hideMark/>
          </w:tcPr>
          <w:p w14:paraId="271F4FF8" w14:textId="77777777" w:rsidR="00F46012" w:rsidRPr="004245AE" w:rsidRDefault="00F46012" w:rsidP="00F46012">
            <w:pPr>
              <w:jc w:val="center"/>
              <w:rPr>
                <w:rFonts w:ascii="Times New Roman" w:eastAsia="Times New Roman" w:hAnsi="Times New Roman" w:cs="Times New Roman"/>
                <w:b/>
                <w:bCs/>
                <w:color w:val="000000"/>
                <w:sz w:val="22"/>
                <w:szCs w:val="22"/>
                <w:lang w:eastAsia="es-GT"/>
              </w:rPr>
            </w:pPr>
            <w:r w:rsidRPr="004245AE">
              <w:rPr>
                <w:rFonts w:ascii="Times New Roman" w:eastAsia="Times New Roman" w:hAnsi="Times New Roman" w:cs="Times New Roman"/>
                <w:b/>
                <w:bCs/>
                <w:color w:val="000000"/>
                <w:sz w:val="22"/>
                <w:szCs w:val="22"/>
                <w:lang w:eastAsia="es-GT"/>
              </w:rPr>
              <w:t>11,631.8</w:t>
            </w:r>
          </w:p>
        </w:tc>
        <w:tc>
          <w:tcPr>
            <w:tcW w:w="1304" w:type="dxa"/>
            <w:tcBorders>
              <w:top w:val="nil"/>
              <w:left w:val="nil"/>
              <w:bottom w:val="single" w:sz="8" w:space="0" w:color="auto"/>
              <w:right w:val="nil"/>
            </w:tcBorders>
            <w:shd w:val="clear" w:color="000000" w:fill="FFFFFF"/>
            <w:vAlign w:val="center"/>
            <w:hideMark/>
          </w:tcPr>
          <w:p w14:paraId="774B9596" w14:textId="1ECFB692" w:rsidR="00F46012" w:rsidRPr="004245AE" w:rsidRDefault="00F46012" w:rsidP="00F46012">
            <w:pPr>
              <w:jc w:val="center"/>
              <w:rPr>
                <w:rFonts w:ascii="Times New Roman" w:eastAsia="Times New Roman" w:hAnsi="Times New Roman" w:cs="Times New Roman"/>
                <w:b/>
                <w:bCs/>
                <w:color w:val="000000"/>
                <w:sz w:val="22"/>
                <w:szCs w:val="22"/>
                <w:lang w:eastAsia="es-GT"/>
              </w:rPr>
            </w:pPr>
            <w:r w:rsidRPr="004245AE">
              <w:rPr>
                <w:rFonts w:ascii="Times New Roman" w:eastAsia="Times New Roman" w:hAnsi="Times New Roman" w:cs="Times New Roman"/>
                <w:b/>
                <w:bCs/>
                <w:color w:val="000000"/>
                <w:sz w:val="22"/>
                <w:szCs w:val="22"/>
                <w:lang w:eastAsia="es-GT"/>
              </w:rPr>
              <w:t>2,</w:t>
            </w:r>
            <w:r w:rsidR="008E506F">
              <w:rPr>
                <w:rFonts w:ascii="Times New Roman" w:eastAsia="Times New Roman" w:hAnsi="Times New Roman" w:cs="Times New Roman"/>
                <w:b/>
                <w:bCs/>
                <w:color w:val="000000"/>
                <w:sz w:val="22"/>
                <w:szCs w:val="22"/>
                <w:lang w:eastAsia="es-GT"/>
              </w:rPr>
              <w:t>0</w:t>
            </w:r>
            <w:r w:rsidR="000017C9" w:rsidRPr="004245AE">
              <w:rPr>
                <w:rFonts w:ascii="Times New Roman" w:eastAsia="Times New Roman" w:hAnsi="Times New Roman" w:cs="Times New Roman"/>
                <w:b/>
                <w:bCs/>
                <w:color w:val="000000"/>
                <w:sz w:val="22"/>
                <w:szCs w:val="22"/>
                <w:lang w:eastAsia="es-GT"/>
              </w:rPr>
              <w:t>7</w:t>
            </w:r>
            <w:r w:rsidR="008E506F">
              <w:rPr>
                <w:rFonts w:ascii="Times New Roman" w:eastAsia="Times New Roman" w:hAnsi="Times New Roman" w:cs="Times New Roman"/>
                <w:b/>
                <w:bCs/>
                <w:color w:val="000000"/>
                <w:sz w:val="22"/>
                <w:szCs w:val="22"/>
                <w:lang w:eastAsia="es-GT"/>
              </w:rPr>
              <w:t>0.5</w:t>
            </w:r>
          </w:p>
        </w:tc>
        <w:tc>
          <w:tcPr>
            <w:tcW w:w="1304" w:type="dxa"/>
            <w:tcBorders>
              <w:top w:val="nil"/>
              <w:left w:val="nil"/>
              <w:bottom w:val="single" w:sz="8" w:space="0" w:color="auto"/>
              <w:right w:val="single" w:sz="8" w:space="0" w:color="auto"/>
            </w:tcBorders>
            <w:shd w:val="clear" w:color="000000" w:fill="FFFFFF"/>
            <w:vAlign w:val="center"/>
            <w:hideMark/>
          </w:tcPr>
          <w:p w14:paraId="29B69A0C" w14:textId="77777777" w:rsidR="00F46012" w:rsidRPr="004245AE" w:rsidRDefault="00F46012" w:rsidP="00F46012">
            <w:pPr>
              <w:jc w:val="center"/>
              <w:rPr>
                <w:rFonts w:ascii="Times New Roman" w:eastAsia="Times New Roman" w:hAnsi="Times New Roman" w:cs="Times New Roman"/>
                <w:color w:val="000000"/>
                <w:sz w:val="22"/>
                <w:szCs w:val="22"/>
                <w:lang w:eastAsia="es-GT"/>
              </w:rPr>
            </w:pPr>
            <w:r w:rsidRPr="004245AE">
              <w:rPr>
                <w:rFonts w:ascii="Times New Roman" w:eastAsia="Times New Roman" w:hAnsi="Times New Roman" w:cs="Times New Roman"/>
                <w:color w:val="000000"/>
                <w:sz w:val="22"/>
                <w:szCs w:val="22"/>
                <w:lang w:eastAsia="es-GT"/>
              </w:rPr>
              <w:t>0.3</w:t>
            </w:r>
          </w:p>
        </w:tc>
      </w:tr>
      <w:tr w:rsidR="00F46012" w:rsidRPr="00F46012" w14:paraId="02B2C4DC" w14:textId="77777777" w:rsidTr="004245AE">
        <w:trPr>
          <w:trHeight w:val="271"/>
          <w:jc w:val="center"/>
        </w:trPr>
        <w:tc>
          <w:tcPr>
            <w:tcW w:w="2804" w:type="dxa"/>
            <w:tcBorders>
              <w:top w:val="nil"/>
              <w:left w:val="nil"/>
              <w:bottom w:val="nil"/>
              <w:right w:val="nil"/>
            </w:tcBorders>
            <w:shd w:val="clear" w:color="auto" w:fill="auto"/>
            <w:vAlign w:val="center"/>
            <w:hideMark/>
          </w:tcPr>
          <w:p w14:paraId="10EAFBE9" w14:textId="7B47035A" w:rsidR="00F46012" w:rsidRPr="00F46012" w:rsidRDefault="00F46012" w:rsidP="00F46012">
            <w:pPr>
              <w:rPr>
                <w:rFonts w:ascii="Times New Roman" w:eastAsia="Times New Roman" w:hAnsi="Times New Roman" w:cs="Times New Roman"/>
                <w:b/>
                <w:bCs/>
                <w:sz w:val="14"/>
                <w:szCs w:val="14"/>
                <w:lang w:eastAsia="es-GT"/>
              </w:rPr>
            </w:pPr>
            <w:r w:rsidRPr="00F46012">
              <w:rPr>
                <w:rFonts w:ascii="Times New Roman" w:eastAsia="Times New Roman" w:hAnsi="Times New Roman" w:cs="Times New Roman"/>
                <w:b/>
                <w:bCs/>
                <w:sz w:val="14"/>
                <w:szCs w:val="14"/>
                <w:lang w:eastAsia="es-GT"/>
              </w:rPr>
              <w:t>PIB a precios corrientes (Mill</w:t>
            </w:r>
            <w:r w:rsidR="007D3B6F">
              <w:rPr>
                <w:rFonts w:ascii="Times New Roman" w:eastAsia="Times New Roman" w:hAnsi="Times New Roman" w:cs="Times New Roman"/>
                <w:b/>
                <w:bCs/>
                <w:sz w:val="14"/>
                <w:szCs w:val="14"/>
                <w:lang w:eastAsia="es-GT"/>
              </w:rPr>
              <w:t>.</w:t>
            </w:r>
            <w:r w:rsidRPr="00F46012">
              <w:rPr>
                <w:rFonts w:ascii="Times New Roman" w:eastAsia="Times New Roman" w:hAnsi="Times New Roman" w:cs="Times New Roman"/>
                <w:b/>
                <w:bCs/>
                <w:sz w:val="14"/>
                <w:szCs w:val="14"/>
                <w:lang w:eastAsia="es-GT"/>
              </w:rPr>
              <w:t xml:space="preserve"> de Q.)</w:t>
            </w:r>
          </w:p>
        </w:tc>
        <w:tc>
          <w:tcPr>
            <w:tcW w:w="1304" w:type="dxa"/>
            <w:tcBorders>
              <w:top w:val="nil"/>
              <w:left w:val="nil"/>
              <w:bottom w:val="nil"/>
              <w:right w:val="nil"/>
            </w:tcBorders>
            <w:shd w:val="clear" w:color="auto" w:fill="auto"/>
            <w:noWrap/>
            <w:hideMark/>
          </w:tcPr>
          <w:p w14:paraId="21CEDB82" w14:textId="77777777" w:rsidR="00F46012" w:rsidRPr="00F46012" w:rsidRDefault="00F46012" w:rsidP="00F46012">
            <w:pPr>
              <w:rPr>
                <w:rFonts w:ascii="Times New Roman" w:eastAsia="Times New Roman" w:hAnsi="Times New Roman" w:cs="Times New Roman"/>
                <w:b/>
                <w:bCs/>
                <w:sz w:val="14"/>
                <w:szCs w:val="14"/>
                <w:lang w:eastAsia="es-GT"/>
              </w:rPr>
            </w:pPr>
          </w:p>
        </w:tc>
        <w:tc>
          <w:tcPr>
            <w:tcW w:w="1444" w:type="dxa"/>
            <w:tcBorders>
              <w:top w:val="nil"/>
              <w:left w:val="nil"/>
              <w:bottom w:val="nil"/>
              <w:right w:val="nil"/>
            </w:tcBorders>
            <w:shd w:val="clear" w:color="auto" w:fill="auto"/>
            <w:noWrap/>
            <w:hideMark/>
          </w:tcPr>
          <w:p w14:paraId="17C7D71B" w14:textId="77777777" w:rsidR="00F46012" w:rsidRPr="00F46012" w:rsidRDefault="00F46012" w:rsidP="00F46012">
            <w:pPr>
              <w:rPr>
                <w:rFonts w:ascii="Times New Roman" w:eastAsia="Times New Roman" w:hAnsi="Times New Roman" w:cs="Times New Roman"/>
                <w:sz w:val="20"/>
                <w:szCs w:val="20"/>
                <w:lang w:eastAsia="es-GT"/>
              </w:rPr>
            </w:pPr>
          </w:p>
        </w:tc>
        <w:tc>
          <w:tcPr>
            <w:tcW w:w="1304" w:type="dxa"/>
            <w:tcBorders>
              <w:top w:val="nil"/>
              <w:left w:val="nil"/>
              <w:bottom w:val="nil"/>
              <w:right w:val="nil"/>
            </w:tcBorders>
            <w:shd w:val="clear" w:color="auto" w:fill="auto"/>
            <w:noWrap/>
            <w:hideMark/>
          </w:tcPr>
          <w:p w14:paraId="6893E838" w14:textId="77777777" w:rsidR="00F46012" w:rsidRPr="00F46012" w:rsidRDefault="00F46012" w:rsidP="00F46012">
            <w:pPr>
              <w:rPr>
                <w:rFonts w:ascii="Times New Roman" w:eastAsia="Times New Roman" w:hAnsi="Times New Roman" w:cs="Times New Roman"/>
                <w:sz w:val="20"/>
                <w:szCs w:val="20"/>
                <w:lang w:eastAsia="es-GT"/>
              </w:rPr>
            </w:pPr>
          </w:p>
        </w:tc>
        <w:tc>
          <w:tcPr>
            <w:tcW w:w="1304" w:type="dxa"/>
            <w:tcBorders>
              <w:top w:val="nil"/>
              <w:left w:val="nil"/>
              <w:bottom w:val="nil"/>
              <w:right w:val="nil"/>
            </w:tcBorders>
            <w:shd w:val="clear" w:color="auto" w:fill="auto"/>
            <w:vAlign w:val="center"/>
            <w:hideMark/>
          </w:tcPr>
          <w:p w14:paraId="0D409C24" w14:textId="77777777" w:rsidR="00F46012" w:rsidRPr="00F46012" w:rsidRDefault="00F46012" w:rsidP="00F46012">
            <w:pPr>
              <w:jc w:val="center"/>
              <w:rPr>
                <w:rFonts w:ascii="Times New Roman" w:eastAsia="Times New Roman" w:hAnsi="Times New Roman" w:cs="Times New Roman"/>
                <w:b/>
                <w:bCs/>
                <w:sz w:val="14"/>
                <w:szCs w:val="14"/>
                <w:lang w:eastAsia="es-GT"/>
              </w:rPr>
            </w:pPr>
            <w:r w:rsidRPr="00F46012">
              <w:rPr>
                <w:rFonts w:ascii="Times New Roman" w:eastAsia="Times New Roman" w:hAnsi="Times New Roman" w:cs="Times New Roman"/>
                <w:b/>
                <w:bCs/>
                <w:sz w:val="14"/>
                <w:szCs w:val="14"/>
                <w:lang w:eastAsia="es-GT"/>
              </w:rPr>
              <w:t>799,259.3</w:t>
            </w:r>
          </w:p>
        </w:tc>
      </w:tr>
      <w:tr w:rsidR="00F46012" w:rsidRPr="00F46012" w14:paraId="5598C8FB" w14:textId="77777777" w:rsidTr="004245AE">
        <w:trPr>
          <w:trHeight w:val="192"/>
          <w:jc w:val="center"/>
        </w:trPr>
        <w:tc>
          <w:tcPr>
            <w:tcW w:w="2804" w:type="dxa"/>
            <w:tcBorders>
              <w:top w:val="nil"/>
              <w:left w:val="nil"/>
              <w:bottom w:val="nil"/>
              <w:right w:val="nil"/>
            </w:tcBorders>
            <w:shd w:val="clear" w:color="auto" w:fill="auto"/>
            <w:noWrap/>
            <w:vAlign w:val="center"/>
            <w:hideMark/>
          </w:tcPr>
          <w:p w14:paraId="1F36CCBE" w14:textId="77777777" w:rsidR="00F46012" w:rsidRPr="00F46012" w:rsidRDefault="00F46012" w:rsidP="00F46012">
            <w:pPr>
              <w:rPr>
                <w:rFonts w:ascii="Times New Roman" w:eastAsia="Times New Roman" w:hAnsi="Times New Roman" w:cs="Times New Roman"/>
                <w:b/>
                <w:bCs/>
                <w:sz w:val="14"/>
                <w:szCs w:val="14"/>
                <w:lang w:eastAsia="es-GT"/>
              </w:rPr>
            </w:pPr>
            <w:r w:rsidRPr="00F46012">
              <w:rPr>
                <w:rFonts w:ascii="Times New Roman" w:eastAsia="Times New Roman" w:hAnsi="Times New Roman" w:cs="Times New Roman"/>
                <w:b/>
                <w:bCs/>
                <w:sz w:val="14"/>
                <w:szCs w:val="14"/>
                <w:lang w:eastAsia="es-GT"/>
              </w:rPr>
              <w:t>Egresos totales</w:t>
            </w:r>
          </w:p>
        </w:tc>
        <w:tc>
          <w:tcPr>
            <w:tcW w:w="1304" w:type="dxa"/>
            <w:tcBorders>
              <w:top w:val="nil"/>
              <w:left w:val="nil"/>
              <w:bottom w:val="nil"/>
              <w:right w:val="nil"/>
            </w:tcBorders>
            <w:shd w:val="clear" w:color="auto" w:fill="auto"/>
            <w:vAlign w:val="center"/>
            <w:hideMark/>
          </w:tcPr>
          <w:p w14:paraId="14595DEF" w14:textId="77777777" w:rsidR="00F46012" w:rsidRPr="00F46012" w:rsidRDefault="00F46012" w:rsidP="00F46012">
            <w:pPr>
              <w:jc w:val="center"/>
              <w:rPr>
                <w:rFonts w:ascii="Times New Roman" w:eastAsia="Times New Roman" w:hAnsi="Times New Roman" w:cs="Times New Roman"/>
                <w:b/>
                <w:bCs/>
                <w:sz w:val="14"/>
                <w:szCs w:val="14"/>
                <w:lang w:eastAsia="es-GT"/>
              </w:rPr>
            </w:pPr>
            <w:r w:rsidRPr="00F46012">
              <w:rPr>
                <w:rFonts w:ascii="Times New Roman" w:eastAsia="Times New Roman" w:hAnsi="Times New Roman" w:cs="Times New Roman"/>
                <w:b/>
                <w:bCs/>
                <w:sz w:val="14"/>
                <w:szCs w:val="14"/>
                <w:lang w:eastAsia="es-GT"/>
              </w:rPr>
              <w:t>108,593.1</w:t>
            </w:r>
          </w:p>
        </w:tc>
        <w:tc>
          <w:tcPr>
            <w:tcW w:w="1444" w:type="dxa"/>
            <w:tcBorders>
              <w:top w:val="nil"/>
              <w:left w:val="nil"/>
              <w:bottom w:val="nil"/>
              <w:right w:val="nil"/>
            </w:tcBorders>
            <w:shd w:val="clear" w:color="auto" w:fill="auto"/>
            <w:vAlign w:val="center"/>
            <w:hideMark/>
          </w:tcPr>
          <w:p w14:paraId="43755A30" w14:textId="77777777" w:rsidR="00F46012" w:rsidRPr="00F46012" w:rsidRDefault="00F46012" w:rsidP="00F46012">
            <w:pPr>
              <w:jc w:val="center"/>
              <w:rPr>
                <w:rFonts w:ascii="Times New Roman" w:eastAsia="Times New Roman" w:hAnsi="Times New Roman" w:cs="Times New Roman"/>
                <w:b/>
                <w:bCs/>
                <w:sz w:val="14"/>
                <w:szCs w:val="14"/>
                <w:lang w:eastAsia="es-GT"/>
              </w:rPr>
            </w:pPr>
            <w:r w:rsidRPr="00F46012">
              <w:rPr>
                <w:rFonts w:ascii="Times New Roman" w:eastAsia="Times New Roman" w:hAnsi="Times New Roman" w:cs="Times New Roman"/>
                <w:b/>
                <w:bCs/>
                <w:sz w:val="14"/>
                <w:szCs w:val="14"/>
                <w:lang w:eastAsia="es-GT"/>
              </w:rPr>
              <w:t>118,624.3</w:t>
            </w:r>
          </w:p>
        </w:tc>
        <w:tc>
          <w:tcPr>
            <w:tcW w:w="1304" w:type="dxa"/>
            <w:tcBorders>
              <w:top w:val="nil"/>
              <w:left w:val="nil"/>
              <w:bottom w:val="nil"/>
              <w:right w:val="nil"/>
            </w:tcBorders>
            <w:shd w:val="clear" w:color="auto" w:fill="auto"/>
            <w:vAlign w:val="center"/>
            <w:hideMark/>
          </w:tcPr>
          <w:p w14:paraId="0811BE67" w14:textId="77777777" w:rsidR="00F46012" w:rsidRPr="00F46012" w:rsidRDefault="00F46012" w:rsidP="00F46012">
            <w:pPr>
              <w:jc w:val="center"/>
              <w:rPr>
                <w:rFonts w:ascii="Times New Roman" w:eastAsia="Times New Roman" w:hAnsi="Times New Roman" w:cs="Times New Roman"/>
                <w:b/>
                <w:bCs/>
                <w:sz w:val="14"/>
                <w:szCs w:val="14"/>
                <w:lang w:eastAsia="es-GT"/>
              </w:rPr>
            </w:pPr>
            <w:r w:rsidRPr="00F46012">
              <w:rPr>
                <w:rFonts w:ascii="Times New Roman" w:eastAsia="Times New Roman" w:hAnsi="Times New Roman" w:cs="Times New Roman"/>
                <w:b/>
                <w:bCs/>
                <w:sz w:val="14"/>
                <w:szCs w:val="14"/>
                <w:lang w:eastAsia="es-GT"/>
              </w:rPr>
              <w:t>115,032.0</w:t>
            </w:r>
          </w:p>
        </w:tc>
        <w:tc>
          <w:tcPr>
            <w:tcW w:w="1304" w:type="dxa"/>
            <w:tcBorders>
              <w:top w:val="nil"/>
              <w:left w:val="nil"/>
              <w:bottom w:val="nil"/>
              <w:right w:val="nil"/>
            </w:tcBorders>
            <w:shd w:val="clear" w:color="auto" w:fill="auto"/>
            <w:noWrap/>
            <w:vAlign w:val="center"/>
            <w:hideMark/>
          </w:tcPr>
          <w:p w14:paraId="2BC23C87" w14:textId="77777777" w:rsidR="00F46012" w:rsidRPr="00F46012" w:rsidRDefault="00F46012" w:rsidP="00F46012">
            <w:pPr>
              <w:jc w:val="center"/>
              <w:rPr>
                <w:rFonts w:ascii="Times New Roman" w:eastAsia="Times New Roman" w:hAnsi="Times New Roman" w:cs="Times New Roman"/>
                <w:b/>
                <w:bCs/>
                <w:sz w:val="14"/>
                <w:szCs w:val="14"/>
                <w:lang w:eastAsia="es-GT"/>
              </w:rPr>
            </w:pPr>
            <w:r w:rsidRPr="00F46012">
              <w:rPr>
                <w:rFonts w:ascii="Times New Roman" w:eastAsia="Times New Roman" w:hAnsi="Times New Roman" w:cs="Times New Roman"/>
                <w:b/>
                <w:bCs/>
                <w:sz w:val="14"/>
                <w:szCs w:val="14"/>
                <w:lang w:eastAsia="es-GT"/>
              </w:rPr>
              <w:t>14.4</w:t>
            </w:r>
          </w:p>
        </w:tc>
      </w:tr>
    </w:tbl>
    <w:p w14:paraId="3B79D493" w14:textId="05DDCC3E" w:rsidR="0039645E" w:rsidRPr="004A66F0" w:rsidRDefault="002C0B5C" w:rsidP="0039645E">
      <w:pPr>
        <w:spacing w:line="259" w:lineRule="auto"/>
        <w:rPr>
          <w:rFonts w:ascii="Times New Roman" w:eastAsia="Times New Roman" w:hAnsi="Times New Roman" w:cs="Times New Roman"/>
          <w:sz w:val="18"/>
        </w:rPr>
      </w:pPr>
      <w:r>
        <w:rPr>
          <w:rFonts w:ascii="Times New Roman" w:eastAsia="Times New Roman" w:hAnsi="Times New Roman" w:cs="Times New Roman"/>
          <w:sz w:val="18"/>
        </w:rPr>
        <w:t xml:space="preserve">        </w:t>
      </w:r>
      <w:r w:rsidR="0039645E" w:rsidRPr="004A66F0">
        <w:rPr>
          <w:rFonts w:ascii="Times New Roman" w:eastAsia="Times New Roman" w:hAnsi="Times New Roman" w:cs="Times New Roman"/>
          <w:sz w:val="18"/>
        </w:rPr>
        <w:t>Fuente: Dirección de Análisis y Política Fiscal.</w:t>
      </w:r>
    </w:p>
    <w:p w14:paraId="4BDCDD26" w14:textId="77777777" w:rsidR="0039645E" w:rsidRPr="004A66F0" w:rsidRDefault="0039645E" w:rsidP="0039645E">
      <w:pPr>
        <w:jc w:val="both"/>
        <w:rPr>
          <w:rFonts w:ascii="Times New Roman" w:eastAsia="Times New Roman" w:hAnsi="Times New Roman" w:cs="Calibri"/>
          <w:sz w:val="22"/>
          <w:szCs w:val="22"/>
        </w:rPr>
      </w:pPr>
    </w:p>
    <w:p w14:paraId="3510A45D" w14:textId="0C10A67A" w:rsidR="0039645E" w:rsidRDefault="0039645E" w:rsidP="0039645E">
      <w:pPr>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 xml:space="preserve">El financiamiento del déficit fiscal recayó en </w:t>
      </w:r>
      <w:r w:rsidR="00790233">
        <w:rPr>
          <w:rFonts w:ascii="Times New Roman" w:eastAsia="Times New Roman" w:hAnsi="Times New Roman" w:cs="Calibri"/>
          <w:sz w:val="22"/>
          <w:szCs w:val="22"/>
        </w:rPr>
        <w:t xml:space="preserve">los dos Eurobonos colocados en el mercado internacional </w:t>
      </w:r>
      <w:r w:rsidRPr="004A66F0">
        <w:rPr>
          <w:rFonts w:ascii="Times New Roman" w:eastAsia="Times New Roman" w:hAnsi="Times New Roman" w:cs="Calibri"/>
          <w:sz w:val="22"/>
          <w:szCs w:val="22"/>
        </w:rPr>
        <w:t>para el ejercicio fiscal 202</w:t>
      </w:r>
      <w:r w:rsidR="00790233">
        <w:rPr>
          <w:rFonts w:ascii="Times New Roman" w:eastAsia="Times New Roman" w:hAnsi="Times New Roman" w:cs="Calibri"/>
          <w:sz w:val="22"/>
          <w:szCs w:val="22"/>
        </w:rPr>
        <w:t>3</w:t>
      </w:r>
      <w:r w:rsidRPr="004A66F0">
        <w:rPr>
          <w:rFonts w:ascii="Times New Roman" w:eastAsia="Times New Roman" w:hAnsi="Times New Roman" w:cs="Calibri"/>
          <w:sz w:val="22"/>
          <w:szCs w:val="22"/>
        </w:rPr>
        <w:t xml:space="preserve">, </w:t>
      </w:r>
      <w:r w:rsidR="00790233">
        <w:rPr>
          <w:rFonts w:ascii="Times New Roman" w:eastAsia="Times New Roman" w:hAnsi="Times New Roman" w:cs="Calibri"/>
          <w:sz w:val="22"/>
          <w:szCs w:val="22"/>
        </w:rPr>
        <w:t xml:space="preserve">siendo inusual dado que en años anteriores </w:t>
      </w:r>
      <w:r w:rsidR="00A91B3E">
        <w:rPr>
          <w:rFonts w:ascii="Times New Roman" w:eastAsia="Times New Roman" w:hAnsi="Times New Roman" w:cs="Calibri"/>
          <w:sz w:val="22"/>
          <w:szCs w:val="22"/>
        </w:rPr>
        <w:t xml:space="preserve">es la negociación de bonos en el mercado interno la que cubre en mayor medida el déficit del ejercicio. </w:t>
      </w:r>
    </w:p>
    <w:p w14:paraId="75CF4034" w14:textId="77777777" w:rsidR="00A91B3E" w:rsidRPr="004A66F0" w:rsidRDefault="00A91B3E" w:rsidP="0039645E">
      <w:pPr>
        <w:jc w:val="both"/>
        <w:rPr>
          <w:rFonts w:ascii="Times New Roman" w:eastAsia="Times New Roman" w:hAnsi="Times New Roman" w:cs="Calibri"/>
          <w:sz w:val="22"/>
          <w:szCs w:val="22"/>
        </w:rPr>
      </w:pPr>
    </w:p>
    <w:p w14:paraId="5CF35C2E" w14:textId="18A4F71D" w:rsidR="00526A86" w:rsidRDefault="00526A86" w:rsidP="00526A86">
      <w:pPr>
        <w:jc w:val="both"/>
        <w:rPr>
          <w:rFonts w:ascii="Times New Roman" w:eastAsia="Times New Roman" w:hAnsi="Times New Roman" w:cs="Calibri"/>
          <w:sz w:val="22"/>
          <w:szCs w:val="22"/>
        </w:rPr>
      </w:pPr>
      <w:r w:rsidRPr="00494C1A">
        <w:rPr>
          <w:rFonts w:ascii="Times New Roman" w:eastAsia="Times New Roman" w:hAnsi="Times New Roman" w:cs="Calibri"/>
          <w:sz w:val="22"/>
          <w:szCs w:val="22"/>
        </w:rPr>
        <w:t>E</w:t>
      </w:r>
      <w:r>
        <w:rPr>
          <w:rFonts w:ascii="Times New Roman" w:eastAsia="Times New Roman" w:hAnsi="Times New Roman" w:cs="Calibri"/>
          <w:sz w:val="22"/>
          <w:szCs w:val="22"/>
        </w:rPr>
        <w:t xml:space="preserve">n </w:t>
      </w:r>
      <w:r w:rsidRPr="00494C1A">
        <w:rPr>
          <w:rFonts w:ascii="Times New Roman" w:eastAsia="Times New Roman" w:hAnsi="Times New Roman" w:cs="Calibri"/>
          <w:sz w:val="22"/>
          <w:szCs w:val="22"/>
        </w:rPr>
        <w:t>junio</w:t>
      </w:r>
      <w:r>
        <w:rPr>
          <w:rFonts w:ascii="Times New Roman" w:eastAsia="Times New Roman" w:hAnsi="Times New Roman" w:cs="Calibri"/>
          <w:sz w:val="22"/>
          <w:szCs w:val="22"/>
        </w:rPr>
        <w:t xml:space="preserve"> se realizó la primera colocación de Eurobono</w:t>
      </w:r>
      <w:r w:rsidRPr="00494C1A">
        <w:rPr>
          <w:rFonts w:ascii="Times New Roman" w:eastAsia="Times New Roman" w:hAnsi="Times New Roman" w:cs="Calibri"/>
          <w:sz w:val="22"/>
          <w:szCs w:val="22"/>
        </w:rPr>
        <w:t xml:space="preserve">, se </w:t>
      </w:r>
      <w:r w:rsidR="00A80D3F">
        <w:rPr>
          <w:rFonts w:ascii="Times New Roman" w:eastAsia="Times New Roman" w:hAnsi="Times New Roman" w:cs="Calibri"/>
          <w:sz w:val="22"/>
          <w:szCs w:val="22"/>
        </w:rPr>
        <w:t>adjudicó</w:t>
      </w:r>
      <w:r w:rsidRPr="00494C1A">
        <w:rPr>
          <w:rFonts w:ascii="Times New Roman" w:eastAsia="Times New Roman" w:hAnsi="Times New Roman" w:cs="Calibri"/>
          <w:sz w:val="22"/>
          <w:szCs w:val="22"/>
        </w:rPr>
        <w:t xml:space="preserve"> una colocación de US$1,000 millones (Q7,833.2 millones). Esta emisión </w:t>
      </w:r>
      <w:r w:rsidR="00D56D5A">
        <w:rPr>
          <w:rFonts w:ascii="Times New Roman" w:eastAsia="Times New Roman" w:hAnsi="Times New Roman" w:cs="Calibri"/>
          <w:sz w:val="22"/>
          <w:szCs w:val="22"/>
        </w:rPr>
        <w:t>tuvo un plazo</w:t>
      </w:r>
      <w:r w:rsidRPr="00494C1A">
        <w:rPr>
          <w:rFonts w:ascii="Times New Roman" w:eastAsia="Times New Roman" w:hAnsi="Times New Roman" w:cs="Calibri"/>
          <w:sz w:val="22"/>
          <w:szCs w:val="22"/>
        </w:rPr>
        <w:t xml:space="preserve"> medi</w:t>
      </w:r>
      <w:r w:rsidR="00D56D5A">
        <w:rPr>
          <w:rFonts w:ascii="Times New Roman" w:eastAsia="Times New Roman" w:hAnsi="Times New Roman" w:cs="Calibri"/>
          <w:sz w:val="22"/>
          <w:szCs w:val="22"/>
        </w:rPr>
        <w:t>o</w:t>
      </w:r>
      <w:r w:rsidRPr="00494C1A">
        <w:rPr>
          <w:rFonts w:ascii="Times New Roman" w:eastAsia="Times New Roman" w:hAnsi="Times New Roman" w:cs="Calibri"/>
          <w:sz w:val="22"/>
          <w:szCs w:val="22"/>
        </w:rPr>
        <w:t xml:space="preserve"> de 12 años (con vencimiento en el 2036) y una tasa de cupón de 6.60%, en condiciones que se consideraron favorables para el país</w:t>
      </w:r>
      <w:r>
        <w:rPr>
          <w:rFonts w:ascii="Times New Roman" w:eastAsia="Times New Roman" w:hAnsi="Times New Roman" w:cs="Calibri"/>
          <w:sz w:val="22"/>
          <w:szCs w:val="22"/>
        </w:rPr>
        <w:t xml:space="preserve"> a pesar del contexto internacional de subidas en las tasas de interés</w:t>
      </w:r>
      <w:r w:rsidR="00886DD2">
        <w:rPr>
          <w:rFonts w:ascii="Times New Roman" w:eastAsia="Times New Roman" w:hAnsi="Times New Roman" w:cs="Calibri"/>
          <w:sz w:val="22"/>
          <w:szCs w:val="22"/>
        </w:rPr>
        <w:t>.</w:t>
      </w:r>
      <w:r>
        <w:rPr>
          <w:rFonts w:ascii="Times New Roman" w:eastAsia="Times New Roman" w:hAnsi="Times New Roman" w:cs="Calibri"/>
          <w:sz w:val="22"/>
          <w:szCs w:val="22"/>
        </w:rPr>
        <w:t xml:space="preserve"> </w:t>
      </w:r>
    </w:p>
    <w:p w14:paraId="7F242E98" w14:textId="77777777" w:rsidR="00526A86" w:rsidRDefault="00526A86" w:rsidP="00526A86">
      <w:pPr>
        <w:jc w:val="both"/>
        <w:rPr>
          <w:rFonts w:ascii="Times New Roman" w:eastAsia="Times New Roman" w:hAnsi="Times New Roman" w:cs="Calibri"/>
          <w:sz w:val="22"/>
          <w:szCs w:val="22"/>
        </w:rPr>
      </w:pPr>
    </w:p>
    <w:p w14:paraId="7370234D" w14:textId="5A3C883E" w:rsidR="00526A86" w:rsidRDefault="00526A86" w:rsidP="00526A86">
      <w:pPr>
        <w:jc w:val="both"/>
        <w:rPr>
          <w:rFonts w:ascii="Times New Roman" w:eastAsia="Times New Roman" w:hAnsi="Times New Roman" w:cs="Calibri"/>
          <w:sz w:val="22"/>
          <w:szCs w:val="22"/>
        </w:rPr>
      </w:pPr>
      <w:r w:rsidRPr="00494C1A">
        <w:rPr>
          <w:rFonts w:ascii="Times New Roman" w:eastAsia="Times New Roman" w:hAnsi="Times New Roman" w:cs="Calibri"/>
          <w:sz w:val="22"/>
          <w:szCs w:val="22"/>
        </w:rPr>
        <w:t>A finales de septiembre se realizó una segunda colocación de Eurobonos en el mercado internacional por un monto de US$565.0 millones, cuyos recursos fueron liquidados en octubre, de esa cuenta se recibieron Q4,435.7 millones.</w:t>
      </w:r>
      <w:r>
        <w:rPr>
          <w:rFonts w:ascii="Times New Roman" w:eastAsia="Times New Roman" w:hAnsi="Times New Roman" w:cs="Calibri"/>
          <w:sz w:val="22"/>
          <w:szCs w:val="22"/>
        </w:rPr>
        <w:t xml:space="preserve"> </w:t>
      </w:r>
      <w:r w:rsidRPr="00494C1A">
        <w:rPr>
          <w:rFonts w:ascii="Times New Roman" w:eastAsia="Times New Roman" w:hAnsi="Times New Roman" w:cs="Calibri"/>
          <w:sz w:val="22"/>
          <w:szCs w:val="22"/>
        </w:rPr>
        <w:t>Dicha colocación se realizó a un plazo equivalente a 9 años, con una tasa cupón de 7.05%, condiciones que se obtuvieron a pesar del escenario externo que se considera</w:t>
      </w:r>
      <w:r>
        <w:rPr>
          <w:rFonts w:ascii="Times New Roman" w:eastAsia="Times New Roman" w:hAnsi="Times New Roman" w:cs="Calibri"/>
          <w:sz w:val="22"/>
          <w:szCs w:val="22"/>
        </w:rPr>
        <w:t>ba</w:t>
      </w:r>
      <w:r w:rsidRPr="00494C1A">
        <w:rPr>
          <w:rFonts w:ascii="Times New Roman" w:eastAsia="Times New Roman" w:hAnsi="Times New Roman" w:cs="Calibri"/>
          <w:sz w:val="22"/>
          <w:szCs w:val="22"/>
        </w:rPr>
        <w:t xml:space="preserve"> adverso</w:t>
      </w:r>
      <w:r>
        <w:rPr>
          <w:rFonts w:ascii="Times New Roman" w:eastAsia="Times New Roman" w:hAnsi="Times New Roman" w:cs="Calibri"/>
          <w:sz w:val="22"/>
          <w:szCs w:val="22"/>
        </w:rPr>
        <w:t xml:space="preserve"> a dicha fecha</w:t>
      </w:r>
      <w:r w:rsidRPr="00494C1A">
        <w:rPr>
          <w:rFonts w:ascii="Times New Roman" w:eastAsia="Times New Roman" w:hAnsi="Times New Roman" w:cs="Calibri"/>
          <w:sz w:val="22"/>
          <w:szCs w:val="22"/>
        </w:rPr>
        <w:t xml:space="preserve">, </w:t>
      </w:r>
      <w:r w:rsidR="00CF1D6E">
        <w:rPr>
          <w:rFonts w:ascii="Times New Roman" w:eastAsia="Times New Roman" w:hAnsi="Times New Roman" w:cs="Calibri"/>
          <w:sz w:val="22"/>
          <w:szCs w:val="22"/>
        </w:rPr>
        <w:t>dicho escenario</w:t>
      </w:r>
      <w:r>
        <w:rPr>
          <w:rFonts w:ascii="Times New Roman" w:eastAsia="Times New Roman" w:hAnsi="Times New Roman" w:cs="Calibri"/>
          <w:sz w:val="22"/>
          <w:szCs w:val="22"/>
        </w:rPr>
        <w:t xml:space="preserve"> que</w:t>
      </w:r>
      <w:r w:rsidRPr="00494C1A">
        <w:rPr>
          <w:rFonts w:ascii="Times New Roman" w:eastAsia="Times New Roman" w:hAnsi="Times New Roman" w:cs="Calibri"/>
          <w:sz w:val="22"/>
          <w:szCs w:val="22"/>
        </w:rPr>
        <w:t xml:space="preserve"> se caracteriz</w:t>
      </w:r>
      <w:r>
        <w:rPr>
          <w:rFonts w:ascii="Times New Roman" w:eastAsia="Times New Roman" w:hAnsi="Times New Roman" w:cs="Calibri"/>
          <w:sz w:val="22"/>
          <w:szCs w:val="22"/>
        </w:rPr>
        <w:t>ó</w:t>
      </w:r>
      <w:r w:rsidRPr="00494C1A">
        <w:rPr>
          <w:rFonts w:ascii="Times New Roman" w:eastAsia="Times New Roman" w:hAnsi="Times New Roman" w:cs="Calibri"/>
          <w:sz w:val="22"/>
          <w:szCs w:val="22"/>
        </w:rPr>
        <w:t xml:space="preserve"> durante todo el año por el alza de tasas de interés, como mecanismo para contrarrestar las presiones inflacionarias.</w:t>
      </w:r>
    </w:p>
    <w:p w14:paraId="374B406D" w14:textId="77777777" w:rsidR="00526A86" w:rsidRDefault="00526A86" w:rsidP="0039645E">
      <w:pPr>
        <w:jc w:val="both"/>
        <w:rPr>
          <w:rFonts w:ascii="Times New Roman" w:eastAsia="Times New Roman" w:hAnsi="Times New Roman" w:cs="Calibri"/>
          <w:sz w:val="22"/>
          <w:szCs w:val="22"/>
        </w:rPr>
      </w:pPr>
    </w:p>
    <w:p w14:paraId="0F9819AF" w14:textId="1FA1DC6A" w:rsidR="00E83911" w:rsidRDefault="0039645E" w:rsidP="0039645E">
      <w:pPr>
        <w:jc w:val="both"/>
        <w:rPr>
          <w:rFonts w:ascii="Times New Roman" w:eastAsia="Times New Roman" w:hAnsi="Times New Roman" w:cs="Calibri"/>
          <w:sz w:val="22"/>
          <w:szCs w:val="22"/>
        </w:rPr>
      </w:pPr>
      <w:r w:rsidRPr="004A66F0">
        <w:rPr>
          <w:rFonts w:ascii="Times New Roman" w:eastAsia="Times New Roman" w:hAnsi="Times New Roman" w:cs="Calibri"/>
          <w:sz w:val="22"/>
          <w:szCs w:val="22"/>
        </w:rPr>
        <w:t>Respecto a las colocaciones internas</w:t>
      </w:r>
      <w:r w:rsidR="00A91B3E">
        <w:rPr>
          <w:rFonts w:ascii="Times New Roman" w:eastAsia="Times New Roman" w:hAnsi="Times New Roman" w:cs="Calibri"/>
          <w:sz w:val="22"/>
          <w:szCs w:val="22"/>
        </w:rPr>
        <w:t xml:space="preserve"> netas, estas fueron negativas en Q2,486.3 millones, dado que las amortizaciones (Q3,432.3 millones) superaron las colocaciones (Q946.0 millones), </w:t>
      </w:r>
      <w:r w:rsidRPr="004A66F0">
        <w:rPr>
          <w:rFonts w:ascii="Times New Roman" w:eastAsia="Times New Roman" w:hAnsi="Times New Roman" w:cs="Calibri"/>
          <w:sz w:val="22"/>
          <w:szCs w:val="22"/>
        </w:rPr>
        <w:t>es importante indicar que se dejaron sin colocar Q</w:t>
      </w:r>
      <w:r w:rsidR="0016531A">
        <w:rPr>
          <w:rFonts w:ascii="Times New Roman" w:eastAsia="Times New Roman" w:hAnsi="Times New Roman" w:cs="Calibri"/>
          <w:sz w:val="22"/>
          <w:szCs w:val="22"/>
        </w:rPr>
        <w:t>2</w:t>
      </w:r>
      <w:r w:rsidRPr="004A66F0">
        <w:rPr>
          <w:rFonts w:ascii="Times New Roman" w:eastAsia="Times New Roman" w:hAnsi="Times New Roman" w:cs="Calibri"/>
          <w:sz w:val="22"/>
          <w:szCs w:val="22"/>
        </w:rPr>
        <w:t>,9</w:t>
      </w:r>
      <w:r w:rsidR="0016531A">
        <w:rPr>
          <w:rFonts w:ascii="Times New Roman" w:eastAsia="Times New Roman" w:hAnsi="Times New Roman" w:cs="Calibri"/>
          <w:sz w:val="22"/>
          <w:szCs w:val="22"/>
        </w:rPr>
        <w:t>92</w:t>
      </w:r>
      <w:r w:rsidRPr="004A66F0">
        <w:rPr>
          <w:rFonts w:ascii="Times New Roman" w:eastAsia="Times New Roman" w:hAnsi="Times New Roman" w:cs="Calibri"/>
          <w:sz w:val="22"/>
          <w:szCs w:val="22"/>
        </w:rPr>
        <w:t>.</w:t>
      </w:r>
      <w:r w:rsidR="0016531A">
        <w:rPr>
          <w:rFonts w:ascii="Times New Roman" w:eastAsia="Times New Roman" w:hAnsi="Times New Roman" w:cs="Calibri"/>
          <w:sz w:val="22"/>
          <w:szCs w:val="22"/>
        </w:rPr>
        <w:t>6</w:t>
      </w:r>
      <w:r w:rsidRPr="004A66F0">
        <w:rPr>
          <w:rFonts w:ascii="Times New Roman" w:eastAsia="Times New Roman" w:hAnsi="Times New Roman" w:cs="Calibri"/>
          <w:sz w:val="22"/>
          <w:szCs w:val="22"/>
        </w:rPr>
        <w:t xml:space="preserve"> millones, que corresponden al </w:t>
      </w:r>
      <w:r w:rsidR="0016531A">
        <w:rPr>
          <w:rFonts w:ascii="Times New Roman" w:eastAsia="Times New Roman" w:hAnsi="Times New Roman" w:cs="Calibri"/>
          <w:sz w:val="22"/>
          <w:szCs w:val="22"/>
        </w:rPr>
        <w:t>1</w:t>
      </w:r>
      <w:r w:rsidRPr="004A66F0">
        <w:rPr>
          <w:rFonts w:ascii="Times New Roman" w:eastAsia="Times New Roman" w:hAnsi="Times New Roman" w:cs="Calibri"/>
          <w:sz w:val="22"/>
          <w:szCs w:val="22"/>
        </w:rPr>
        <w:t>8.</w:t>
      </w:r>
      <w:r w:rsidR="0016531A">
        <w:rPr>
          <w:rFonts w:ascii="Times New Roman" w:eastAsia="Times New Roman" w:hAnsi="Times New Roman" w:cs="Calibri"/>
          <w:sz w:val="22"/>
          <w:szCs w:val="22"/>
        </w:rPr>
        <w:t>5</w:t>
      </w:r>
      <w:r w:rsidRPr="004A66F0">
        <w:rPr>
          <w:rFonts w:ascii="Times New Roman" w:eastAsia="Times New Roman" w:hAnsi="Times New Roman" w:cs="Calibri"/>
          <w:sz w:val="22"/>
          <w:szCs w:val="22"/>
        </w:rPr>
        <w:t xml:space="preserve">% de la disponibilidad </w:t>
      </w:r>
      <w:r w:rsidR="00F85CAE">
        <w:rPr>
          <w:rFonts w:ascii="Times New Roman" w:eastAsia="Times New Roman" w:hAnsi="Times New Roman" w:cs="Calibri"/>
          <w:sz w:val="22"/>
          <w:szCs w:val="22"/>
        </w:rPr>
        <w:t xml:space="preserve">bruta </w:t>
      </w:r>
      <w:r w:rsidRPr="004A66F0">
        <w:rPr>
          <w:rFonts w:ascii="Times New Roman" w:eastAsia="Times New Roman" w:hAnsi="Times New Roman" w:cs="Calibri"/>
          <w:sz w:val="22"/>
          <w:szCs w:val="22"/>
        </w:rPr>
        <w:t xml:space="preserve">aprobada mediante el Decreto </w:t>
      </w:r>
      <w:r w:rsidR="00A72256">
        <w:rPr>
          <w:rFonts w:ascii="Times New Roman" w:eastAsia="Times New Roman" w:hAnsi="Times New Roman" w:cs="Calibri"/>
          <w:sz w:val="22"/>
          <w:szCs w:val="22"/>
        </w:rPr>
        <w:t>N</w:t>
      </w:r>
      <w:r w:rsidR="00A72256" w:rsidRPr="004A66F0">
        <w:rPr>
          <w:rFonts w:ascii="Times New Roman" w:eastAsia="Times New Roman" w:hAnsi="Times New Roman" w:cs="Calibri"/>
          <w:sz w:val="22"/>
          <w:szCs w:val="22"/>
        </w:rPr>
        <w:t xml:space="preserve">úmero </w:t>
      </w:r>
      <w:r w:rsidR="0016531A">
        <w:rPr>
          <w:rFonts w:ascii="Times New Roman" w:eastAsia="Times New Roman" w:hAnsi="Times New Roman" w:cs="Calibri"/>
          <w:sz w:val="22"/>
          <w:szCs w:val="22"/>
        </w:rPr>
        <w:t>54</w:t>
      </w:r>
      <w:r w:rsidRPr="004A66F0">
        <w:rPr>
          <w:rFonts w:ascii="Times New Roman" w:eastAsia="Times New Roman" w:hAnsi="Times New Roman" w:cs="Calibri"/>
          <w:sz w:val="22"/>
          <w:szCs w:val="22"/>
        </w:rPr>
        <w:t>-20</w:t>
      </w:r>
      <w:r w:rsidR="0016531A">
        <w:rPr>
          <w:rFonts w:ascii="Times New Roman" w:eastAsia="Times New Roman" w:hAnsi="Times New Roman" w:cs="Calibri"/>
          <w:sz w:val="22"/>
          <w:szCs w:val="22"/>
        </w:rPr>
        <w:t>22</w:t>
      </w:r>
      <w:r w:rsidRPr="004A66F0">
        <w:rPr>
          <w:rFonts w:ascii="Times New Roman" w:eastAsia="Times New Roman" w:hAnsi="Times New Roman" w:cs="Calibri"/>
          <w:sz w:val="22"/>
          <w:szCs w:val="22"/>
        </w:rPr>
        <w:t xml:space="preserve"> Ley de Presupuesto de Ingresos y Egresos del Estado para el 202</w:t>
      </w:r>
      <w:r w:rsidR="0016531A">
        <w:rPr>
          <w:rFonts w:ascii="Times New Roman" w:eastAsia="Times New Roman" w:hAnsi="Times New Roman" w:cs="Calibri"/>
          <w:sz w:val="22"/>
          <w:szCs w:val="22"/>
        </w:rPr>
        <w:t>3</w:t>
      </w:r>
      <w:r w:rsidRPr="004A66F0">
        <w:rPr>
          <w:rFonts w:ascii="Times New Roman" w:eastAsia="Times New Roman" w:hAnsi="Times New Roman" w:cs="Calibri"/>
          <w:sz w:val="22"/>
          <w:szCs w:val="22"/>
        </w:rPr>
        <w:t xml:space="preserve">. Siendo el </w:t>
      </w:r>
      <w:r w:rsidR="00E83911">
        <w:rPr>
          <w:rFonts w:ascii="Times New Roman" w:eastAsia="Times New Roman" w:hAnsi="Times New Roman" w:cs="Calibri"/>
          <w:sz w:val="22"/>
          <w:szCs w:val="22"/>
        </w:rPr>
        <w:t xml:space="preserve">segundo </w:t>
      </w:r>
      <w:r w:rsidRPr="004A66F0">
        <w:rPr>
          <w:rFonts w:ascii="Times New Roman" w:eastAsia="Times New Roman" w:hAnsi="Times New Roman" w:cs="Calibri"/>
          <w:sz w:val="22"/>
          <w:szCs w:val="22"/>
        </w:rPr>
        <w:t>año</w:t>
      </w:r>
      <w:r w:rsidR="00E83911">
        <w:rPr>
          <w:rFonts w:ascii="Times New Roman" w:eastAsia="Times New Roman" w:hAnsi="Times New Roman" w:cs="Calibri"/>
          <w:sz w:val="22"/>
          <w:szCs w:val="22"/>
        </w:rPr>
        <w:t xml:space="preserve"> consecutivo</w:t>
      </w:r>
      <w:r w:rsidRPr="004A66F0">
        <w:rPr>
          <w:rFonts w:ascii="Times New Roman" w:eastAsia="Times New Roman" w:hAnsi="Times New Roman" w:cs="Calibri"/>
          <w:sz w:val="22"/>
          <w:szCs w:val="22"/>
        </w:rPr>
        <w:t xml:space="preserve"> en que no se recoloc</w:t>
      </w:r>
      <w:r w:rsidR="00E83911">
        <w:rPr>
          <w:rFonts w:ascii="Times New Roman" w:eastAsia="Times New Roman" w:hAnsi="Times New Roman" w:cs="Calibri"/>
          <w:sz w:val="22"/>
          <w:szCs w:val="22"/>
        </w:rPr>
        <w:t>a</w:t>
      </w:r>
      <w:r w:rsidR="001B08F8">
        <w:rPr>
          <w:rFonts w:ascii="Times New Roman" w:eastAsia="Times New Roman" w:hAnsi="Times New Roman" w:cs="Calibri"/>
          <w:sz w:val="22"/>
          <w:szCs w:val="22"/>
        </w:rPr>
        <w:t xml:space="preserve"> un componente importante de los vencimientos en dicho año</w:t>
      </w:r>
      <w:r w:rsidR="00B04142">
        <w:rPr>
          <w:rFonts w:ascii="Times New Roman" w:eastAsia="Times New Roman" w:hAnsi="Times New Roman" w:cs="Calibri"/>
          <w:sz w:val="22"/>
          <w:szCs w:val="22"/>
        </w:rPr>
        <w:t xml:space="preserve">, </w:t>
      </w:r>
      <w:r w:rsidR="00E83911">
        <w:rPr>
          <w:rFonts w:ascii="Times New Roman" w:eastAsia="Times New Roman" w:hAnsi="Times New Roman" w:cs="Calibri"/>
          <w:sz w:val="22"/>
          <w:szCs w:val="22"/>
        </w:rPr>
        <w:t xml:space="preserve">permitiendo que el nivel de deuda pública respecto al PIB descendiera hasta ubicarse en un nivel de </w:t>
      </w:r>
      <w:r w:rsidR="00E83911" w:rsidRPr="00D37599">
        <w:rPr>
          <w:rFonts w:ascii="Times New Roman" w:eastAsia="Times New Roman" w:hAnsi="Times New Roman" w:cs="Calibri"/>
          <w:sz w:val="22"/>
          <w:szCs w:val="22"/>
        </w:rPr>
        <w:t>27.</w:t>
      </w:r>
      <w:r w:rsidR="00526A86" w:rsidRPr="00D37599">
        <w:rPr>
          <w:rFonts w:ascii="Times New Roman" w:eastAsia="Times New Roman" w:hAnsi="Times New Roman" w:cs="Calibri"/>
          <w:sz w:val="22"/>
          <w:szCs w:val="22"/>
        </w:rPr>
        <w:t>8</w:t>
      </w:r>
      <w:r w:rsidR="00E83911" w:rsidRPr="00D37599">
        <w:rPr>
          <w:rFonts w:ascii="Times New Roman" w:eastAsia="Times New Roman" w:hAnsi="Times New Roman" w:cs="Calibri"/>
          <w:sz w:val="22"/>
          <w:szCs w:val="22"/>
        </w:rPr>
        <w:t>%, el</w:t>
      </w:r>
      <w:r w:rsidR="00E83911">
        <w:rPr>
          <w:rFonts w:ascii="Times New Roman" w:eastAsia="Times New Roman" w:hAnsi="Times New Roman" w:cs="Calibri"/>
          <w:sz w:val="22"/>
          <w:szCs w:val="22"/>
        </w:rPr>
        <w:t xml:space="preserve"> nivel más bajo desde 2020. Adicionalmente, </w:t>
      </w:r>
      <w:r w:rsidR="00E83911">
        <w:rPr>
          <w:rFonts w:ascii="Times New Roman" w:eastAsia="Times New Roman" w:hAnsi="Times New Roman" w:cs="Calibri"/>
          <w:sz w:val="22"/>
          <w:szCs w:val="22"/>
        </w:rPr>
        <w:lastRenderedPageBreak/>
        <w:t xml:space="preserve">la variación positiva de caja y bancos de años anteriores, permitió que existiera disponibilidad de recursos y se hiciera uso de esos saldos por </w:t>
      </w:r>
      <w:r w:rsidR="007F74E7">
        <w:rPr>
          <w:rFonts w:ascii="Times New Roman" w:eastAsia="Times New Roman" w:hAnsi="Times New Roman" w:cs="Calibri"/>
          <w:sz w:val="22"/>
          <w:szCs w:val="22"/>
        </w:rPr>
        <w:t>el</w:t>
      </w:r>
      <w:r w:rsidR="00E83911">
        <w:rPr>
          <w:rFonts w:ascii="Times New Roman" w:eastAsia="Times New Roman" w:hAnsi="Times New Roman" w:cs="Calibri"/>
          <w:sz w:val="22"/>
          <w:szCs w:val="22"/>
        </w:rPr>
        <w:t xml:space="preserve"> monto de Q2,</w:t>
      </w:r>
      <w:r w:rsidR="00ED0EE4">
        <w:rPr>
          <w:rFonts w:ascii="Times New Roman" w:eastAsia="Times New Roman" w:hAnsi="Times New Roman" w:cs="Calibri"/>
          <w:sz w:val="22"/>
          <w:szCs w:val="22"/>
        </w:rPr>
        <w:t>0</w:t>
      </w:r>
      <w:r w:rsidR="006E27EA">
        <w:rPr>
          <w:rFonts w:ascii="Times New Roman" w:eastAsia="Times New Roman" w:hAnsi="Times New Roman" w:cs="Calibri"/>
          <w:sz w:val="22"/>
          <w:szCs w:val="22"/>
        </w:rPr>
        <w:t>7</w:t>
      </w:r>
      <w:r w:rsidR="00ED0EE4">
        <w:rPr>
          <w:rFonts w:ascii="Times New Roman" w:eastAsia="Times New Roman" w:hAnsi="Times New Roman" w:cs="Calibri"/>
          <w:sz w:val="22"/>
          <w:szCs w:val="22"/>
        </w:rPr>
        <w:t>0.5</w:t>
      </w:r>
      <w:r w:rsidR="00E83911">
        <w:rPr>
          <w:rFonts w:ascii="Times New Roman" w:eastAsia="Times New Roman" w:hAnsi="Times New Roman" w:cs="Calibri"/>
          <w:sz w:val="22"/>
          <w:szCs w:val="22"/>
        </w:rPr>
        <w:t xml:space="preserve"> millones.</w:t>
      </w:r>
    </w:p>
    <w:p w14:paraId="7215DDCD" w14:textId="77777777" w:rsidR="00E83911" w:rsidRDefault="00E83911" w:rsidP="0039645E">
      <w:pPr>
        <w:jc w:val="both"/>
        <w:rPr>
          <w:rFonts w:ascii="Times New Roman" w:eastAsia="Times New Roman" w:hAnsi="Times New Roman" w:cs="Calibri"/>
          <w:sz w:val="22"/>
          <w:szCs w:val="22"/>
        </w:rPr>
      </w:pPr>
    </w:p>
    <w:p w14:paraId="207FF9EB" w14:textId="70972036" w:rsidR="00F021A5" w:rsidRDefault="00E05F7C" w:rsidP="0039645E">
      <w:pPr>
        <w:jc w:val="both"/>
        <w:rPr>
          <w:rFonts w:ascii="Times New Roman" w:eastAsia="Times New Roman" w:hAnsi="Times New Roman" w:cs="Calibri"/>
          <w:sz w:val="22"/>
          <w:szCs w:val="22"/>
        </w:rPr>
      </w:pPr>
      <w:r>
        <w:rPr>
          <w:rFonts w:ascii="Times New Roman" w:eastAsia="Times New Roman" w:hAnsi="Times New Roman" w:cs="Calibri"/>
          <w:sz w:val="22"/>
          <w:szCs w:val="22"/>
        </w:rPr>
        <w:t xml:space="preserve">Dentro de </w:t>
      </w:r>
      <w:r w:rsidR="00494C1A" w:rsidRPr="00494C1A">
        <w:rPr>
          <w:rFonts w:ascii="Times New Roman" w:eastAsia="Times New Roman" w:hAnsi="Times New Roman" w:cs="Calibri"/>
          <w:sz w:val="22"/>
          <w:szCs w:val="22"/>
        </w:rPr>
        <w:t xml:space="preserve">la cantidad colocada </w:t>
      </w:r>
      <w:r>
        <w:rPr>
          <w:rFonts w:ascii="Times New Roman" w:eastAsia="Times New Roman" w:hAnsi="Times New Roman" w:cs="Calibri"/>
          <w:sz w:val="22"/>
          <w:szCs w:val="22"/>
        </w:rPr>
        <w:t xml:space="preserve">se </w:t>
      </w:r>
      <w:r w:rsidR="00494C1A" w:rsidRPr="00494C1A">
        <w:rPr>
          <w:rFonts w:ascii="Times New Roman" w:eastAsia="Times New Roman" w:hAnsi="Times New Roman" w:cs="Calibri"/>
          <w:sz w:val="22"/>
          <w:szCs w:val="22"/>
        </w:rPr>
        <w:t xml:space="preserve">incluye la operación del pago de las deficiencias netas con el Banco de Guatemala según la Resolución de JM-04-2022, por el monto de Q54.4 millones, </w:t>
      </w:r>
      <w:r w:rsidR="00F021A5">
        <w:rPr>
          <w:rFonts w:ascii="Times New Roman" w:eastAsia="Times New Roman" w:hAnsi="Times New Roman" w:cs="Calibri"/>
          <w:sz w:val="22"/>
          <w:szCs w:val="22"/>
        </w:rPr>
        <w:t>esto deviene de</w:t>
      </w:r>
      <w:r w:rsidR="00F021A5" w:rsidRPr="00F021A5">
        <w:rPr>
          <w:rFonts w:ascii="Times New Roman" w:eastAsia="Times New Roman" w:hAnsi="Times New Roman" w:cs="Calibri"/>
          <w:sz w:val="22"/>
          <w:szCs w:val="22"/>
        </w:rPr>
        <w:t>l artículo 9 de la Ley de</w:t>
      </w:r>
      <w:r w:rsidR="00F021A5">
        <w:rPr>
          <w:rFonts w:ascii="Times New Roman" w:eastAsia="Times New Roman" w:hAnsi="Times New Roman" w:cs="Calibri"/>
          <w:sz w:val="22"/>
          <w:szCs w:val="22"/>
        </w:rPr>
        <w:t>l</w:t>
      </w:r>
      <w:r w:rsidR="00F021A5" w:rsidRPr="00F021A5">
        <w:rPr>
          <w:rFonts w:ascii="Times New Roman" w:eastAsia="Times New Roman" w:hAnsi="Times New Roman" w:cs="Calibri"/>
          <w:sz w:val="22"/>
          <w:szCs w:val="22"/>
        </w:rPr>
        <w:t xml:space="preserve"> Banco de Guatemala</w:t>
      </w:r>
      <w:r w:rsidR="00F021A5">
        <w:rPr>
          <w:rFonts w:ascii="Times New Roman" w:eastAsia="Times New Roman" w:hAnsi="Times New Roman" w:cs="Calibri"/>
          <w:sz w:val="22"/>
          <w:szCs w:val="22"/>
        </w:rPr>
        <w:t xml:space="preserve">, en la cual se </w:t>
      </w:r>
      <w:r w:rsidR="00F021A5" w:rsidRPr="00F021A5">
        <w:rPr>
          <w:rFonts w:ascii="Times New Roman" w:eastAsia="Times New Roman" w:hAnsi="Times New Roman" w:cs="Calibri"/>
          <w:sz w:val="22"/>
          <w:szCs w:val="22"/>
        </w:rPr>
        <w:t>prevé que en caso el saldo de la cuenta Reserva General no disponga de suficientes recursos o activos extraordinarios para cubrir total o parcialmente las deficiencias netas</w:t>
      </w:r>
      <w:r w:rsidR="00FE46A7">
        <w:rPr>
          <w:rFonts w:ascii="Times New Roman" w:eastAsia="Times New Roman" w:hAnsi="Times New Roman" w:cs="Calibri"/>
          <w:sz w:val="22"/>
          <w:szCs w:val="22"/>
        </w:rPr>
        <w:t>,</w:t>
      </w:r>
      <w:r w:rsidR="00F021A5" w:rsidRPr="00F021A5">
        <w:rPr>
          <w:rFonts w:ascii="Times New Roman" w:eastAsia="Times New Roman" w:hAnsi="Times New Roman" w:cs="Calibri"/>
          <w:sz w:val="22"/>
          <w:szCs w:val="22"/>
        </w:rPr>
        <w:t xml:space="preserve"> </w:t>
      </w:r>
      <w:r w:rsidR="00FE46A7">
        <w:rPr>
          <w:rFonts w:ascii="Times New Roman" w:eastAsia="Times New Roman" w:hAnsi="Times New Roman" w:cs="Calibri"/>
          <w:sz w:val="22"/>
          <w:szCs w:val="22"/>
        </w:rPr>
        <w:t>é</w:t>
      </w:r>
      <w:r w:rsidR="00F021A5" w:rsidRPr="00F021A5">
        <w:rPr>
          <w:rFonts w:ascii="Times New Roman" w:eastAsia="Times New Roman" w:hAnsi="Times New Roman" w:cs="Calibri"/>
          <w:sz w:val="22"/>
          <w:szCs w:val="22"/>
        </w:rPr>
        <w:t>stas deben ser absorbidas por el Estado.</w:t>
      </w:r>
    </w:p>
    <w:p w14:paraId="60054977" w14:textId="77777777" w:rsidR="00F021A5" w:rsidRDefault="00F021A5" w:rsidP="0039645E">
      <w:pPr>
        <w:jc w:val="both"/>
        <w:rPr>
          <w:rFonts w:ascii="Times New Roman" w:eastAsia="Times New Roman" w:hAnsi="Times New Roman" w:cs="Calibri"/>
          <w:sz w:val="22"/>
          <w:szCs w:val="22"/>
        </w:rPr>
      </w:pPr>
    </w:p>
    <w:p w14:paraId="26690AD3" w14:textId="2E6B25F2" w:rsidR="0039645E" w:rsidRDefault="00197416" w:rsidP="0039645E">
      <w:pPr>
        <w:jc w:val="both"/>
        <w:rPr>
          <w:rFonts w:ascii="Times New Roman" w:eastAsia="Times New Roman" w:hAnsi="Times New Roman" w:cs="Calibri"/>
          <w:sz w:val="22"/>
          <w:szCs w:val="22"/>
        </w:rPr>
      </w:pPr>
      <w:r>
        <w:rPr>
          <w:rFonts w:ascii="Times New Roman" w:eastAsia="Times New Roman" w:hAnsi="Times New Roman" w:cs="Calibri"/>
          <w:sz w:val="22"/>
          <w:szCs w:val="22"/>
        </w:rPr>
        <w:t xml:space="preserve">En las colocaciones realizadas </w:t>
      </w:r>
      <w:r w:rsidR="00494C1A" w:rsidRPr="00494C1A">
        <w:rPr>
          <w:rFonts w:ascii="Times New Roman" w:eastAsia="Times New Roman" w:hAnsi="Times New Roman" w:cs="Calibri"/>
          <w:sz w:val="22"/>
          <w:szCs w:val="22"/>
        </w:rPr>
        <w:t>también</w:t>
      </w:r>
      <w:r>
        <w:rPr>
          <w:rFonts w:ascii="Times New Roman" w:eastAsia="Times New Roman" w:hAnsi="Times New Roman" w:cs="Calibri"/>
          <w:sz w:val="22"/>
          <w:szCs w:val="22"/>
        </w:rPr>
        <w:t xml:space="preserve"> se</w:t>
      </w:r>
      <w:r w:rsidR="00494C1A" w:rsidRPr="00494C1A">
        <w:rPr>
          <w:rFonts w:ascii="Times New Roman" w:eastAsia="Times New Roman" w:hAnsi="Times New Roman" w:cs="Calibri"/>
          <w:sz w:val="22"/>
          <w:szCs w:val="22"/>
        </w:rPr>
        <w:t xml:space="preserve"> incluye </w:t>
      </w:r>
      <w:r w:rsidR="001B16CA">
        <w:rPr>
          <w:rFonts w:ascii="Times New Roman" w:eastAsia="Times New Roman" w:hAnsi="Times New Roman" w:cs="Calibri"/>
          <w:sz w:val="22"/>
          <w:szCs w:val="22"/>
        </w:rPr>
        <w:t xml:space="preserve">la colocación de Q188.8 millones </w:t>
      </w:r>
      <w:r w:rsidR="00494C1A" w:rsidRPr="00494C1A">
        <w:rPr>
          <w:rFonts w:ascii="Times New Roman" w:eastAsia="Times New Roman" w:hAnsi="Times New Roman" w:cs="Calibri"/>
          <w:sz w:val="22"/>
          <w:szCs w:val="22"/>
        </w:rPr>
        <w:t>que corresponde al segmento de pequeños</w:t>
      </w:r>
      <w:r w:rsidR="001B16CA">
        <w:rPr>
          <w:rFonts w:ascii="Times New Roman" w:eastAsia="Times New Roman" w:hAnsi="Times New Roman" w:cs="Calibri"/>
          <w:sz w:val="22"/>
          <w:szCs w:val="22"/>
        </w:rPr>
        <w:t xml:space="preserve"> </w:t>
      </w:r>
      <w:r w:rsidR="00F36DBB">
        <w:rPr>
          <w:rFonts w:ascii="Times New Roman" w:eastAsia="Times New Roman" w:hAnsi="Times New Roman" w:cs="Calibri"/>
          <w:sz w:val="22"/>
          <w:szCs w:val="22"/>
        </w:rPr>
        <w:t xml:space="preserve">inversionistas </w:t>
      </w:r>
      <w:r w:rsidR="001B16CA">
        <w:rPr>
          <w:rFonts w:ascii="Times New Roman" w:eastAsia="Times New Roman" w:hAnsi="Times New Roman" w:cs="Calibri"/>
          <w:sz w:val="22"/>
          <w:szCs w:val="22"/>
        </w:rPr>
        <w:t xml:space="preserve">para plazos iguales o menores a tres años, el cual contaba con un cupo de colocación </w:t>
      </w:r>
      <w:r w:rsidR="00F36DBB">
        <w:rPr>
          <w:rFonts w:ascii="Times New Roman" w:eastAsia="Times New Roman" w:hAnsi="Times New Roman" w:cs="Calibri"/>
          <w:sz w:val="22"/>
          <w:szCs w:val="22"/>
        </w:rPr>
        <w:t xml:space="preserve">en el presupuesto </w:t>
      </w:r>
      <w:r w:rsidR="001B16CA">
        <w:rPr>
          <w:rFonts w:ascii="Times New Roman" w:eastAsia="Times New Roman" w:hAnsi="Times New Roman" w:cs="Calibri"/>
          <w:sz w:val="22"/>
          <w:szCs w:val="22"/>
        </w:rPr>
        <w:t xml:space="preserve">de </w:t>
      </w:r>
      <w:r w:rsidR="00CA3ED1">
        <w:rPr>
          <w:rFonts w:ascii="Times New Roman" w:eastAsia="Times New Roman" w:hAnsi="Times New Roman" w:cs="Calibri"/>
          <w:sz w:val="22"/>
          <w:szCs w:val="22"/>
        </w:rPr>
        <w:t xml:space="preserve">hasta </w:t>
      </w:r>
      <w:r w:rsidR="00494C1A" w:rsidRPr="00494C1A">
        <w:rPr>
          <w:rFonts w:ascii="Times New Roman" w:eastAsia="Times New Roman" w:hAnsi="Times New Roman" w:cs="Calibri"/>
          <w:sz w:val="22"/>
          <w:szCs w:val="22"/>
        </w:rPr>
        <w:t>Q500 millone</w:t>
      </w:r>
      <w:r w:rsidR="001B16CA">
        <w:rPr>
          <w:rFonts w:ascii="Times New Roman" w:eastAsia="Times New Roman" w:hAnsi="Times New Roman" w:cs="Calibri"/>
          <w:sz w:val="22"/>
          <w:szCs w:val="22"/>
        </w:rPr>
        <w:t>s</w:t>
      </w:r>
      <w:r w:rsidR="00F36DBB">
        <w:rPr>
          <w:rFonts w:ascii="Times New Roman" w:eastAsia="Times New Roman" w:hAnsi="Times New Roman" w:cs="Calibri"/>
          <w:sz w:val="22"/>
          <w:szCs w:val="22"/>
        </w:rPr>
        <w:t>, el cual no se agotó. Es</w:t>
      </w:r>
      <w:r w:rsidR="00F36DBB" w:rsidRPr="00F36DBB">
        <w:rPr>
          <w:rFonts w:ascii="Times New Roman" w:eastAsia="Times New Roman" w:hAnsi="Times New Roman" w:cs="Calibri"/>
          <w:sz w:val="22"/>
          <w:szCs w:val="22"/>
        </w:rPr>
        <w:t>te mecanismo</w:t>
      </w:r>
      <w:r w:rsidR="00F36DBB">
        <w:rPr>
          <w:rFonts w:ascii="Times New Roman" w:eastAsia="Times New Roman" w:hAnsi="Times New Roman" w:cs="Calibri"/>
          <w:sz w:val="22"/>
          <w:szCs w:val="22"/>
        </w:rPr>
        <w:t xml:space="preserve"> viene fortaleciéndose desde hace algunos años, </w:t>
      </w:r>
      <w:r w:rsidR="00FD597B">
        <w:rPr>
          <w:rFonts w:ascii="Times New Roman" w:eastAsia="Times New Roman" w:hAnsi="Times New Roman" w:cs="Calibri"/>
          <w:sz w:val="22"/>
          <w:szCs w:val="22"/>
        </w:rPr>
        <w:t xml:space="preserve">y pretende </w:t>
      </w:r>
      <w:r w:rsidR="00F36DBB" w:rsidRPr="00F36DBB">
        <w:rPr>
          <w:rFonts w:ascii="Times New Roman" w:eastAsia="Times New Roman" w:hAnsi="Times New Roman" w:cs="Calibri"/>
          <w:sz w:val="22"/>
          <w:szCs w:val="22"/>
        </w:rPr>
        <w:t>incentivar la democratización de la deuda pública, fomenta</w:t>
      </w:r>
      <w:r w:rsidR="00F36DBB">
        <w:rPr>
          <w:rFonts w:ascii="Times New Roman" w:eastAsia="Times New Roman" w:hAnsi="Times New Roman" w:cs="Calibri"/>
          <w:sz w:val="22"/>
          <w:szCs w:val="22"/>
        </w:rPr>
        <w:t>ndo</w:t>
      </w:r>
      <w:r w:rsidR="00F36DBB" w:rsidRPr="00F36DBB">
        <w:rPr>
          <w:rFonts w:ascii="Times New Roman" w:eastAsia="Times New Roman" w:hAnsi="Times New Roman" w:cs="Calibri"/>
          <w:sz w:val="22"/>
          <w:szCs w:val="22"/>
        </w:rPr>
        <w:t xml:space="preserve"> el ahorro y la inversión en pequeños inversionistas dado que las inversiones van desde un mínimo de Q10,000 hasta un máximo de Q500,000.</w:t>
      </w:r>
    </w:p>
    <w:p w14:paraId="79B68838" w14:textId="6A94BD8F" w:rsidR="00494C1A" w:rsidRDefault="00494C1A" w:rsidP="0039645E">
      <w:pPr>
        <w:jc w:val="both"/>
        <w:rPr>
          <w:rFonts w:ascii="Times New Roman" w:eastAsia="Times New Roman" w:hAnsi="Times New Roman" w:cs="Calibri"/>
          <w:sz w:val="22"/>
          <w:szCs w:val="22"/>
        </w:rPr>
      </w:pPr>
    </w:p>
    <w:p w14:paraId="26D1012B" w14:textId="2BBC7315" w:rsidR="0039645E" w:rsidRPr="004245AE" w:rsidRDefault="004245AE" w:rsidP="004245AE">
      <w:pPr>
        <w:pStyle w:val="Descripcin"/>
        <w:keepNext/>
        <w:spacing w:after="0"/>
        <w:jc w:val="center"/>
        <w:rPr>
          <w:sz w:val="22"/>
          <w:szCs w:val="22"/>
        </w:rPr>
      </w:pPr>
      <w:bookmarkStart w:id="108" w:name="_Toc125539791"/>
      <w:bookmarkStart w:id="109" w:name="_Toc158103862"/>
      <w:r w:rsidRPr="004245AE">
        <w:rPr>
          <w:sz w:val="22"/>
          <w:szCs w:val="22"/>
        </w:rPr>
        <w:t xml:space="preserve">Gráfico </w:t>
      </w:r>
      <w:r w:rsidRPr="004245AE">
        <w:rPr>
          <w:sz w:val="22"/>
          <w:szCs w:val="22"/>
        </w:rPr>
        <w:fldChar w:fldCharType="begin"/>
      </w:r>
      <w:r w:rsidRPr="004245AE">
        <w:rPr>
          <w:sz w:val="22"/>
          <w:szCs w:val="22"/>
        </w:rPr>
        <w:instrText xml:space="preserve"> SEQ Gráfico \* ARABIC </w:instrText>
      </w:r>
      <w:r w:rsidRPr="004245AE">
        <w:rPr>
          <w:sz w:val="22"/>
          <w:szCs w:val="22"/>
        </w:rPr>
        <w:fldChar w:fldCharType="separate"/>
      </w:r>
      <w:r w:rsidR="00C015DC">
        <w:rPr>
          <w:noProof/>
          <w:sz w:val="22"/>
          <w:szCs w:val="22"/>
        </w:rPr>
        <w:t>17</w:t>
      </w:r>
      <w:r w:rsidRPr="004245AE">
        <w:rPr>
          <w:sz w:val="22"/>
          <w:szCs w:val="22"/>
        </w:rPr>
        <w:fldChar w:fldCharType="end"/>
      </w:r>
      <w:r w:rsidRPr="004245AE">
        <w:rPr>
          <w:sz w:val="22"/>
          <w:szCs w:val="22"/>
        </w:rPr>
        <w:t xml:space="preserve">.  </w:t>
      </w:r>
      <w:r w:rsidR="0039645E" w:rsidRPr="004245AE">
        <w:rPr>
          <w:rFonts w:eastAsia="Times New Roman" w:cs="Calibri"/>
          <w:noProof/>
          <w:sz w:val="22"/>
          <w:szCs w:val="22"/>
          <w:lang w:eastAsia="es-GT"/>
        </w:rPr>
        <w:t>Colocación de Bonos del Tesoro en 202</w:t>
      </w:r>
      <w:bookmarkEnd w:id="108"/>
      <w:r w:rsidR="001B16CA" w:rsidRPr="004245AE">
        <w:rPr>
          <w:rFonts w:eastAsia="Times New Roman" w:cs="Calibri"/>
          <w:noProof/>
          <w:sz w:val="22"/>
          <w:szCs w:val="22"/>
          <w:lang w:eastAsia="es-GT"/>
        </w:rPr>
        <w:t>3</w:t>
      </w:r>
      <w:bookmarkEnd w:id="109"/>
    </w:p>
    <w:p w14:paraId="3B269128" w14:textId="70BB9B1F" w:rsidR="0039645E" w:rsidRPr="004A66F0" w:rsidRDefault="0039645E" w:rsidP="0039645E">
      <w:pPr>
        <w:jc w:val="center"/>
        <w:rPr>
          <w:rFonts w:ascii="Times New Roman" w:eastAsia="Times New Roman" w:hAnsi="Times New Roman" w:cs="Calibri"/>
          <w:noProof/>
          <w:sz w:val="20"/>
          <w:szCs w:val="36"/>
          <w:lang w:eastAsia="es-GT"/>
        </w:rPr>
      </w:pPr>
      <w:r w:rsidRPr="004A66F0">
        <w:rPr>
          <w:rFonts w:ascii="Times New Roman" w:eastAsia="Times New Roman" w:hAnsi="Times New Roman" w:cs="Calibri"/>
          <w:noProof/>
          <w:sz w:val="20"/>
          <w:szCs w:val="36"/>
          <w:lang w:eastAsia="es-GT"/>
        </w:rPr>
        <w:t xml:space="preserve">Millones de quetzales </w:t>
      </w:r>
    </w:p>
    <w:p w14:paraId="519B90C2" w14:textId="77777777" w:rsidR="0039645E" w:rsidRPr="004A66F0" w:rsidRDefault="0039645E" w:rsidP="0039645E">
      <w:pPr>
        <w:jc w:val="both"/>
        <w:rPr>
          <w:rFonts w:ascii="Times New Roman" w:eastAsia="Times New Roman" w:hAnsi="Times New Roman" w:cs="Calibri"/>
          <w:noProof/>
          <w:sz w:val="22"/>
          <w:szCs w:val="36"/>
          <w:lang w:eastAsia="es-GT"/>
        </w:rPr>
      </w:pPr>
      <w:r w:rsidRPr="004A66F0">
        <w:rPr>
          <w:rFonts w:ascii="Calibri" w:eastAsia="Times New Roman" w:hAnsi="Calibri" w:cs="Calibri"/>
          <w:noProof/>
          <w:sz w:val="22"/>
          <w:szCs w:val="22"/>
        </w:rPr>
        <w:drawing>
          <wp:anchor distT="0" distB="3429" distL="114300" distR="115443" simplePos="0" relativeHeight="251665408" behindDoc="0" locked="0" layoutInCell="1" allowOverlap="1" wp14:anchorId="3B8D91E9" wp14:editId="1A37B4B6">
            <wp:simplePos x="0" y="0"/>
            <wp:positionH relativeFrom="column">
              <wp:posOffset>541655</wp:posOffset>
            </wp:positionH>
            <wp:positionV relativeFrom="paragraph">
              <wp:posOffset>37465</wp:posOffset>
            </wp:positionV>
            <wp:extent cx="5017135" cy="2480310"/>
            <wp:effectExtent l="0" t="0" r="0" b="0"/>
            <wp:wrapSquare wrapText="bothSides"/>
            <wp:docPr id="33" name="Gráfico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14:paraId="580D4B86" w14:textId="77777777" w:rsidR="0039645E" w:rsidRPr="004A66F0" w:rsidRDefault="0039645E" w:rsidP="0039645E">
      <w:pPr>
        <w:jc w:val="both"/>
        <w:rPr>
          <w:rFonts w:ascii="Times New Roman" w:eastAsia="Times New Roman" w:hAnsi="Times New Roman" w:cs="Calibri"/>
          <w:noProof/>
          <w:sz w:val="22"/>
          <w:szCs w:val="36"/>
          <w:lang w:eastAsia="es-GT"/>
        </w:rPr>
      </w:pPr>
    </w:p>
    <w:p w14:paraId="111746D9" w14:textId="77777777" w:rsidR="0039645E" w:rsidRPr="004A66F0" w:rsidRDefault="0039645E" w:rsidP="0039645E">
      <w:pPr>
        <w:jc w:val="both"/>
        <w:rPr>
          <w:rFonts w:ascii="Times New Roman" w:eastAsia="Times New Roman" w:hAnsi="Times New Roman" w:cs="Calibri"/>
          <w:noProof/>
          <w:sz w:val="22"/>
          <w:szCs w:val="36"/>
          <w:lang w:eastAsia="es-GT"/>
        </w:rPr>
      </w:pPr>
    </w:p>
    <w:p w14:paraId="4505AD47" w14:textId="77777777" w:rsidR="0039645E" w:rsidRPr="004A66F0" w:rsidRDefault="0039645E" w:rsidP="0039645E">
      <w:pPr>
        <w:jc w:val="both"/>
        <w:rPr>
          <w:rFonts w:ascii="Times New Roman" w:eastAsia="Times New Roman" w:hAnsi="Times New Roman" w:cs="Calibri"/>
          <w:noProof/>
          <w:sz w:val="22"/>
          <w:szCs w:val="36"/>
          <w:lang w:eastAsia="es-GT"/>
        </w:rPr>
      </w:pPr>
    </w:p>
    <w:p w14:paraId="05D54A59" w14:textId="77777777" w:rsidR="0039645E" w:rsidRPr="004A66F0" w:rsidRDefault="0039645E" w:rsidP="0039645E">
      <w:pPr>
        <w:jc w:val="both"/>
        <w:rPr>
          <w:rFonts w:ascii="Times New Roman" w:eastAsia="Times New Roman" w:hAnsi="Times New Roman" w:cs="Calibri"/>
          <w:sz w:val="22"/>
          <w:szCs w:val="36"/>
        </w:rPr>
      </w:pPr>
    </w:p>
    <w:p w14:paraId="6291EBBB" w14:textId="77777777" w:rsidR="0039645E" w:rsidRPr="004A66F0" w:rsidRDefault="0039645E" w:rsidP="0039645E">
      <w:pPr>
        <w:jc w:val="both"/>
        <w:rPr>
          <w:rFonts w:ascii="Times New Roman" w:eastAsia="Times New Roman" w:hAnsi="Times New Roman" w:cs="Calibri"/>
          <w:sz w:val="22"/>
          <w:szCs w:val="36"/>
        </w:rPr>
      </w:pPr>
    </w:p>
    <w:p w14:paraId="130D5601" w14:textId="77777777" w:rsidR="0039645E" w:rsidRPr="004A66F0" w:rsidRDefault="0039645E" w:rsidP="0039645E">
      <w:pPr>
        <w:jc w:val="both"/>
        <w:rPr>
          <w:rFonts w:ascii="Times New Roman" w:eastAsia="Times New Roman" w:hAnsi="Times New Roman" w:cs="Calibri"/>
          <w:sz w:val="22"/>
          <w:szCs w:val="36"/>
        </w:rPr>
      </w:pPr>
    </w:p>
    <w:p w14:paraId="01A91B84" w14:textId="77777777" w:rsidR="0039645E" w:rsidRPr="004A66F0" w:rsidRDefault="0039645E" w:rsidP="0039645E">
      <w:pPr>
        <w:jc w:val="both"/>
        <w:rPr>
          <w:rFonts w:ascii="Times New Roman" w:eastAsia="Times New Roman" w:hAnsi="Times New Roman" w:cs="Calibri"/>
          <w:sz w:val="22"/>
          <w:szCs w:val="36"/>
        </w:rPr>
      </w:pPr>
    </w:p>
    <w:p w14:paraId="4F913E71" w14:textId="77777777" w:rsidR="0039645E" w:rsidRPr="004A66F0" w:rsidRDefault="0039645E" w:rsidP="0039645E">
      <w:pPr>
        <w:jc w:val="both"/>
        <w:rPr>
          <w:rFonts w:ascii="Times New Roman" w:eastAsia="Times New Roman" w:hAnsi="Times New Roman" w:cs="Calibri"/>
          <w:sz w:val="22"/>
          <w:szCs w:val="36"/>
        </w:rPr>
      </w:pPr>
    </w:p>
    <w:p w14:paraId="12154454" w14:textId="77777777" w:rsidR="0039645E" w:rsidRPr="004A66F0" w:rsidRDefault="0039645E" w:rsidP="0039645E">
      <w:pPr>
        <w:jc w:val="both"/>
        <w:rPr>
          <w:rFonts w:ascii="Times New Roman" w:eastAsia="Times New Roman" w:hAnsi="Times New Roman" w:cs="Calibri"/>
          <w:sz w:val="22"/>
          <w:szCs w:val="36"/>
        </w:rPr>
      </w:pPr>
    </w:p>
    <w:p w14:paraId="54EB1033" w14:textId="77777777" w:rsidR="0039645E" w:rsidRPr="004A66F0" w:rsidRDefault="0039645E" w:rsidP="0039645E">
      <w:pPr>
        <w:jc w:val="both"/>
        <w:rPr>
          <w:rFonts w:ascii="Times New Roman" w:eastAsia="Times New Roman" w:hAnsi="Times New Roman" w:cs="Calibri"/>
          <w:sz w:val="22"/>
          <w:szCs w:val="36"/>
        </w:rPr>
      </w:pPr>
    </w:p>
    <w:p w14:paraId="58D94B85" w14:textId="77777777" w:rsidR="0039645E" w:rsidRPr="004A66F0" w:rsidRDefault="0039645E" w:rsidP="0039645E">
      <w:pPr>
        <w:jc w:val="both"/>
        <w:rPr>
          <w:rFonts w:ascii="Times New Roman" w:eastAsia="Times New Roman" w:hAnsi="Times New Roman" w:cs="Calibri"/>
          <w:sz w:val="22"/>
          <w:szCs w:val="36"/>
        </w:rPr>
      </w:pPr>
    </w:p>
    <w:p w14:paraId="233302BD" w14:textId="77777777" w:rsidR="0039645E" w:rsidRPr="004A66F0" w:rsidRDefault="0039645E" w:rsidP="0039645E">
      <w:pPr>
        <w:jc w:val="both"/>
        <w:rPr>
          <w:rFonts w:ascii="Times New Roman" w:eastAsia="Times New Roman" w:hAnsi="Times New Roman" w:cs="Calibri"/>
          <w:sz w:val="22"/>
          <w:szCs w:val="36"/>
        </w:rPr>
      </w:pPr>
    </w:p>
    <w:p w14:paraId="76FCC2D5" w14:textId="77777777" w:rsidR="0039645E" w:rsidRPr="004A66F0" w:rsidRDefault="0039645E" w:rsidP="0039645E">
      <w:pPr>
        <w:jc w:val="both"/>
        <w:rPr>
          <w:rFonts w:ascii="Times New Roman" w:eastAsia="Times New Roman" w:hAnsi="Times New Roman" w:cs="Calibri"/>
          <w:sz w:val="22"/>
          <w:szCs w:val="36"/>
        </w:rPr>
      </w:pPr>
    </w:p>
    <w:p w14:paraId="59CB4BBB" w14:textId="77777777" w:rsidR="0039645E" w:rsidRPr="004A66F0" w:rsidRDefault="0039645E" w:rsidP="0039645E">
      <w:pPr>
        <w:spacing w:line="259" w:lineRule="auto"/>
        <w:jc w:val="both"/>
        <w:rPr>
          <w:rFonts w:ascii="Times New Roman" w:eastAsia="Times New Roman" w:hAnsi="Times New Roman" w:cs="Times New Roman"/>
          <w:sz w:val="16"/>
        </w:rPr>
      </w:pPr>
    </w:p>
    <w:p w14:paraId="67252391" w14:textId="77777777" w:rsidR="0039645E" w:rsidRPr="004A66F0" w:rsidRDefault="0039645E" w:rsidP="0039645E">
      <w:pPr>
        <w:spacing w:line="259" w:lineRule="auto"/>
        <w:ind w:left="1416" w:firstLine="708"/>
        <w:jc w:val="both"/>
        <w:rPr>
          <w:rFonts w:ascii="Times New Roman" w:eastAsia="Times New Roman" w:hAnsi="Times New Roman" w:cs="Times New Roman"/>
          <w:sz w:val="18"/>
        </w:rPr>
      </w:pPr>
      <w:r w:rsidRPr="004A66F0">
        <w:rPr>
          <w:rFonts w:ascii="Times New Roman" w:eastAsia="Times New Roman" w:hAnsi="Times New Roman" w:cs="Times New Roman"/>
          <w:sz w:val="18"/>
        </w:rPr>
        <w:t>Fuente: Dirección de Análisis y Política Fiscal</w:t>
      </w:r>
    </w:p>
    <w:p w14:paraId="16D25B54" w14:textId="77777777" w:rsidR="0039645E" w:rsidRPr="004A66F0" w:rsidRDefault="0039645E" w:rsidP="0039645E">
      <w:pPr>
        <w:jc w:val="both"/>
        <w:rPr>
          <w:rFonts w:ascii="Times New Roman" w:eastAsia="Times New Roman" w:hAnsi="Times New Roman" w:cs="Calibri"/>
          <w:sz w:val="22"/>
          <w:szCs w:val="22"/>
        </w:rPr>
      </w:pPr>
    </w:p>
    <w:p w14:paraId="4622AA5E" w14:textId="34437EB5" w:rsidR="0014247D" w:rsidRPr="0014247D" w:rsidRDefault="0014247D" w:rsidP="0014247D">
      <w:pPr>
        <w:jc w:val="both"/>
        <w:rPr>
          <w:rFonts w:ascii="Times New Roman" w:eastAsia="Times New Roman" w:hAnsi="Times New Roman" w:cs="Calibri"/>
          <w:sz w:val="22"/>
          <w:szCs w:val="22"/>
        </w:rPr>
      </w:pPr>
      <w:r w:rsidRPr="0014247D">
        <w:rPr>
          <w:rFonts w:ascii="Times New Roman" w:eastAsia="Times New Roman" w:hAnsi="Times New Roman" w:cs="Calibri"/>
          <w:sz w:val="22"/>
          <w:szCs w:val="22"/>
        </w:rPr>
        <w:t xml:space="preserve">Adicionalmente, </w:t>
      </w:r>
      <w:r>
        <w:rPr>
          <w:rFonts w:ascii="Times New Roman" w:eastAsia="Times New Roman" w:hAnsi="Times New Roman" w:cs="Calibri"/>
          <w:sz w:val="22"/>
          <w:szCs w:val="22"/>
        </w:rPr>
        <w:t xml:space="preserve">durante 2023 hubo </w:t>
      </w:r>
      <w:r w:rsidRPr="0014247D">
        <w:rPr>
          <w:rFonts w:ascii="Times New Roman" w:eastAsia="Times New Roman" w:hAnsi="Times New Roman" w:cs="Calibri"/>
          <w:sz w:val="22"/>
          <w:szCs w:val="22"/>
        </w:rPr>
        <w:t xml:space="preserve">cuatro préstamos </w:t>
      </w:r>
      <w:r w:rsidR="00C5202A">
        <w:rPr>
          <w:rFonts w:ascii="Times New Roman" w:eastAsia="Times New Roman" w:hAnsi="Times New Roman" w:cs="Calibri"/>
          <w:sz w:val="22"/>
          <w:szCs w:val="22"/>
        </w:rPr>
        <w:t xml:space="preserve">que no fueron </w:t>
      </w:r>
      <w:r w:rsidRPr="0014247D">
        <w:rPr>
          <w:rFonts w:ascii="Times New Roman" w:eastAsia="Times New Roman" w:hAnsi="Times New Roman" w:cs="Calibri"/>
          <w:sz w:val="22"/>
          <w:szCs w:val="22"/>
        </w:rPr>
        <w:t>aprobados</w:t>
      </w:r>
      <w:r>
        <w:rPr>
          <w:rFonts w:ascii="Times New Roman" w:eastAsia="Times New Roman" w:hAnsi="Times New Roman" w:cs="Calibri"/>
          <w:sz w:val="22"/>
          <w:szCs w:val="22"/>
        </w:rPr>
        <w:t xml:space="preserve"> por el Congreso de la República</w:t>
      </w:r>
      <w:r w:rsidR="00E05F7C">
        <w:rPr>
          <w:rFonts w:ascii="Times New Roman" w:eastAsia="Times New Roman" w:hAnsi="Times New Roman" w:cs="Calibri"/>
          <w:sz w:val="22"/>
          <w:szCs w:val="22"/>
        </w:rPr>
        <w:t>, estos e</w:t>
      </w:r>
      <w:r>
        <w:rPr>
          <w:rFonts w:ascii="Times New Roman" w:eastAsia="Times New Roman" w:hAnsi="Times New Roman" w:cs="Calibri"/>
          <w:sz w:val="22"/>
          <w:szCs w:val="22"/>
        </w:rPr>
        <w:t xml:space="preserve">ran relevantes </w:t>
      </w:r>
      <w:r w:rsidR="00E05F7C">
        <w:rPr>
          <w:rFonts w:ascii="Times New Roman" w:eastAsia="Times New Roman" w:hAnsi="Times New Roman" w:cs="Calibri"/>
          <w:sz w:val="22"/>
          <w:szCs w:val="22"/>
        </w:rPr>
        <w:t xml:space="preserve">por ser </w:t>
      </w:r>
      <w:r w:rsidRPr="0014247D">
        <w:rPr>
          <w:rFonts w:ascii="Times New Roman" w:eastAsia="Times New Roman" w:hAnsi="Times New Roman" w:cs="Calibri"/>
          <w:sz w:val="22"/>
          <w:szCs w:val="22"/>
        </w:rPr>
        <w:t xml:space="preserve">préstamos de apoyo presupuestario, negociados con el Banco Internacional de Reconstrucción y Fomento (BIRF) por US$250 millones y con el Banco Interamericano de Desarrollo (BID) por US$300 millones, </w:t>
      </w:r>
      <w:r w:rsidR="00C5202A">
        <w:rPr>
          <w:rFonts w:ascii="Times New Roman" w:eastAsia="Times New Roman" w:hAnsi="Times New Roman" w:cs="Calibri"/>
          <w:sz w:val="22"/>
          <w:szCs w:val="22"/>
        </w:rPr>
        <w:t>con estos</w:t>
      </w:r>
      <w:r w:rsidRPr="0014247D">
        <w:rPr>
          <w:rFonts w:ascii="Times New Roman" w:eastAsia="Times New Roman" w:hAnsi="Times New Roman" w:cs="Calibri"/>
          <w:sz w:val="22"/>
          <w:szCs w:val="22"/>
        </w:rPr>
        <w:t xml:space="preserve"> se</w:t>
      </w:r>
      <w:r>
        <w:rPr>
          <w:rFonts w:ascii="Times New Roman" w:eastAsia="Times New Roman" w:hAnsi="Times New Roman" w:cs="Calibri"/>
          <w:sz w:val="22"/>
          <w:szCs w:val="22"/>
        </w:rPr>
        <w:t xml:space="preserve"> esperaba </w:t>
      </w:r>
      <w:r w:rsidRPr="0014247D">
        <w:rPr>
          <w:rFonts w:ascii="Times New Roman" w:eastAsia="Times New Roman" w:hAnsi="Times New Roman" w:cs="Calibri"/>
          <w:sz w:val="22"/>
          <w:szCs w:val="22"/>
        </w:rPr>
        <w:t>incorpora</w:t>
      </w:r>
      <w:r>
        <w:rPr>
          <w:rFonts w:ascii="Times New Roman" w:eastAsia="Times New Roman" w:hAnsi="Times New Roman" w:cs="Calibri"/>
          <w:sz w:val="22"/>
          <w:szCs w:val="22"/>
        </w:rPr>
        <w:t>r</w:t>
      </w:r>
      <w:r w:rsidRPr="0014247D">
        <w:rPr>
          <w:rFonts w:ascii="Times New Roman" w:eastAsia="Times New Roman" w:hAnsi="Times New Roman" w:cs="Calibri"/>
          <w:sz w:val="22"/>
          <w:szCs w:val="22"/>
        </w:rPr>
        <w:t xml:space="preserve"> al Presupuesto el equivalente a US$550.0 millones (alrededor de Q4,290 millones), por medio de </w:t>
      </w:r>
      <w:r w:rsidR="002F697B">
        <w:rPr>
          <w:rFonts w:ascii="Times New Roman" w:eastAsia="Times New Roman" w:hAnsi="Times New Roman" w:cs="Calibri"/>
          <w:sz w:val="22"/>
          <w:szCs w:val="22"/>
        </w:rPr>
        <w:t>l</w:t>
      </w:r>
      <w:r w:rsidR="002F697B" w:rsidRPr="0014247D">
        <w:rPr>
          <w:rFonts w:ascii="Times New Roman" w:eastAsia="Times New Roman" w:hAnsi="Times New Roman" w:cs="Calibri"/>
          <w:sz w:val="22"/>
          <w:szCs w:val="22"/>
        </w:rPr>
        <w:t xml:space="preserve">a </w:t>
      </w:r>
      <w:r w:rsidRPr="0014247D">
        <w:rPr>
          <w:rFonts w:ascii="Times New Roman" w:eastAsia="Times New Roman" w:hAnsi="Times New Roman" w:cs="Calibri"/>
          <w:sz w:val="22"/>
          <w:szCs w:val="22"/>
        </w:rPr>
        <w:t xml:space="preserve">sustitución de fuente de financiamiento, </w:t>
      </w:r>
      <w:r w:rsidR="00673FF8">
        <w:rPr>
          <w:rFonts w:ascii="Times New Roman" w:eastAsia="Times New Roman" w:hAnsi="Times New Roman" w:cs="Calibri"/>
          <w:sz w:val="22"/>
          <w:szCs w:val="22"/>
        </w:rPr>
        <w:t xml:space="preserve">que permitía dejar de </w:t>
      </w:r>
      <w:r w:rsidRPr="0014247D">
        <w:rPr>
          <w:rFonts w:ascii="Times New Roman" w:eastAsia="Times New Roman" w:hAnsi="Times New Roman" w:cs="Calibri"/>
          <w:sz w:val="22"/>
          <w:szCs w:val="22"/>
        </w:rPr>
        <w:t>coloca</w:t>
      </w:r>
      <w:r w:rsidR="00673FF8">
        <w:rPr>
          <w:rFonts w:ascii="Times New Roman" w:eastAsia="Times New Roman" w:hAnsi="Times New Roman" w:cs="Calibri"/>
          <w:sz w:val="22"/>
          <w:szCs w:val="22"/>
        </w:rPr>
        <w:t>r</w:t>
      </w:r>
      <w:r w:rsidRPr="0014247D">
        <w:rPr>
          <w:rFonts w:ascii="Times New Roman" w:eastAsia="Times New Roman" w:hAnsi="Times New Roman" w:cs="Calibri"/>
          <w:sz w:val="22"/>
          <w:szCs w:val="22"/>
        </w:rPr>
        <w:t xml:space="preserve"> de bonos del tesoro</w:t>
      </w:r>
      <w:r w:rsidR="00673FF8">
        <w:rPr>
          <w:rFonts w:ascii="Times New Roman" w:eastAsia="Times New Roman" w:hAnsi="Times New Roman" w:cs="Calibri"/>
          <w:sz w:val="22"/>
          <w:szCs w:val="22"/>
        </w:rPr>
        <w:t xml:space="preserve"> por el monto indicado</w:t>
      </w:r>
      <w:r w:rsidR="00DE67E4">
        <w:rPr>
          <w:rFonts w:ascii="Times New Roman" w:eastAsia="Times New Roman" w:hAnsi="Times New Roman" w:cs="Calibri"/>
          <w:sz w:val="22"/>
          <w:szCs w:val="22"/>
        </w:rPr>
        <w:t xml:space="preserve"> a cambio de los recursos de dichos préstamos</w:t>
      </w:r>
      <w:r w:rsidRPr="0014247D">
        <w:rPr>
          <w:rFonts w:ascii="Times New Roman" w:eastAsia="Times New Roman" w:hAnsi="Times New Roman" w:cs="Calibri"/>
          <w:sz w:val="22"/>
          <w:szCs w:val="22"/>
        </w:rPr>
        <w:t xml:space="preserve">, </w:t>
      </w:r>
      <w:r w:rsidR="00DE67E4">
        <w:rPr>
          <w:rFonts w:ascii="Times New Roman" w:eastAsia="Times New Roman" w:hAnsi="Times New Roman" w:cs="Calibri"/>
          <w:sz w:val="22"/>
          <w:szCs w:val="22"/>
        </w:rPr>
        <w:t xml:space="preserve">lo cual no </w:t>
      </w:r>
      <w:r w:rsidRPr="0014247D">
        <w:rPr>
          <w:rFonts w:ascii="Times New Roman" w:eastAsia="Times New Roman" w:hAnsi="Times New Roman" w:cs="Calibri"/>
          <w:sz w:val="22"/>
          <w:szCs w:val="22"/>
        </w:rPr>
        <w:t>incrementa el Presupuesto General de Egresos vigente para el 202</w:t>
      </w:r>
      <w:r w:rsidR="00096FE3">
        <w:rPr>
          <w:rFonts w:ascii="Times New Roman" w:eastAsia="Times New Roman" w:hAnsi="Times New Roman" w:cs="Calibri"/>
          <w:sz w:val="22"/>
          <w:szCs w:val="22"/>
        </w:rPr>
        <w:t>3.</w:t>
      </w:r>
    </w:p>
    <w:p w14:paraId="125C61CA" w14:textId="77777777" w:rsidR="00C5202A" w:rsidRPr="0014247D" w:rsidRDefault="00C5202A" w:rsidP="0014247D">
      <w:pPr>
        <w:jc w:val="both"/>
        <w:rPr>
          <w:rFonts w:ascii="Times New Roman" w:eastAsia="Times New Roman" w:hAnsi="Times New Roman" w:cs="Calibri"/>
          <w:sz w:val="22"/>
          <w:szCs w:val="22"/>
        </w:rPr>
      </w:pPr>
    </w:p>
    <w:p w14:paraId="750367FD" w14:textId="1C60C4EA" w:rsidR="0014247D" w:rsidRPr="0014247D" w:rsidRDefault="0014247D" w:rsidP="0014247D">
      <w:pPr>
        <w:jc w:val="both"/>
        <w:rPr>
          <w:rFonts w:ascii="Times New Roman" w:eastAsia="Times New Roman" w:hAnsi="Times New Roman" w:cs="Calibri"/>
          <w:sz w:val="22"/>
          <w:szCs w:val="22"/>
        </w:rPr>
      </w:pPr>
      <w:r w:rsidRPr="0014247D">
        <w:rPr>
          <w:rFonts w:ascii="Times New Roman" w:eastAsia="Times New Roman" w:hAnsi="Times New Roman" w:cs="Calibri"/>
          <w:sz w:val="22"/>
          <w:szCs w:val="22"/>
        </w:rPr>
        <w:t>Estos préstamos consider</w:t>
      </w:r>
      <w:r w:rsidR="00C5202A">
        <w:rPr>
          <w:rFonts w:ascii="Times New Roman" w:eastAsia="Times New Roman" w:hAnsi="Times New Roman" w:cs="Calibri"/>
          <w:sz w:val="22"/>
          <w:szCs w:val="22"/>
        </w:rPr>
        <w:t>aban</w:t>
      </w:r>
      <w:r w:rsidRPr="0014247D">
        <w:rPr>
          <w:rFonts w:ascii="Times New Roman" w:eastAsia="Times New Roman" w:hAnsi="Times New Roman" w:cs="Calibri"/>
          <w:sz w:val="22"/>
          <w:szCs w:val="22"/>
        </w:rPr>
        <w:t xml:space="preserve"> condiciones financieras bastante favorables</w:t>
      </w:r>
      <w:r w:rsidR="00C5202A">
        <w:rPr>
          <w:rFonts w:ascii="Times New Roman" w:eastAsia="Times New Roman" w:hAnsi="Times New Roman" w:cs="Calibri"/>
          <w:sz w:val="22"/>
          <w:szCs w:val="22"/>
        </w:rPr>
        <w:t xml:space="preserve"> que</w:t>
      </w:r>
      <w:r w:rsidRPr="0014247D">
        <w:rPr>
          <w:rFonts w:ascii="Times New Roman" w:eastAsia="Times New Roman" w:hAnsi="Times New Roman" w:cs="Calibri"/>
          <w:sz w:val="22"/>
          <w:szCs w:val="22"/>
        </w:rPr>
        <w:t xml:space="preserve"> representa</w:t>
      </w:r>
      <w:r w:rsidR="00C5202A">
        <w:rPr>
          <w:rFonts w:ascii="Times New Roman" w:eastAsia="Times New Roman" w:hAnsi="Times New Roman" w:cs="Calibri"/>
          <w:sz w:val="22"/>
          <w:szCs w:val="22"/>
        </w:rPr>
        <w:t>ban</w:t>
      </w:r>
      <w:r w:rsidRPr="0014247D">
        <w:rPr>
          <w:rFonts w:ascii="Times New Roman" w:eastAsia="Times New Roman" w:hAnsi="Times New Roman" w:cs="Calibri"/>
          <w:sz w:val="22"/>
          <w:szCs w:val="22"/>
        </w:rPr>
        <w:t xml:space="preserve"> ahorros en contraste con </w:t>
      </w:r>
      <w:r w:rsidR="002F697B">
        <w:rPr>
          <w:rFonts w:ascii="Times New Roman" w:eastAsia="Times New Roman" w:hAnsi="Times New Roman" w:cs="Calibri"/>
          <w:sz w:val="22"/>
          <w:szCs w:val="22"/>
        </w:rPr>
        <w:t>la</w:t>
      </w:r>
      <w:r w:rsidR="002F697B" w:rsidRPr="0014247D">
        <w:rPr>
          <w:rFonts w:ascii="Times New Roman" w:eastAsia="Times New Roman" w:hAnsi="Times New Roman" w:cs="Calibri"/>
          <w:sz w:val="22"/>
          <w:szCs w:val="22"/>
        </w:rPr>
        <w:t xml:space="preserve"> </w:t>
      </w:r>
      <w:r w:rsidRPr="0014247D">
        <w:rPr>
          <w:rFonts w:ascii="Times New Roman" w:eastAsia="Times New Roman" w:hAnsi="Times New Roman" w:cs="Calibri"/>
          <w:sz w:val="22"/>
          <w:szCs w:val="22"/>
        </w:rPr>
        <w:t>emisión local.</w:t>
      </w:r>
      <w:r w:rsidR="00C5202A">
        <w:rPr>
          <w:rFonts w:ascii="Times New Roman" w:eastAsia="Times New Roman" w:hAnsi="Times New Roman" w:cs="Calibri"/>
          <w:sz w:val="22"/>
          <w:szCs w:val="22"/>
        </w:rPr>
        <w:t xml:space="preserve"> En el contexto de la no aprobación de </w:t>
      </w:r>
      <w:r w:rsidR="0022699D">
        <w:rPr>
          <w:rFonts w:ascii="Times New Roman" w:eastAsia="Times New Roman" w:hAnsi="Times New Roman" w:cs="Calibri"/>
          <w:sz w:val="22"/>
          <w:szCs w:val="22"/>
        </w:rPr>
        <w:t>préstamos</w:t>
      </w:r>
      <w:r w:rsidR="00C5202A">
        <w:rPr>
          <w:rFonts w:ascii="Times New Roman" w:eastAsia="Times New Roman" w:hAnsi="Times New Roman" w:cs="Calibri"/>
          <w:sz w:val="22"/>
          <w:szCs w:val="22"/>
        </w:rPr>
        <w:t xml:space="preserve"> y de condiciones más rigurosas en el mercado local de bonos en cuanto a una mayor tasa y un menor plazo de colocación, fue que se realiz</w:t>
      </w:r>
      <w:r w:rsidR="004068F9">
        <w:rPr>
          <w:rFonts w:ascii="Times New Roman" w:eastAsia="Times New Roman" w:hAnsi="Times New Roman" w:cs="Calibri"/>
          <w:sz w:val="22"/>
          <w:szCs w:val="22"/>
        </w:rPr>
        <w:t>ó</w:t>
      </w:r>
      <w:r w:rsidR="00C5202A">
        <w:rPr>
          <w:rFonts w:ascii="Times New Roman" w:eastAsia="Times New Roman" w:hAnsi="Times New Roman" w:cs="Calibri"/>
          <w:sz w:val="22"/>
          <w:szCs w:val="22"/>
        </w:rPr>
        <w:t xml:space="preserve"> la colocación de dos Eurobonos en fechas diferentes durante 2023, situación que no se había presentado en años anteriores.</w:t>
      </w:r>
    </w:p>
    <w:p w14:paraId="0A120DD8" w14:textId="476F12B5" w:rsidR="0039645E" w:rsidRPr="004A66F0" w:rsidRDefault="00C5202A" w:rsidP="00C5202A">
      <w:pPr>
        <w:jc w:val="both"/>
        <w:rPr>
          <w:rFonts w:ascii="Times New Roman" w:eastAsia="Times New Roman" w:hAnsi="Times New Roman" w:cs="Calibri"/>
          <w:sz w:val="22"/>
          <w:szCs w:val="22"/>
        </w:rPr>
      </w:pPr>
      <w:r>
        <w:rPr>
          <w:rFonts w:ascii="Times New Roman" w:eastAsia="Times New Roman" w:hAnsi="Times New Roman" w:cs="Calibri"/>
          <w:sz w:val="22"/>
          <w:szCs w:val="22"/>
        </w:rPr>
        <w:lastRenderedPageBreak/>
        <w:t>En lo referente al d</w:t>
      </w:r>
      <w:r w:rsidR="0039645E" w:rsidRPr="004A66F0">
        <w:rPr>
          <w:rFonts w:ascii="Times New Roman" w:eastAsia="Times New Roman" w:hAnsi="Times New Roman" w:cs="Calibri"/>
          <w:sz w:val="22"/>
          <w:szCs w:val="22"/>
        </w:rPr>
        <w:t>esembolso de préstamos externos al cierre de 202</w:t>
      </w:r>
      <w:r>
        <w:rPr>
          <w:rFonts w:ascii="Times New Roman" w:eastAsia="Times New Roman" w:hAnsi="Times New Roman" w:cs="Calibri"/>
          <w:sz w:val="22"/>
          <w:szCs w:val="22"/>
        </w:rPr>
        <w:t>3</w:t>
      </w:r>
      <w:r w:rsidR="0039645E" w:rsidRPr="004A66F0">
        <w:rPr>
          <w:rFonts w:ascii="Times New Roman" w:eastAsia="Times New Roman" w:hAnsi="Times New Roman" w:cs="Calibri"/>
          <w:sz w:val="22"/>
          <w:szCs w:val="22"/>
        </w:rPr>
        <w:t>, fueron m</w:t>
      </w:r>
      <w:r w:rsidR="00EF2997">
        <w:rPr>
          <w:rFonts w:ascii="Times New Roman" w:eastAsia="Times New Roman" w:hAnsi="Times New Roman" w:cs="Calibri"/>
          <w:sz w:val="22"/>
          <w:szCs w:val="22"/>
        </w:rPr>
        <w:t xml:space="preserve">enores </w:t>
      </w:r>
      <w:r w:rsidR="0039645E" w:rsidRPr="004A66F0">
        <w:rPr>
          <w:rFonts w:ascii="Times New Roman" w:eastAsia="Times New Roman" w:hAnsi="Times New Roman" w:cs="Calibri"/>
          <w:sz w:val="22"/>
          <w:szCs w:val="22"/>
        </w:rPr>
        <w:t>en comparación a 202</w:t>
      </w:r>
      <w:r w:rsidR="00EF2997">
        <w:rPr>
          <w:rFonts w:ascii="Times New Roman" w:eastAsia="Times New Roman" w:hAnsi="Times New Roman" w:cs="Calibri"/>
          <w:sz w:val="22"/>
          <w:szCs w:val="22"/>
        </w:rPr>
        <w:t>2</w:t>
      </w:r>
      <w:r w:rsidR="0039645E" w:rsidRPr="004A66F0">
        <w:rPr>
          <w:rFonts w:ascii="Times New Roman" w:eastAsia="Times New Roman" w:hAnsi="Times New Roman" w:cs="Calibri"/>
          <w:sz w:val="22"/>
          <w:szCs w:val="22"/>
        </w:rPr>
        <w:t xml:space="preserve">, alcanzando </w:t>
      </w:r>
      <w:r w:rsidR="002F697B">
        <w:rPr>
          <w:rFonts w:ascii="Times New Roman" w:eastAsia="Times New Roman" w:hAnsi="Times New Roman" w:cs="Calibri"/>
          <w:sz w:val="22"/>
          <w:szCs w:val="22"/>
        </w:rPr>
        <w:t>el</w:t>
      </w:r>
      <w:r w:rsidR="0039645E" w:rsidRPr="004A66F0">
        <w:rPr>
          <w:rFonts w:ascii="Times New Roman" w:eastAsia="Times New Roman" w:hAnsi="Times New Roman" w:cs="Calibri"/>
          <w:sz w:val="22"/>
          <w:szCs w:val="22"/>
        </w:rPr>
        <w:t xml:space="preserve"> monto de Q</w:t>
      </w:r>
      <w:r w:rsidR="00EF2997">
        <w:rPr>
          <w:rFonts w:ascii="Times New Roman" w:eastAsia="Times New Roman" w:hAnsi="Times New Roman" w:cs="Calibri"/>
          <w:sz w:val="22"/>
          <w:szCs w:val="22"/>
        </w:rPr>
        <w:t>1</w:t>
      </w:r>
      <w:r w:rsidR="0039645E" w:rsidRPr="004A66F0">
        <w:rPr>
          <w:rFonts w:ascii="Times New Roman" w:eastAsia="Times New Roman" w:hAnsi="Times New Roman" w:cs="Calibri"/>
          <w:sz w:val="22"/>
          <w:szCs w:val="22"/>
        </w:rPr>
        <w:t>,</w:t>
      </w:r>
      <w:r w:rsidR="00EF2997">
        <w:rPr>
          <w:rFonts w:ascii="Times New Roman" w:eastAsia="Times New Roman" w:hAnsi="Times New Roman" w:cs="Calibri"/>
          <w:sz w:val="22"/>
          <w:szCs w:val="22"/>
        </w:rPr>
        <w:t>163.1</w:t>
      </w:r>
      <w:r w:rsidR="0039645E" w:rsidRPr="004A66F0">
        <w:rPr>
          <w:rFonts w:ascii="Times New Roman" w:eastAsia="Times New Roman" w:hAnsi="Times New Roman" w:cs="Calibri"/>
          <w:sz w:val="22"/>
          <w:szCs w:val="22"/>
        </w:rPr>
        <w:t xml:space="preserve"> millones.</w:t>
      </w:r>
      <w:r w:rsidR="00EF2997">
        <w:rPr>
          <w:rFonts w:ascii="Times New Roman" w:eastAsia="Times New Roman" w:hAnsi="Times New Roman" w:cs="Calibri"/>
          <w:sz w:val="22"/>
          <w:szCs w:val="22"/>
        </w:rPr>
        <w:t xml:space="preserve"> Mientras que los préstamos netos fueron negativos en Q1,568.0 millones, dado que las amortizaciones fueron mayores a los desembolsos.</w:t>
      </w:r>
      <w:r w:rsidR="0039645E" w:rsidRPr="004A66F0">
        <w:rPr>
          <w:rFonts w:ascii="Times New Roman" w:eastAsia="Times New Roman" w:hAnsi="Times New Roman" w:cs="Calibri"/>
          <w:sz w:val="22"/>
          <w:szCs w:val="22"/>
        </w:rPr>
        <w:t xml:space="preserve"> </w:t>
      </w:r>
    </w:p>
    <w:p w14:paraId="71A9E0BF" w14:textId="77777777" w:rsidR="0039645E" w:rsidRPr="004A66F0" w:rsidRDefault="0039645E" w:rsidP="0039645E">
      <w:pPr>
        <w:jc w:val="both"/>
        <w:rPr>
          <w:rFonts w:ascii="Times New Roman" w:eastAsia="Times New Roman" w:hAnsi="Times New Roman" w:cs="Calibri"/>
          <w:sz w:val="22"/>
          <w:szCs w:val="22"/>
        </w:rPr>
      </w:pPr>
    </w:p>
    <w:p w14:paraId="65A79163" w14:textId="0B2D9175" w:rsidR="00533EE7" w:rsidRPr="00533EE7" w:rsidRDefault="00400EB0" w:rsidP="0039645E">
      <w:pPr>
        <w:jc w:val="both"/>
        <w:rPr>
          <w:rFonts w:ascii="Times New Roman" w:eastAsia="Times New Roman" w:hAnsi="Times New Roman" w:cs="Calibri"/>
          <w:sz w:val="22"/>
          <w:szCs w:val="22"/>
        </w:rPr>
      </w:pPr>
      <w:r>
        <w:rPr>
          <w:rFonts w:ascii="Times New Roman" w:eastAsia="Times New Roman" w:hAnsi="Times New Roman" w:cs="Calibri"/>
          <w:sz w:val="22"/>
          <w:szCs w:val="22"/>
        </w:rPr>
        <w:t>E</w:t>
      </w:r>
      <w:r w:rsidR="00533EE7">
        <w:rPr>
          <w:rFonts w:ascii="Times New Roman" w:eastAsia="Times New Roman" w:hAnsi="Times New Roman" w:cs="Calibri"/>
          <w:sz w:val="22"/>
          <w:szCs w:val="22"/>
        </w:rPr>
        <w:t>n total, cinco organismos realizaron desembolsos de préstamos en 2023, siendo el BID el que desembols</w:t>
      </w:r>
      <w:r w:rsidR="002F697B">
        <w:rPr>
          <w:rFonts w:ascii="Times New Roman" w:eastAsia="Times New Roman" w:hAnsi="Times New Roman" w:cs="Calibri"/>
          <w:sz w:val="22"/>
          <w:szCs w:val="22"/>
        </w:rPr>
        <w:t>ó</w:t>
      </w:r>
      <w:r w:rsidR="00533EE7">
        <w:rPr>
          <w:rFonts w:ascii="Times New Roman" w:eastAsia="Times New Roman" w:hAnsi="Times New Roman" w:cs="Calibri"/>
          <w:sz w:val="22"/>
          <w:szCs w:val="22"/>
        </w:rPr>
        <w:t xml:space="preserve"> la mayor cantidad de recursos con Q715.9 millones, seguido del BIRF por Q176.3 millones, el </w:t>
      </w:r>
      <w:r w:rsidR="00A72256">
        <w:rPr>
          <w:rFonts w:ascii="Times New Roman" w:eastAsia="Times New Roman" w:hAnsi="Times New Roman" w:cs="Calibri"/>
          <w:sz w:val="22"/>
          <w:szCs w:val="22"/>
        </w:rPr>
        <w:t>Banco Centroamerica</w:t>
      </w:r>
      <w:r w:rsidR="00035ACE">
        <w:rPr>
          <w:rFonts w:ascii="Times New Roman" w:eastAsia="Times New Roman" w:hAnsi="Times New Roman" w:cs="Calibri"/>
          <w:sz w:val="22"/>
          <w:szCs w:val="22"/>
        </w:rPr>
        <w:t>no</w:t>
      </w:r>
      <w:r w:rsidR="00A72256">
        <w:rPr>
          <w:rFonts w:ascii="Times New Roman" w:eastAsia="Times New Roman" w:hAnsi="Times New Roman" w:cs="Calibri"/>
          <w:sz w:val="22"/>
          <w:szCs w:val="22"/>
        </w:rPr>
        <w:t xml:space="preserve"> de Integración Económica (</w:t>
      </w:r>
      <w:r w:rsidR="00533EE7">
        <w:rPr>
          <w:rFonts w:ascii="Times New Roman" w:eastAsia="Times New Roman" w:hAnsi="Times New Roman" w:cs="Calibri"/>
          <w:sz w:val="22"/>
          <w:szCs w:val="22"/>
        </w:rPr>
        <w:t>BCIE</w:t>
      </w:r>
      <w:r w:rsidR="00A72256">
        <w:rPr>
          <w:rFonts w:ascii="Times New Roman" w:eastAsia="Times New Roman" w:hAnsi="Times New Roman" w:cs="Calibri"/>
          <w:sz w:val="22"/>
          <w:szCs w:val="22"/>
        </w:rPr>
        <w:t>)</w:t>
      </w:r>
      <w:r w:rsidR="00533EE7">
        <w:rPr>
          <w:rFonts w:ascii="Times New Roman" w:eastAsia="Times New Roman" w:hAnsi="Times New Roman" w:cs="Calibri"/>
          <w:sz w:val="22"/>
          <w:szCs w:val="22"/>
        </w:rPr>
        <w:t xml:space="preserve"> por Q217.0 millones, la cooperación alemana </w:t>
      </w:r>
      <w:proofErr w:type="spellStart"/>
      <w:r w:rsidR="00533EE7" w:rsidRPr="00533EE7">
        <w:rPr>
          <w:rFonts w:ascii="Times New Roman" w:eastAsia="Times New Roman" w:hAnsi="Times New Roman" w:cs="Calibri"/>
          <w:sz w:val="22"/>
          <w:szCs w:val="22"/>
        </w:rPr>
        <w:t>Kreditanstalt</w:t>
      </w:r>
      <w:proofErr w:type="spellEnd"/>
      <w:r w:rsidR="00533EE7" w:rsidRPr="00533EE7">
        <w:rPr>
          <w:rFonts w:ascii="Times New Roman" w:eastAsia="Times New Roman" w:hAnsi="Times New Roman" w:cs="Calibri"/>
          <w:sz w:val="22"/>
          <w:szCs w:val="22"/>
        </w:rPr>
        <w:t xml:space="preserve"> </w:t>
      </w:r>
      <w:proofErr w:type="spellStart"/>
      <w:r w:rsidR="00533EE7" w:rsidRPr="00533EE7">
        <w:rPr>
          <w:rFonts w:ascii="Times New Roman" w:eastAsia="Times New Roman" w:hAnsi="Times New Roman" w:cs="Calibri"/>
          <w:sz w:val="22"/>
          <w:szCs w:val="22"/>
        </w:rPr>
        <w:t>Fur</w:t>
      </w:r>
      <w:proofErr w:type="spellEnd"/>
      <w:r w:rsidR="00533EE7" w:rsidRPr="00533EE7">
        <w:rPr>
          <w:rFonts w:ascii="Times New Roman" w:eastAsia="Times New Roman" w:hAnsi="Times New Roman" w:cs="Calibri"/>
          <w:sz w:val="22"/>
          <w:szCs w:val="22"/>
        </w:rPr>
        <w:t xml:space="preserve"> </w:t>
      </w:r>
      <w:proofErr w:type="spellStart"/>
      <w:r w:rsidR="00533EE7" w:rsidRPr="00533EE7">
        <w:rPr>
          <w:rFonts w:ascii="Times New Roman" w:eastAsia="Times New Roman" w:hAnsi="Times New Roman" w:cs="Calibri"/>
          <w:sz w:val="22"/>
          <w:szCs w:val="22"/>
        </w:rPr>
        <w:t>Wiederaufbau</w:t>
      </w:r>
      <w:proofErr w:type="spellEnd"/>
      <w:r w:rsidR="00533EE7">
        <w:rPr>
          <w:rFonts w:ascii="Times New Roman" w:eastAsia="Times New Roman" w:hAnsi="Times New Roman" w:cs="Calibri"/>
          <w:sz w:val="22"/>
          <w:szCs w:val="22"/>
        </w:rPr>
        <w:t xml:space="preserve"> por Q28.4 millones y </w:t>
      </w:r>
      <w:r>
        <w:rPr>
          <w:rFonts w:ascii="Times New Roman" w:eastAsia="Times New Roman" w:hAnsi="Times New Roman" w:cs="Calibri"/>
          <w:sz w:val="22"/>
          <w:szCs w:val="22"/>
        </w:rPr>
        <w:t xml:space="preserve">la </w:t>
      </w:r>
      <w:r w:rsidRPr="00400EB0">
        <w:rPr>
          <w:rFonts w:ascii="Times New Roman" w:eastAsia="Times New Roman" w:hAnsi="Times New Roman" w:cs="Calibri"/>
          <w:sz w:val="22"/>
          <w:szCs w:val="22"/>
        </w:rPr>
        <w:t>Agencia Japonesa de Cooperación Internacional</w:t>
      </w:r>
      <w:r>
        <w:rPr>
          <w:rFonts w:ascii="Times New Roman" w:eastAsia="Times New Roman" w:hAnsi="Times New Roman" w:cs="Calibri"/>
          <w:sz w:val="22"/>
          <w:szCs w:val="22"/>
        </w:rPr>
        <w:t xml:space="preserve"> por Q25.5 millones. </w:t>
      </w:r>
    </w:p>
    <w:p w14:paraId="764E31D7" w14:textId="77777777" w:rsidR="00400EB0" w:rsidRDefault="00400EB0" w:rsidP="00400EB0">
      <w:pPr>
        <w:jc w:val="both"/>
        <w:rPr>
          <w:rFonts w:ascii="Times New Roman" w:eastAsia="Times New Roman" w:hAnsi="Times New Roman" w:cs="Calibri"/>
          <w:sz w:val="22"/>
          <w:szCs w:val="22"/>
        </w:rPr>
      </w:pPr>
    </w:p>
    <w:p w14:paraId="0F895DD0" w14:textId="6E31F7F6" w:rsidR="00400EB0" w:rsidRDefault="00400EB0" w:rsidP="00400EB0">
      <w:pPr>
        <w:jc w:val="both"/>
        <w:rPr>
          <w:rFonts w:ascii="Times New Roman" w:eastAsia="Times New Roman" w:hAnsi="Times New Roman" w:cs="Calibri"/>
          <w:sz w:val="22"/>
          <w:szCs w:val="22"/>
        </w:rPr>
      </w:pPr>
      <w:r>
        <w:rPr>
          <w:rFonts w:ascii="Times New Roman" w:eastAsia="Times New Roman" w:hAnsi="Times New Roman" w:cs="Calibri"/>
          <w:sz w:val="22"/>
          <w:szCs w:val="22"/>
        </w:rPr>
        <w:t>Los</w:t>
      </w:r>
      <w:r w:rsidRPr="00533EE7">
        <w:rPr>
          <w:rFonts w:ascii="Times New Roman" w:eastAsia="Times New Roman" w:hAnsi="Times New Roman" w:cs="Calibri"/>
          <w:sz w:val="22"/>
          <w:szCs w:val="22"/>
        </w:rPr>
        <w:t xml:space="preserve"> préstamo</w:t>
      </w:r>
      <w:r>
        <w:rPr>
          <w:rFonts w:ascii="Times New Roman" w:eastAsia="Times New Roman" w:hAnsi="Times New Roman" w:cs="Calibri"/>
          <w:sz w:val="22"/>
          <w:szCs w:val="22"/>
        </w:rPr>
        <w:t>s</w:t>
      </w:r>
      <w:r w:rsidRPr="00533EE7">
        <w:rPr>
          <w:rFonts w:ascii="Times New Roman" w:eastAsia="Times New Roman" w:hAnsi="Times New Roman" w:cs="Calibri"/>
          <w:sz w:val="22"/>
          <w:szCs w:val="22"/>
        </w:rPr>
        <w:t xml:space="preserve"> con mayores desembolsos</w:t>
      </w:r>
      <w:r>
        <w:rPr>
          <w:rFonts w:ascii="Times New Roman" w:eastAsia="Times New Roman" w:hAnsi="Times New Roman" w:cs="Calibri"/>
          <w:sz w:val="22"/>
          <w:szCs w:val="22"/>
        </w:rPr>
        <w:t xml:space="preserve"> son</w:t>
      </w:r>
      <w:r w:rsidRPr="00533EE7">
        <w:rPr>
          <w:rFonts w:ascii="Times New Roman" w:eastAsia="Times New Roman" w:hAnsi="Times New Roman" w:cs="Calibri"/>
          <w:sz w:val="22"/>
          <w:szCs w:val="22"/>
        </w:rPr>
        <w:t xml:space="preserve"> el Programa para el Mejoramiento de la Cobertura y Calidad Educativa por Q408.9 millones con el Banco Interamericano de Desarrollo (BID). Seguido de otro préstamo por Q291.3 millones del Programa de Desarrollo de la Infraestructura Vial, del mismo organismo. </w:t>
      </w:r>
    </w:p>
    <w:p w14:paraId="713DBE31" w14:textId="77777777" w:rsidR="0039645E" w:rsidRDefault="0039645E" w:rsidP="0039645E">
      <w:pPr>
        <w:jc w:val="both"/>
        <w:rPr>
          <w:rFonts w:ascii="Times New Roman" w:eastAsia="Times New Roman" w:hAnsi="Times New Roman" w:cs="Calibri"/>
          <w:sz w:val="22"/>
          <w:szCs w:val="22"/>
        </w:rPr>
      </w:pPr>
    </w:p>
    <w:p w14:paraId="242FE4A5" w14:textId="03CB6A4B" w:rsidR="0039645E" w:rsidRPr="004245AE" w:rsidRDefault="004245AE" w:rsidP="004245AE">
      <w:pPr>
        <w:pStyle w:val="Descripcin"/>
        <w:keepNext/>
        <w:spacing w:after="0"/>
        <w:jc w:val="center"/>
        <w:rPr>
          <w:sz w:val="22"/>
          <w:szCs w:val="22"/>
        </w:rPr>
      </w:pPr>
      <w:bookmarkStart w:id="110" w:name="_Toc125534813"/>
      <w:bookmarkStart w:id="111" w:name="_Toc160196922"/>
      <w:r w:rsidRPr="004245AE">
        <w:rPr>
          <w:sz w:val="22"/>
          <w:szCs w:val="22"/>
        </w:rPr>
        <w:t xml:space="preserve">Tabla </w:t>
      </w:r>
      <w:r w:rsidRPr="004245AE">
        <w:rPr>
          <w:sz w:val="22"/>
          <w:szCs w:val="22"/>
        </w:rPr>
        <w:fldChar w:fldCharType="begin"/>
      </w:r>
      <w:r w:rsidRPr="004245AE">
        <w:rPr>
          <w:sz w:val="22"/>
          <w:szCs w:val="22"/>
        </w:rPr>
        <w:instrText xml:space="preserve"> SEQ Tabla \* ARABIC </w:instrText>
      </w:r>
      <w:r w:rsidRPr="004245AE">
        <w:rPr>
          <w:sz w:val="22"/>
          <w:szCs w:val="22"/>
        </w:rPr>
        <w:fldChar w:fldCharType="separate"/>
      </w:r>
      <w:r w:rsidR="00C015DC">
        <w:rPr>
          <w:noProof/>
          <w:sz w:val="22"/>
          <w:szCs w:val="22"/>
        </w:rPr>
        <w:t>7</w:t>
      </w:r>
      <w:r w:rsidRPr="004245AE">
        <w:rPr>
          <w:sz w:val="22"/>
          <w:szCs w:val="22"/>
        </w:rPr>
        <w:fldChar w:fldCharType="end"/>
      </w:r>
      <w:r w:rsidRPr="004245AE">
        <w:rPr>
          <w:sz w:val="22"/>
          <w:szCs w:val="22"/>
        </w:rPr>
        <w:t xml:space="preserve">.  </w:t>
      </w:r>
      <w:r w:rsidR="0039645E" w:rsidRPr="004245AE">
        <w:rPr>
          <w:rFonts w:eastAsia="Times New Roman" w:cs="Times New Roman"/>
          <w:sz w:val="22"/>
          <w:szCs w:val="22"/>
        </w:rPr>
        <w:t>Desembolsos de Préstamos por Organismo y Destino 202</w:t>
      </w:r>
      <w:bookmarkEnd w:id="110"/>
      <w:r w:rsidR="00EF2997" w:rsidRPr="004245AE">
        <w:rPr>
          <w:rFonts w:eastAsia="Times New Roman" w:cs="Times New Roman"/>
          <w:sz w:val="22"/>
          <w:szCs w:val="22"/>
        </w:rPr>
        <w:t>3</w:t>
      </w:r>
      <w:bookmarkEnd w:id="111"/>
    </w:p>
    <w:p w14:paraId="5C6346F6" w14:textId="12253061" w:rsidR="0039645E" w:rsidRPr="004245AE" w:rsidRDefault="0039645E" w:rsidP="0039645E">
      <w:pPr>
        <w:jc w:val="center"/>
        <w:rPr>
          <w:rFonts w:ascii="Times New Roman" w:eastAsia="Times New Roman" w:hAnsi="Times New Roman" w:cs="Times New Roman"/>
          <w:sz w:val="22"/>
          <w:szCs w:val="22"/>
        </w:rPr>
      </w:pPr>
      <w:r w:rsidRPr="004245AE">
        <w:rPr>
          <w:rFonts w:ascii="Times New Roman" w:eastAsia="Times New Roman" w:hAnsi="Times New Roman" w:cs="Times New Roman"/>
          <w:sz w:val="22"/>
          <w:szCs w:val="22"/>
        </w:rPr>
        <w:t xml:space="preserve">Cifras en millones de quetzales </w:t>
      </w:r>
    </w:p>
    <w:tbl>
      <w:tblPr>
        <w:tblW w:w="8212" w:type="dxa"/>
        <w:jc w:val="center"/>
        <w:tblCellMar>
          <w:left w:w="70" w:type="dxa"/>
          <w:right w:w="70" w:type="dxa"/>
        </w:tblCellMar>
        <w:tblLook w:val="04A0" w:firstRow="1" w:lastRow="0" w:firstColumn="1" w:lastColumn="0" w:noHBand="0" w:noVBand="1"/>
      </w:tblPr>
      <w:tblGrid>
        <w:gridCol w:w="6794"/>
        <w:gridCol w:w="1418"/>
      </w:tblGrid>
      <w:tr w:rsidR="00533EE7" w:rsidRPr="00533EE7" w14:paraId="6FF1F8E8" w14:textId="77777777" w:rsidTr="004A4C21">
        <w:trPr>
          <w:trHeight w:val="525"/>
          <w:jc w:val="center"/>
        </w:trPr>
        <w:tc>
          <w:tcPr>
            <w:tcW w:w="6794" w:type="dxa"/>
            <w:tcBorders>
              <w:top w:val="single" w:sz="8" w:space="0" w:color="auto"/>
              <w:left w:val="single" w:sz="8" w:space="0" w:color="auto"/>
              <w:bottom w:val="single" w:sz="8" w:space="0" w:color="auto"/>
              <w:right w:val="single" w:sz="8" w:space="0" w:color="auto"/>
            </w:tcBorders>
            <w:shd w:val="clear" w:color="000000" w:fill="333F4F"/>
            <w:noWrap/>
            <w:vAlign w:val="center"/>
            <w:hideMark/>
          </w:tcPr>
          <w:p w14:paraId="78F9CA41" w14:textId="77777777" w:rsidR="00533EE7" w:rsidRPr="00533EE7" w:rsidRDefault="00533EE7" w:rsidP="00533EE7">
            <w:pPr>
              <w:jc w:val="center"/>
              <w:rPr>
                <w:rFonts w:ascii="Times New Roman" w:eastAsia="Times New Roman" w:hAnsi="Times New Roman" w:cs="Times New Roman"/>
                <w:b/>
                <w:bCs/>
                <w:color w:val="FFFFFF"/>
                <w:sz w:val="20"/>
                <w:szCs w:val="20"/>
                <w:lang w:eastAsia="es-GT"/>
              </w:rPr>
            </w:pPr>
            <w:r w:rsidRPr="00533EE7">
              <w:rPr>
                <w:rFonts w:ascii="Times New Roman" w:eastAsia="Times New Roman" w:hAnsi="Times New Roman" w:cs="Times New Roman"/>
                <w:b/>
                <w:bCs/>
                <w:color w:val="FFFFFF"/>
                <w:sz w:val="20"/>
                <w:szCs w:val="20"/>
                <w:lang w:eastAsia="es-GT"/>
              </w:rPr>
              <w:t>Organismo y Destino</w:t>
            </w:r>
          </w:p>
        </w:tc>
        <w:tc>
          <w:tcPr>
            <w:tcW w:w="1418" w:type="dxa"/>
            <w:tcBorders>
              <w:top w:val="single" w:sz="8" w:space="0" w:color="auto"/>
              <w:left w:val="nil"/>
              <w:bottom w:val="single" w:sz="8" w:space="0" w:color="auto"/>
              <w:right w:val="single" w:sz="8" w:space="0" w:color="auto"/>
            </w:tcBorders>
            <w:shd w:val="clear" w:color="000000" w:fill="333F4F"/>
            <w:vAlign w:val="center"/>
            <w:hideMark/>
          </w:tcPr>
          <w:p w14:paraId="21D127D6" w14:textId="77777777" w:rsidR="00533EE7" w:rsidRPr="00533EE7" w:rsidRDefault="00533EE7" w:rsidP="00533EE7">
            <w:pPr>
              <w:jc w:val="center"/>
              <w:rPr>
                <w:rFonts w:ascii="Times New Roman" w:eastAsia="Times New Roman" w:hAnsi="Times New Roman" w:cs="Times New Roman"/>
                <w:b/>
                <w:bCs/>
                <w:color w:val="FFFFFF"/>
                <w:sz w:val="20"/>
                <w:szCs w:val="20"/>
                <w:lang w:eastAsia="es-GT"/>
              </w:rPr>
            </w:pPr>
            <w:r w:rsidRPr="00533EE7">
              <w:rPr>
                <w:rFonts w:ascii="Times New Roman" w:eastAsia="Times New Roman" w:hAnsi="Times New Roman" w:cs="Times New Roman"/>
                <w:b/>
                <w:bCs/>
                <w:color w:val="FFFFFF"/>
                <w:sz w:val="20"/>
                <w:szCs w:val="20"/>
                <w:lang w:eastAsia="es-GT"/>
              </w:rPr>
              <w:t>Devengado en Millones</w:t>
            </w:r>
          </w:p>
        </w:tc>
      </w:tr>
      <w:tr w:rsidR="00533EE7" w:rsidRPr="00533EE7" w14:paraId="2654C3F5" w14:textId="77777777" w:rsidTr="004A4C21">
        <w:trPr>
          <w:trHeight w:val="255"/>
          <w:jc w:val="center"/>
        </w:trPr>
        <w:tc>
          <w:tcPr>
            <w:tcW w:w="6794" w:type="dxa"/>
            <w:tcBorders>
              <w:top w:val="nil"/>
              <w:left w:val="single" w:sz="8" w:space="0" w:color="auto"/>
              <w:bottom w:val="dotted" w:sz="4" w:space="0" w:color="auto"/>
              <w:right w:val="single" w:sz="8" w:space="0" w:color="auto"/>
            </w:tcBorders>
            <w:shd w:val="clear" w:color="000000" w:fill="FFFFFF"/>
            <w:noWrap/>
            <w:vAlign w:val="center"/>
            <w:hideMark/>
          </w:tcPr>
          <w:p w14:paraId="30E6D704" w14:textId="77777777" w:rsidR="00533EE7" w:rsidRPr="00533EE7" w:rsidRDefault="00533EE7" w:rsidP="00533EE7">
            <w:pPr>
              <w:jc w:val="center"/>
              <w:rPr>
                <w:rFonts w:ascii="Times New Roman" w:eastAsia="Times New Roman" w:hAnsi="Times New Roman" w:cs="Times New Roman"/>
                <w:b/>
                <w:bCs/>
                <w:color w:val="000000"/>
                <w:sz w:val="20"/>
                <w:szCs w:val="20"/>
                <w:lang w:eastAsia="es-GT"/>
              </w:rPr>
            </w:pPr>
            <w:r w:rsidRPr="00533EE7">
              <w:rPr>
                <w:rFonts w:ascii="Times New Roman" w:eastAsia="Times New Roman" w:hAnsi="Times New Roman" w:cs="Times New Roman"/>
                <w:b/>
                <w:bCs/>
                <w:color w:val="000000"/>
                <w:sz w:val="20"/>
                <w:szCs w:val="20"/>
                <w:lang w:eastAsia="es-GT"/>
              </w:rPr>
              <w:t>TOTAL</w:t>
            </w:r>
          </w:p>
        </w:tc>
        <w:tc>
          <w:tcPr>
            <w:tcW w:w="1418" w:type="dxa"/>
            <w:tcBorders>
              <w:top w:val="nil"/>
              <w:left w:val="nil"/>
              <w:bottom w:val="dotted" w:sz="4" w:space="0" w:color="auto"/>
              <w:right w:val="single" w:sz="8" w:space="0" w:color="auto"/>
            </w:tcBorders>
            <w:shd w:val="clear" w:color="000000" w:fill="FFFFFF"/>
            <w:noWrap/>
            <w:vAlign w:val="center"/>
            <w:hideMark/>
          </w:tcPr>
          <w:p w14:paraId="22D37C50" w14:textId="77777777" w:rsidR="00533EE7" w:rsidRPr="00533EE7" w:rsidRDefault="00533EE7" w:rsidP="00533EE7">
            <w:pPr>
              <w:jc w:val="center"/>
              <w:rPr>
                <w:rFonts w:ascii="Times New Roman" w:eastAsia="Times New Roman" w:hAnsi="Times New Roman" w:cs="Times New Roman"/>
                <w:b/>
                <w:bCs/>
                <w:color w:val="000000"/>
                <w:sz w:val="20"/>
                <w:szCs w:val="20"/>
                <w:lang w:eastAsia="es-GT"/>
              </w:rPr>
            </w:pPr>
            <w:r w:rsidRPr="00533EE7">
              <w:rPr>
                <w:rFonts w:ascii="Times New Roman" w:eastAsia="Times New Roman" w:hAnsi="Times New Roman" w:cs="Times New Roman"/>
                <w:b/>
                <w:bCs/>
                <w:color w:val="000000"/>
                <w:sz w:val="20"/>
                <w:szCs w:val="20"/>
                <w:lang w:eastAsia="es-GT"/>
              </w:rPr>
              <w:t>1,163.1</w:t>
            </w:r>
          </w:p>
        </w:tc>
      </w:tr>
      <w:tr w:rsidR="00533EE7" w:rsidRPr="00533EE7" w14:paraId="6D61BE5E" w14:textId="77777777" w:rsidTr="004A4C21">
        <w:trPr>
          <w:trHeight w:val="255"/>
          <w:jc w:val="center"/>
        </w:trPr>
        <w:tc>
          <w:tcPr>
            <w:tcW w:w="6794" w:type="dxa"/>
            <w:tcBorders>
              <w:top w:val="nil"/>
              <w:left w:val="single" w:sz="8" w:space="0" w:color="auto"/>
              <w:bottom w:val="dotted" w:sz="4" w:space="0" w:color="auto"/>
              <w:right w:val="single" w:sz="8" w:space="0" w:color="auto"/>
            </w:tcBorders>
            <w:shd w:val="clear" w:color="000000" w:fill="F2F2F2"/>
            <w:noWrap/>
            <w:vAlign w:val="center"/>
            <w:hideMark/>
          </w:tcPr>
          <w:p w14:paraId="1CEE5F01" w14:textId="77777777" w:rsidR="00533EE7" w:rsidRPr="00533EE7" w:rsidRDefault="00533EE7" w:rsidP="00533EE7">
            <w:pPr>
              <w:rPr>
                <w:rFonts w:ascii="Times New Roman" w:eastAsia="Times New Roman" w:hAnsi="Times New Roman" w:cs="Times New Roman"/>
                <w:b/>
                <w:bCs/>
                <w:color w:val="000000"/>
                <w:sz w:val="20"/>
                <w:szCs w:val="20"/>
                <w:lang w:eastAsia="es-GT"/>
              </w:rPr>
            </w:pPr>
            <w:r w:rsidRPr="00533EE7">
              <w:rPr>
                <w:rFonts w:ascii="Times New Roman" w:eastAsia="Times New Roman" w:hAnsi="Times New Roman" w:cs="Times New Roman"/>
                <w:b/>
                <w:bCs/>
                <w:color w:val="000000"/>
                <w:sz w:val="20"/>
                <w:szCs w:val="20"/>
                <w:lang w:eastAsia="es-GT"/>
              </w:rPr>
              <w:t>Banco Centroamericano de Integración Económica (BCIE)</w:t>
            </w:r>
          </w:p>
        </w:tc>
        <w:tc>
          <w:tcPr>
            <w:tcW w:w="1418" w:type="dxa"/>
            <w:tcBorders>
              <w:top w:val="nil"/>
              <w:left w:val="nil"/>
              <w:bottom w:val="dotted" w:sz="4" w:space="0" w:color="auto"/>
              <w:right w:val="single" w:sz="8" w:space="0" w:color="auto"/>
            </w:tcBorders>
            <w:shd w:val="clear" w:color="000000" w:fill="F2F2F2"/>
            <w:noWrap/>
            <w:vAlign w:val="center"/>
            <w:hideMark/>
          </w:tcPr>
          <w:p w14:paraId="7FBF6A66" w14:textId="77777777" w:rsidR="00533EE7" w:rsidRPr="00533EE7" w:rsidRDefault="00533EE7" w:rsidP="00533EE7">
            <w:pPr>
              <w:jc w:val="center"/>
              <w:rPr>
                <w:rFonts w:ascii="Times New Roman" w:eastAsia="Times New Roman" w:hAnsi="Times New Roman" w:cs="Times New Roman"/>
                <w:b/>
                <w:bCs/>
                <w:color w:val="000000"/>
                <w:sz w:val="20"/>
                <w:szCs w:val="20"/>
                <w:lang w:eastAsia="es-GT"/>
              </w:rPr>
            </w:pPr>
            <w:r w:rsidRPr="00533EE7">
              <w:rPr>
                <w:rFonts w:ascii="Times New Roman" w:eastAsia="Times New Roman" w:hAnsi="Times New Roman" w:cs="Times New Roman"/>
                <w:b/>
                <w:bCs/>
                <w:color w:val="000000"/>
                <w:sz w:val="20"/>
                <w:szCs w:val="20"/>
                <w:lang w:eastAsia="es-GT"/>
              </w:rPr>
              <w:t>217.0</w:t>
            </w:r>
          </w:p>
        </w:tc>
      </w:tr>
      <w:tr w:rsidR="00533EE7" w:rsidRPr="00533EE7" w14:paraId="364B2AC7" w14:textId="77777777" w:rsidTr="004A4C21">
        <w:trPr>
          <w:trHeight w:val="510"/>
          <w:jc w:val="center"/>
        </w:trPr>
        <w:tc>
          <w:tcPr>
            <w:tcW w:w="6794" w:type="dxa"/>
            <w:tcBorders>
              <w:top w:val="nil"/>
              <w:left w:val="single" w:sz="8" w:space="0" w:color="auto"/>
              <w:bottom w:val="dotted" w:sz="4" w:space="0" w:color="auto"/>
              <w:right w:val="single" w:sz="8" w:space="0" w:color="auto"/>
            </w:tcBorders>
            <w:shd w:val="clear" w:color="000000" w:fill="FFFFFF"/>
            <w:vAlign w:val="center"/>
            <w:hideMark/>
          </w:tcPr>
          <w:p w14:paraId="59D10AF7" w14:textId="77777777" w:rsidR="00533EE7" w:rsidRPr="00533EE7" w:rsidRDefault="00533EE7" w:rsidP="00533EE7">
            <w:pPr>
              <w:ind w:firstLineChars="200" w:firstLine="400"/>
              <w:rPr>
                <w:rFonts w:ascii="Times New Roman" w:eastAsia="Times New Roman" w:hAnsi="Times New Roman" w:cs="Times New Roman"/>
                <w:color w:val="000000"/>
                <w:sz w:val="20"/>
                <w:szCs w:val="20"/>
                <w:lang w:eastAsia="es-GT"/>
              </w:rPr>
            </w:pPr>
            <w:r w:rsidRPr="00533EE7">
              <w:rPr>
                <w:rFonts w:ascii="Times New Roman" w:eastAsia="Times New Roman" w:hAnsi="Times New Roman" w:cs="Times New Roman"/>
                <w:color w:val="000000"/>
                <w:sz w:val="20"/>
                <w:szCs w:val="20"/>
                <w:lang w:eastAsia="es-GT"/>
              </w:rPr>
              <w:t>Programa de inversión en infraestructura y equipamiento hospitalario</w:t>
            </w:r>
          </w:p>
        </w:tc>
        <w:tc>
          <w:tcPr>
            <w:tcW w:w="1418" w:type="dxa"/>
            <w:tcBorders>
              <w:top w:val="nil"/>
              <w:left w:val="nil"/>
              <w:bottom w:val="dotted" w:sz="4" w:space="0" w:color="auto"/>
              <w:right w:val="single" w:sz="8" w:space="0" w:color="auto"/>
            </w:tcBorders>
            <w:shd w:val="clear" w:color="000000" w:fill="FFFFFF"/>
            <w:noWrap/>
            <w:vAlign w:val="center"/>
            <w:hideMark/>
          </w:tcPr>
          <w:p w14:paraId="439E9872" w14:textId="77777777" w:rsidR="00533EE7" w:rsidRPr="00533EE7" w:rsidRDefault="00533EE7" w:rsidP="00533EE7">
            <w:pPr>
              <w:jc w:val="center"/>
              <w:rPr>
                <w:rFonts w:ascii="Times New Roman" w:eastAsia="Times New Roman" w:hAnsi="Times New Roman" w:cs="Times New Roman"/>
                <w:color w:val="000000"/>
                <w:sz w:val="20"/>
                <w:szCs w:val="20"/>
                <w:lang w:eastAsia="es-GT"/>
              </w:rPr>
            </w:pPr>
            <w:r w:rsidRPr="00533EE7">
              <w:rPr>
                <w:rFonts w:ascii="Times New Roman" w:eastAsia="Times New Roman" w:hAnsi="Times New Roman" w:cs="Times New Roman"/>
                <w:color w:val="000000"/>
                <w:sz w:val="20"/>
                <w:szCs w:val="20"/>
                <w:lang w:eastAsia="es-GT"/>
              </w:rPr>
              <w:t>214.6</w:t>
            </w:r>
          </w:p>
        </w:tc>
      </w:tr>
      <w:tr w:rsidR="00533EE7" w:rsidRPr="00533EE7" w14:paraId="1DE58167" w14:textId="77777777" w:rsidTr="004A4C21">
        <w:trPr>
          <w:trHeight w:val="510"/>
          <w:jc w:val="center"/>
        </w:trPr>
        <w:tc>
          <w:tcPr>
            <w:tcW w:w="6794" w:type="dxa"/>
            <w:tcBorders>
              <w:top w:val="nil"/>
              <w:left w:val="single" w:sz="8" w:space="0" w:color="auto"/>
              <w:bottom w:val="dotted" w:sz="4" w:space="0" w:color="auto"/>
              <w:right w:val="single" w:sz="8" w:space="0" w:color="auto"/>
            </w:tcBorders>
            <w:shd w:val="clear" w:color="000000" w:fill="FFFFFF"/>
            <w:vAlign w:val="center"/>
            <w:hideMark/>
          </w:tcPr>
          <w:p w14:paraId="7CB4D434" w14:textId="77777777" w:rsidR="00533EE7" w:rsidRPr="00533EE7" w:rsidRDefault="00533EE7" w:rsidP="00533EE7">
            <w:pPr>
              <w:ind w:firstLineChars="200" w:firstLine="400"/>
              <w:rPr>
                <w:rFonts w:ascii="Times New Roman" w:eastAsia="Times New Roman" w:hAnsi="Times New Roman" w:cs="Times New Roman"/>
                <w:color w:val="000000"/>
                <w:sz w:val="20"/>
                <w:szCs w:val="20"/>
                <w:lang w:eastAsia="es-GT"/>
              </w:rPr>
            </w:pPr>
            <w:r w:rsidRPr="00533EE7">
              <w:rPr>
                <w:rFonts w:ascii="Times New Roman" w:eastAsia="Times New Roman" w:hAnsi="Times New Roman" w:cs="Times New Roman"/>
                <w:color w:val="000000"/>
                <w:sz w:val="20"/>
                <w:szCs w:val="20"/>
                <w:lang w:eastAsia="es-GT"/>
              </w:rPr>
              <w:t>Programa de inversión y modernización para el sector justicia</w:t>
            </w:r>
          </w:p>
        </w:tc>
        <w:tc>
          <w:tcPr>
            <w:tcW w:w="1418" w:type="dxa"/>
            <w:tcBorders>
              <w:top w:val="nil"/>
              <w:left w:val="nil"/>
              <w:bottom w:val="dotted" w:sz="4" w:space="0" w:color="auto"/>
              <w:right w:val="single" w:sz="8" w:space="0" w:color="auto"/>
            </w:tcBorders>
            <w:shd w:val="clear" w:color="000000" w:fill="FFFFFF"/>
            <w:noWrap/>
            <w:vAlign w:val="center"/>
            <w:hideMark/>
          </w:tcPr>
          <w:p w14:paraId="403DCCC5" w14:textId="77777777" w:rsidR="00533EE7" w:rsidRPr="00533EE7" w:rsidRDefault="00533EE7" w:rsidP="00533EE7">
            <w:pPr>
              <w:jc w:val="center"/>
              <w:rPr>
                <w:rFonts w:ascii="Times New Roman" w:eastAsia="Times New Roman" w:hAnsi="Times New Roman" w:cs="Times New Roman"/>
                <w:color w:val="000000"/>
                <w:sz w:val="20"/>
                <w:szCs w:val="20"/>
                <w:lang w:eastAsia="es-GT"/>
              </w:rPr>
            </w:pPr>
            <w:r w:rsidRPr="00533EE7">
              <w:rPr>
                <w:rFonts w:ascii="Times New Roman" w:eastAsia="Times New Roman" w:hAnsi="Times New Roman" w:cs="Times New Roman"/>
                <w:color w:val="000000"/>
                <w:sz w:val="20"/>
                <w:szCs w:val="20"/>
                <w:lang w:eastAsia="es-GT"/>
              </w:rPr>
              <w:t>2.4</w:t>
            </w:r>
          </w:p>
        </w:tc>
      </w:tr>
      <w:tr w:rsidR="00533EE7" w:rsidRPr="00533EE7" w14:paraId="52A2F4DA" w14:textId="77777777" w:rsidTr="004A4C21">
        <w:trPr>
          <w:trHeight w:val="255"/>
          <w:jc w:val="center"/>
        </w:trPr>
        <w:tc>
          <w:tcPr>
            <w:tcW w:w="6794" w:type="dxa"/>
            <w:tcBorders>
              <w:top w:val="nil"/>
              <w:left w:val="single" w:sz="8" w:space="0" w:color="auto"/>
              <w:bottom w:val="dotted" w:sz="4" w:space="0" w:color="auto"/>
              <w:right w:val="single" w:sz="8" w:space="0" w:color="auto"/>
            </w:tcBorders>
            <w:shd w:val="clear" w:color="000000" w:fill="F2F2F2"/>
            <w:noWrap/>
            <w:vAlign w:val="center"/>
            <w:hideMark/>
          </w:tcPr>
          <w:p w14:paraId="08A20C1C" w14:textId="77777777" w:rsidR="00533EE7" w:rsidRPr="00533EE7" w:rsidRDefault="00533EE7" w:rsidP="00533EE7">
            <w:pPr>
              <w:rPr>
                <w:rFonts w:ascii="Times New Roman" w:eastAsia="Times New Roman" w:hAnsi="Times New Roman" w:cs="Times New Roman"/>
                <w:b/>
                <w:bCs/>
                <w:color w:val="000000"/>
                <w:sz w:val="20"/>
                <w:szCs w:val="20"/>
                <w:lang w:eastAsia="es-GT"/>
              </w:rPr>
            </w:pPr>
            <w:r w:rsidRPr="00533EE7">
              <w:rPr>
                <w:rFonts w:ascii="Times New Roman" w:eastAsia="Times New Roman" w:hAnsi="Times New Roman" w:cs="Times New Roman"/>
                <w:b/>
                <w:bCs/>
                <w:color w:val="000000"/>
                <w:sz w:val="20"/>
                <w:szCs w:val="20"/>
                <w:lang w:eastAsia="es-GT"/>
              </w:rPr>
              <w:t>Banco Interamericano de Desarrollo (BID)</w:t>
            </w:r>
          </w:p>
        </w:tc>
        <w:tc>
          <w:tcPr>
            <w:tcW w:w="1418" w:type="dxa"/>
            <w:tcBorders>
              <w:top w:val="nil"/>
              <w:left w:val="nil"/>
              <w:bottom w:val="dotted" w:sz="4" w:space="0" w:color="auto"/>
              <w:right w:val="single" w:sz="8" w:space="0" w:color="auto"/>
            </w:tcBorders>
            <w:shd w:val="clear" w:color="000000" w:fill="F2F2F2"/>
            <w:noWrap/>
            <w:vAlign w:val="center"/>
            <w:hideMark/>
          </w:tcPr>
          <w:p w14:paraId="4BB750C8" w14:textId="77777777" w:rsidR="00533EE7" w:rsidRPr="00533EE7" w:rsidRDefault="00533EE7" w:rsidP="00533EE7">
            <w:pPr>
              <w:jc w:val="center"/>
              <w:rPr>
                <w:rFonts w:ascii="Times New Roman" w:eastAsia="Times New Roman" w:hAnsi="Times New Roman" w:cs="Times New Roman"/>
                <w:b/>
                <w:bCs/>
                <w:color w:val="000000"/>
                <w:sz w:val="20"/>
                <w:szCs w:val="20"/>
                <w:lang w:eastAsia="es-GT"/>
              </w:rPr>
            </w:pPr>
            <w:r w:rsidRPr="00533EE7">
              <w:rPr>
                <w:rFonts w:ascii="Times New Roman" w:eastAsia="Times New Roman" w:hAnsi="Times New Roman" w:cs="Times New Roman"/>
                <w:b/>
                <w:bCs/>
                <w:color w:val="000000"/>
                <w:sz w:val="20"/>
                <w:szCs w:val="20"/>
                <w:lang w:eastAsia="es-GT"/>
              </w:rPr>
              <w:t>715.9</w:t>
            </w:r>
          </w:p>
        </w:tc>
      </w:tr>
      <w:tr w:rsidR="00533EE7" w:rsidRPr="00533EE7" w14:paraId="7F04A1C1" w14:textId="77777777" w:rsidTr="004A4C21">
        <w:trPr>
          <w:trHeight w:val="510"/>
          <w:jc w:val="center"/>
        </w:trPr>
        <w:tc>
          <w:tcPr>
            <w:tcW w:w="6794" w:type="dxa"/>
            <w:tcBorders>
              <w:top w:val="nil"/>
              <w:left w:val="single" w:sz="8" w:space="0" w:color="auto"/>
              <w:bottom w:val="dotted" w:sz="4" w:space="0" w:color="auto"/>
              <w:right w:val="single" w:sz="8" w:space="0" w:color="auto"/>
            </w:tcBorders>
            <w:shd w:val="clear" w:color="000000" w:fill="FFFFFF"/>
            <w:vAlign w:val="center"/>
            <w:hideMark/>
          </w:tcPr>
          <w:p w14:paraId="5098341F" w14:textId="77777777" w:rsidR="00533EE7" w:rsidRPr="00533EE7" w:rsidRDefault="00533EE7" w:rsidP="00533EE7">
            <w:pPr>
              <w:ind w:firstLineChars="200" w:firstLine="400"/>
              <w:rPr>
                <w:rFonts w:ascii="Times New Roman" w:eastAsia="Times New Roman" w:hAnsi="Times New Roman" w:cs="Times New Roman"/>
                <w:color w:val="000000"/>
                <w:sz w:val="20"/>
                <w:szCs w:val="20"/>
                <w:lang w:eastAsia="es-GT"/>
              </w:rPr>
            </w:pPr>
            <w:r w:rsidRPr="00533EE7">
              <w:rPr>
                <w:rFonts w:ascii="Times New Roman" w:eastAsia="Times New Roman" w:hAnsi="Times New Roman" w:cs="Times New Roman"/>
                <w:color w:val="000000"/>
                <w:sz w:val="20"/>
                <w:szCs w:val="20"/>
                <w:lang w:eastAsia="es-GT"/>
              </w:rPr>
              <w:t xml:space="preserve">Programa para el mejoramiento de la cobertura y calidad educativa </w:t>
            </w:r>
          </w:p>
        </w:tc>
        <w:tc>
          <w:tcPr>
            <w:tcW w:w="1418" w:type="dxa"/>
            <w:tcBorders>
              <w:top w:val="nil"/>
              <w:left w:val="nil"/>
              <w:bottom w:val="dotted" w:sz="4" w:space="0" w:color="auto"/>
              <w:right w:val="single" w:sz="8" w:space="0" w:color="auto"/>
            </w:tcBorders>
            <w:shd w:val="clear" w:color="auto" w:fill="auto"/>
            <w:noWrap/>
            <w:vAlign w:val="center"/>
            <w:hideMark/>
          </w:tcPr>
          <w:p w14:paraId="7A147CCC" w14:textId="77777777" w:rsidR="00533EE7" w:rsidRPr="00533EE7" w:rsidRDefault="00533EE7" w:rsidP="00533EE7">
            <w:pPr>
              <w:jc w:val="center"/>
              <w:rPr>
                <w:rFonts w:ascii="Times New Roman" w:eastAsia="Times New Roman" w:hAnsi="Times New Roman" w:cs="Times New Roman"/>
                <w:color w:val="000000"/>
                <w:sz w:val="20"/>
                <w:szCs w:val="20"/>
                <w:lang w:eastAsia="es-GT"/>
              </w:rPr>
            </w:pPr>
            <w:r w:rsidRPr="00533EE7">
              <w:rPr>
                <w:rFonts w:ascii="Times New Roman" w:eastAsia="Times New Roman" w:hAnsi="Times New Roman" w:cs="Times New Roman"/>
                <w:color w:val="000000"/>
                <w:sz w:val="20"/>
                <w:szCs w:val="20"/>
                <w:lang w:eastAsia="es-GT"/>
              </w:rPr>
              <w:t>408.9</w:t>
            </w:r>
          </w:p>
        </w:tc>
      </w:tr>
      <w:tr w:rsidR="00533EE7" w:rsidRPr="00533EE7" w14:paraId="2EE28654" w14:textId="77777777" w:rsidTr="004A4C21">
        <w:trPr>
          <w:trHeight w:val="255"/>
          <w:jc w:val="center"/>
        </w:trPr>
        <w:tc>
          <w:tcPr>
            <w:tcW w:w="6794" w:type="dxa"/>
            <w:tcBorders>
              <w:top w:val="nil"/>
              <w:left w:val="single" w:sz="8" w:space="0" w:color="auto"/>
              <w:bottom w:val="dotted" w:sz="4" w:space="0" w:color="auto"/>
              <w:right w:val="single" w:sz="8" w:space="0" w:color="auto"/>
            </w:tcBorders>
            <w:shd w:val="clear" w:color="000000" w:fill="FFFFFF"/>
            <w:vAlign w:val="center"/>
            <w:hideMark/>
          </w:tcPr>
          <w:p w14:paraId="6FBE6EDC" w14:textId="77777777" w:rsidR="00533EE7" w:rsidRPr="00533EE7" w:rsidRDefault="00533EE7" w:rsidP="00533EE7">
            <w:pPr>
              <w:ind w:firstLineChars="200" w:firstLine="400"/>
              <w:rPr>
                <w:rFonts w:ascii="Times New Roman" w:eastAsia="Times New Roman" w:hAnsi="Times New Roman" w:cs="Times New Roman"/>
                <w:color w:val="000000"/>
                <w:sz w:val="20"/>
                <w:szCs w:val="20"/>
                <w:lang w:eastAsia="es-GT"/>
              </w:rPr>
            </w:pPr>
            <w:r w:rsidRPr="00533EE7">
              <w:rPr>
                <w:rFonts w:ascii="Times New Roman" w:eastAsia="Times New Roman" w:hAnsi="Times New Roman" w:cs="Times New Roman"/>
                <w:color w:val="000000"/>
                <w:sz w:val="20"/>
                <w:szCs w:val="20"/>
                <w:lang w:eastAsia="es-GT"/>
              </w:rPr>
              <w:t xml:space="preserve">Programa de Desarrollo de la Infraestructura Vial </w:t>
            </w:r>
          </w:p>
        </w:tc>
        <w:tc>
          <w:tcPr>
            <w:tcW w:w="1418" w:type="dxa"/>
            <w:tcBorders>
              <w:top w:val="nil"/>
              <w:left w:val="nil"/>
              <w:bottom w:val="dotted" w:sz="4" w:space="0" w:color="auto"/>
              <w:right w:val="single" w:sz="8" w:space="0" w:color="auto"/>
            </w:tcBorders>
            <w:shd w:val="clear" w:color="auto" w:fill="auto"/>
            <w:noWrap/>
            <w:vAlign w:val="center"/>
            <w:hideMark/>
          </w:tcPr>
          <w:p w14:paraId="77AFD099" w14:textId="77777777" w:rsidR="00533EE7" w:rsidRPr="00533EE7" w:rsidRDefault="00533EE7" w:rsidP="00533EE7">
            <w:pPr>
              <w:jc w:val="center"/>
              <w:rPr>
                <w:rFonts w:ascii="Times New Roman" w:eastAsia="Times New Roman" w:hAnsi="Times New Roman" w:cs="Times New Roman"/>
                <w:color w:val="000000"/>
                <w:sz w:val="20"/>
                <w:szCs w:val="20"/>
                <w:lang w:eastAsia="es-GT"/>
              </w:rPr>
            </w:pPr>
            <w:r w:rsidRPr="00533EE7">
              <w:rPr>
                <w:rFonts w:ascii="Times New Roman" w:eastAsia="Times New Roman" w:hAnsi="Times New Roman" w:cs="Times New Roman"/>
                <w:color w:val="000000"/>
                <w:sz w:val="20"/>
                <w:szCs w:val="20"/>
                <w:lang w:eastAsia="es-GT"/>
              </w:rPr>
              <w:t>291.3</w:t>
            </w:r>
          </w:p>
        </w:tc>
      </w:tr>
      <w:tr w:rsidR="00533EE7" w:rsidRPr="00533EE7" w14:paraId="31CBD988" w14:textId="77777777" w:rsidTr="004A4C21">
        <w:trPr>
          <w:trHeight w:val="510"/>
          <w:jc w:val="center"/>
        </w:trPr>
        <w:tc>
          <w:tcPr>
            <w:tcW w:w="6794" w:type="dxa"/>
            <w:tcBorders>
              <w:top w:val="nil"/>
              <w:left w:val="single" w:sz="8" w:space="0" w:color="auto"/>
              <w:bottom w:val="dotted" w:sz="4" w:space="0" w:color="auto"/>
              <w:right w:val="single" w:sz="8" w:space="0" w:color="auto"/>
            </w:tcBorders>
            <w:shd w:val="clear" w:color="000000" w:fill="FFFFFF"/>
            <w:vAlign w:val="center"/>
            <w:hideMark/>
          </w:tcPr>
          <w:p w14:paraId="43480B06" w14:textId="77777777" w:rsidR="00533EE7" w:rsidRPr="00533EE7" w:rsidRDefault="00533EE7" w:rsidP="00533EE7">
            <w:pPr>
              <w:ind w:firstLineChars="200" w:firstLine="400"/>
              <w:rPr>
                <w:rFonts w:ascii="Times New Roman" w:eastAsia="Times New Roman" w:hAnsi="Times New Roman" w:cs="Times New Roman"/>
                <w:color w:val="000000"/>
                <w:sz w:val="20"/>
                <w:szCs w:val="20"/>
                <w:lang w:eastAsia="es-GT"/>
              </w:rPr>
            </w:pPr>
            <w:r w:rsidRPr="00533EE7">
              <w:rPr>
                <w:rFonts w:ascii="Times New Roman" w:eastAsia="Times New Roman" w:hAnsi="Times New Roman" w:cs="Times New Roman"/>
                <w:color w:val="000000"/>
                <w:sz w:val="20"/>
                <w:szCs w:val="20"/>
                <w:lang w:eastAsia="es-GT"/>
              </w:rPr>
              <w:t xml:space="preserve">Programa de Fortalecimiento y Modernización del Ministerio Público </w:t>
            </w:r>
          </w:p>
        </w:tc>
        <w:tc>
          <w:tcPr>
            <w:tcW w:w="1418" w:type="dxa"/>
            <w:tcBorders>
              <w:top w:val="nil"/>
              <w:left w:val="nil"/>
              <w:bottom w:val="dotted" w:sz="4" w:space="0" w:color="auto"/>
              <w:right w:val="single" w:sz="8" w:space="0" w:color="auto"/>
            </w:tcBorders>
            <w:shd w:val="clear" w:color="auto" w:fill="auto"/>
            <w:noWrap/>
            <w:vAlign w:val="center"/>
            <w:hideMark/>
          </w:tcPr>
          <w:p w14:paraId="3DDBBC19" w14:textId="77777777" w:rsidR="00533EE7" w:rsidRPr="00533EE7" w:rsidRDefault="00533EE7" w:rsidP="00533EE7">
            <w:pPr>
              <w:jc w:val="center"/>
              <w:rPr>
                <w:rFonts w:ascii="Times New Roman" w:eastAsia="Times New Roman" w:hAnsi="Times New Roman" w:cs="Times New Roman"/>
                <w:color w:val="000000"/>
                <w:sz w:val="20"/>
                <w:szCs w:val="20"/>
                <w:lang w:eastAsia="es-GT"/>
              </w:rPr>
            </w:pPr>
            <w:r w:rsidRPr="00533EE7">
              <w:rPr>
                <w:rFonts w:ascii="Times New Roman" w:eastAsia="Times New Roman" w:hAnsi="Times New Roman" w:cs="Times New Roman"/>
                <w:color w:val="000000"/>
                <w:sz w:val="20"/>
                <w:szCs w:val="20"/>
                <w:lang w:eastAsia="es-GT"/>
              </w:rPr>
              <w:t>15.7</w:t>
            </w:r>
          </w:p>
        </w:tc>
      </w:tr>
      <w:tr w:rsidR="00533EE7" w:rsidRPr="00533EE7" w14:paraId="63357576" w14:textId="77777777" w:rsidTr="004A4C21">
        <w:trPr>
          <w:trHeight w:val="255"/>
          <w:jc w:val="center"/>
        </w:trPr>
        <w:tc>
          <w:tcPr>
            <w:tcW w:w="6794" w:type="dxa"/>
            <w:tcBorders>
              <w:top w:val="nil"/>
              <w:left w:val="single" w:sz="8" w:space="0" w:color="auto"/>
              <w:bottom w:val="dotted" w:sz="4" w:space="0" w:color="auto"/>
              <w:right w:val="single" w:sz="8" w:space="0" w:color="auto"/>
            </w:tcBorders>
            <w:shd w:val="clear" w:color="000000" w:fill="F2F2F2"/>
            <w:noWrap/>
            <w:vAlign w:val="center"/>
            <w:hideMark/>
          </w:tcPr>
          <w:p w14:paraId="74651710" w14:textId="77777777" w:rsidR="00533EE7" w:rsidRPr="00533EE7" w:rsidRDefault="00533EE7" w:rsidP="00533EE7">
            <w:pPr>
              <w:rPr>
                <w:rFonts w:ascii="Times New Roman" w:eastAsia="Times New Roman" w:hAnsi="Times New Roman" w:cs="Times New Roman"/>
                <w:b/>
                <w:bCs/>
                <w:color w:val="000000"/>
                <w:sz w:val="20"/>
                <w:szCs w:val="20"/>
                <w:lang w:eastAsia="es-GT"/>
              </w:rPr>
            </w:pPr>
            <w:r w:rsidRPr="00533EE7">
              <w:rPr>
                <w:rFonts w:ascii="Times New Roman" w:eastAsia="Times New Roman" w:hAnsi="Times New Roman" w:cs="Times New Roman"/>
                <w:b/>
                <w:bCs/>
                <w:color w:val="000000"/>
                <w:sz w:val="20"/>
                <w:szCs w:val="20"/>
                <w:lang w:eastAsia="es-GT"/>
              </w:rPr>
              <w:t>Banco Internacional de Reconstrucción y Fomento (BIRF)</w:t>
            </w:r>
          </w:p>
        </w:tc>
        <w:tc>
          <w:tcPr>
            <w:tcW w:w="1418" w:type="dxa"/>
            <w:tcBorders>
              <w:top w:val="nil"/>
              <w:left w:val="nil"/>
              <w:bottom w:val="dotted" w:sz="4" w:space="0" w:color="auto"/>
              <w:right w:val="single" w:sz="8" w:space="0" w:color="auto"/>
            </w:tcBorders>
            <w:shd w:val="clear" w:color="000000" w:fill="F2F2F2"/>
            <w:noWrap/>
            <w:vAlign w:val="center"/>
            <w:hideMark/>
          </w:tcPr>
          <w:p w14:paraId="6532A6CA" w14:textId="77777777" w:rsidR="00533EE7" w:rsidRPr="00533EE7" w:rsidRDefault="00533EE7" w:rsidP="00533EE7">
            <w:pPr>
              <w:jc w:val="center"/>
              <w:rPr>
                <w:rFonts w:ascii="Times New Roman" w:eastAsia="Times New Roman" w:hAnsi="Times New Roman" w:cs="Times New Roman"/>
                <w:b/>
                <w:bCs/>
                <w:color w:val="000000"/>
                <w:sz w:val="20"/>
                <w:szCs w:val="20"/>
                <w:lang w:eastAsia="es-GT"/>
              </w:rPr>
            </w:pPr>
            <w:r w:rsidRPr="00533EE7">
              <w:rPr>
                <w:rFonts w:ascii="Times New Roman" w:eastAsia="Times New Roman" w:hAnsi="Times New Roman" w:cs="Times New Roman"/>
                <w:b/>
                <w:bCs/>
                <w:color w:val="000000"/>
                <w:sz w:val="20"/>
                <w:szCs w:val="20"/>
                <w:lang w:eastAsia="es-GT"/>
              </w:rPr>
              <w:t>176.3</w:t>
            </w:r>
          </w:p>
        </w:tc>
      </w:tr>
      <w:tr w:rsidR="00533EE7" w:rsidRPr="00533EE7" w14:paraId="20525C05" w14:textId="77777777" w:rsidTr="004A4C21">
        <w:trPr>
          <w:trHeight w:val="255"/>
          <w:jc w:val="center"/>
        </w:trPr>
        <w:tc>
          <w:tcPr>
            <w:tcW w:w="6794" w:type="dxa"/>
            <w:tcBorders>
              <w:top w:val="nil"/>
              <w:left w:val="single" w:sz="8" w:space="0" w:color="auto"/>
              <w:bottom w:val="dotted" w:sz="4" w:space="0" w:color="auto"/>
              <w:right w:val="single" w:sz="8" w:space="0" w:color="auto"/>
            </w:tcBorders>
            <w:shd w:val="clear" w:color="000000" w:fill="FFFFFF"/>
            <w:vAlign w:val="center"/>
            <w:hideMark/>
          </w:tcPr>
          <w:p w14:paraId="14E82728" w14:textId="77777777" w:rsidR="00533EE7" w:rsidRPr="00533EE7" w:rsidRDefault="00533EE7" w:rsidP="00533EE7">
            <w:pPr>
              <w:ind w:firstLineChars="200" w:firstLine="400"/>
              <w:rPr>
                <w:rFonts w:ascii="Times New Roman" w:eastAsia="Times New Roman" w:hAnsi="Times New Roman" w:cs="Times New Roman"/>
                <w:color w:val="000000"/>
                <w:sz w:val="20"/>
                <w:szCs w:val="20"/>
                <w:lang w:eastAsia="es-GT"/>
              </w:rPr>
            </w:pPr>
            <w:r w:rsidRPr="00533EE7">
              <w:rPr>
                <w:rFonts w:ascii="Times New Roman" w:eastAsia="Times New Roman" w:hAnsi="Times New Roman" w:cs="Times New Roman"/>
                <w:color w:val="000000"/>
                <w:sz w:val="20"/>
                <w:szCs w:val="20"/>
                <w:lang w:eastAsia="es-GT"/>
              </w:rPr>
              <w:t xml:space="preserve">Crecer Sano: Proyecto de Nutrición y Salud en Guatemala </w:t>
            </w:r>
          </w:p>
        </w:tc>
        <w:tc>
          <w:tcPr>
            <w:tcW w:w="1418" w:type="dxa"/>
            <w:tcBorders>
              <w:top w:val="nil"/>
              <w:left w:val="nil"/>
              <w:bottom w:val="dotted" w:sz="4" w:space="0" w:color="auto"/>
              <w:right w:val="single" w:sz="8" w:space="0" w:color="auto"/>
            </w:tcBorders>
            <w:shd w:val="clear" w:color="auto" w:fill="auto"/>
            <w:noWrap/>
            <w:vAlign w:val="center"/>
            <w:hideMark/>
          </w:tcPr>
          <w:p w14:paraId="2932E39A" w14:textId="77777777" w:rsidR="00533EE7" w:rsidRPr="00533EE7" w:rsidRDefault="00533EE7" w:rsidP="00533EE7">
            <w:pPr>
              <w:jc w:val="center"/>
              <w:rPr>
                <w:rFonts w:ascii="Times New Roman" w:eastAsia="Times New Roman" w:hAnsi="Times New Roman" w:cs="Times New Roman"/>
                <w:color w:val="000000"/>
                <w:sz w:val="20"/>
                <w:szCs w:val="20"/>
                <w:lang w:eastAsia="es-GT"/>
              </w:rPr>
            </w:pPr>
            <w:r w:rsidRPr="00533EE7">
              <w:rPr>
                <w:rFonts w:ascii="Times New Roman" w:eastAsia="Times New Roman" w:hAnsi="Times New Roman" w:cs="Times New Roman"/>
                <w:color w:val="000000"/>
                <w:sz w:val="20"/>
                <w:szCs w:val="20"/>
                <w:lang w:eastAsia="es-GT"/>
              </w:rPr>
              <w:t>176.3</w:t>
            </w:r>
          </w:p>
        </w:tc>
      </w:tr>
      <w:tr w:rsidR="00533EE7" w:rsidRPr="00533EE7" w14:paraId="525093CD" w14:textId="77777777" w:rsidTr="004A4C21">
        <w:trPr>
          <w:trHeight w:val="255"/>
          <w:jc w:val="center"/>
        </w:trPr>
        <w:tc>
          <w:tcPr>
            <w:tcW w:w="6794" w:type="dxa"/>
            <w:tcBorders>
              <w:top w:val="nil"/>
              <w:left w:val="single" w:sz="8" w:space="0" w:color="auto"/>
              <w:bottom w:val="dotted" w:sz="4" w:space="0" w:color="auto"/>
              <w:right w:val="single" w:sz="8" w:space="0" w:color="auto"/>
            </w:tcBorders>
            <w:shd w:val="clear" w:color="000000" w:fill="F2F2F2"/>
            <w:noWrap/>
            <w:vAlign w:val="center"/>
            <w:hideMark/>
          </w:tcPr>
          <w:p w14:paraId="12A0F3D3" w14:textId="77777777" w:rsidR="00533EE7" w:rsidRPr="00533EE7" w:rsidRDefault="00533EE7" w:rsidP="00533EE7">
            <w:pPr>
              <w:rPr>
                <w:rFonts w:ascii="Times New Roman" w:eastAsia="Times New Roman" w:hAnsi="Times New Roman" w:cs="Times New Roman"/>
                <w:b/>
                <w:bCs/>
                <w:color w:val="000000"/>
                <w:sz w:val="20"/>
                <w:szCs w:val="20"/>
                <w:lang w:eastAsia="es-GT"/>
              </w:rPr>
            </w:pPr>
            <w:r w:rsidRPr="00533EE7">
              <w:rPr>
                <w:rFonts w:ascii="Times New Roman" w:eastAsia="Times New Roman" w:hAnsi="Times New Roman" w:cs="Times New Roman"/>
                <w:b/>
                <w:bCs/>
                <w:color w:val="000000"/>
                <w:sz w:val="20"/>
                <w:szCs w:val="20"/>
                <w:lang w:eastAsia="es-GT"/>
              </w:rPr>
              <w:t>Agencia Japonesa de Cooperación Internacional</w:t>
            </w:r>
          </w:p>
        </w:tc>
        <w:tc>
          <w:tcPr>
            <w:tcW w:w="1418" w:type="dxa"/>
            <w:tcBorders>
              <w:top w:val="nil"/>
              <w:left w:val="nil"/>
              <w:bottom w:val="dotted" w:sz="4" w:space="0" w:color="auto"/>
              <w:right w:val="single" w:sz="8" w:space="0" w:color="auto"/>
            </w:tcBorders>
            <w:shd w:val="clear" w:color="000000" w:fill="F2F2F2"/>
            <w:noWrap/>
            <w:vAlign w:val="center"/>
            <w:hideMark/>
          </w:tcPr>
          <w:p w14:paraId="43B6AE7C" w14:textId="77777777" w:rsidR="00533EE7" w:rsidRPr="00533EE7" w:rsidRDefault="00533EE7" w:rsidP="00533EE7">
            <w:pPr>
              <w:jc w:val="center"/>
              <w:rPr>
                <w:rFonts w:ascii="Times New Roman" w:eastAsia="Times New Roman" w:hAnsi="Times New Roman" w:cs="Times New Roman"/>
                <w:b/>
                <w:bCs/>
                <w:color w:val="000000"/>
                <w:sz w:val="20"/>
                <w:szCs w:val="20"/>
                <w:lang w:eastAsia="es-GT"/>
              </w:rPr>
            </w:pPr>
            <w:r w:rsidRPr="00533EE7">
              <w:rPr>
                <w:rFonts w:ascii="Times New Roman" w:eastAsia="Times New Roman" w:hAnsi="Times New Roman" w:cs="Times New Roman"/>
                <w:b/>
                <w:bCs/>
                <w:color w:val="000000"/>
                <w:sz w:val="20"/>
                <w:szCs w:val="20"/>
                <w:lang w:eastAsia="es-GT"/>
              </w:rPr>
              <w:t>25.5</w:t>
            </w:r>
          </w:p>
        </w:tc>
      </w:tr>
      <w:tr w:rsidR="00533EE7" w:rsidRPr="00533EE7" w14:paraId="0DB35DE2" w14:textId="77777777" w:rsidTr="004A4C21">
        <w:trPr>
          <w:trHeight w:val="255"/>
          <w:jc w:val="center"/>
        </w:trPr>
        <w:tc>
          <w:tcPr>
            <w:tcW w:w="6794" w:type="dxa"/>
            <w:tcBorders>
              <w:top w:val="nil"/>
              <w:left w:val="single" w:sz="8" w:space="0" w:color="auto"/>
              <w:bottom w:val="dotted" w:sz="4" w:space="0" w:color="auto"/>
              <w:right w:val="single" w:sz="8" w:space="0" w:color="auto"/>
            </w:tcBorders>
            <w:shd w:val="clear" w:color="000000" w:fill="FFFFFF"/>
            <w:vAlign w:val="center"/>
            <w:hideMark/>
          </w:tcPr>
          <w:p w14:paraId="7843079F" w14:textId="77777777" w:rsidR="00533EE7" w:rsidRPr="00533EE7" w:rsidRDefault="00533EE7" w:rsidP="00533EE7">
            <w:pPr>
              <w:ind w:firstLineChars="200" w:firstLine="400"/>
              <w:rPr>
                <w:rFonts w:ascii="Times New Roman" w:eastAsia="Times New Roman" w:hAnsi="Times New Roman" w:cs="Times New Roman"/>
                <w:color w:val="000000"/>
                <w:sz w:val="20"/>
                <w:szCs w:val="20"/>
                <w:lang w:eastAsia="es-GT"/>
              </w:rPr>
            </w:pPr>
            <w:r w:rsidRPr="00533EE7">
              <w:rPr>
                <w:rFonts w:ascii="Times New Roman" w:eastAsia="Times New Roman" w:hAnsi="Times New Roman" w:cs="Times New Roman"/>
                <w:color w:val="000000"/>
                <w:sz w:val="20"/>
                <w:szCs w:val="20"/>
                <w:lang w:eastAsia="es-GT"/>
              </w:rPr>
              <w:t xml:space="preserve">Programa de mejoramiento de carreteras en </w:t>
            </w:r>
            <w:proofErr w:type="spellStart"/>
            <w:r w:rsidRPr="00533EE7">
              <w:rPr>
                <w:rFonts w:ascii="Times New Roman" w:eastAsia="Times New Roman" w:hAnsi="Times New Roman" w:cs="Times New Roman"/>
                <w:color w:val="000000"/>
                <w:sz w:val="20"/>
                <w:szCs w:val="20"/>
                <w:lang w:eastAsia="es-GT"/>
              </w:rPr>
              <w:t>Zonapaz</w:t>
            </w:r>
            <w:proofErr w:type="spellEnd"/>
          </w:p>
        </w:tc>
        <w:tc>
          <w:tcPr>
            <w:tcW w:w="1418" w:type="dxa"/>
            <w:tcBorders>
              <w:top w:val="nil"/>
              <w:left w:val="nil"/>
              <w:bottom w:val="dotted" w:sz="4" w:space="0" w:color="auto"/>
              <w:right w:val="single" w:sz="8" w:space="0" w:color="auto"/>
            </w:tcBorders>
            <w:shd w:val="clear" w:color="auto" w:fill="auto"/>
            <w:noWrap/>
            <w:vAlign w:val="center"/>
            <w:hideMark/>
          </w:tcPr>
          <w:p w14:paraId="3E884B09" w14:textId="77777777" w:rsidR="00533EE7" w:rsidRPr="00533EE7" w:rsidRDefault="00533EE7" w:rsidP="00533EE7">
            <w:pPr>
              <w:jc w:val="center"/>
              <w:rPr>
                <w:rFonts w:ascii="Times New Roman" w:eastAsia="Times New Roman" w:hAnsi="Times New Roman" w:cs="Times New Roman"/>
                <w:color w:val="000000"/>
                <w:sz w:val="20"/>
                <w:szCs w:val="20"/>
                <w:lang w:eastAsia="es-GT"/>
              </w:rPr>
            </w:pPr>
            <w:r w:rsidRPr="00533EE7">
              <w:rPr>
                <w:rFonts w:ascii="Times New Roman" w:eastAsia="Times New Roman" w:hAnsi="Times New Roman" w:cs="Times New Roman"/>
                <w:color w:val="000000"/>
                <w:sz w:val="20"/>
                <w:szCs w:val="20"/>
                <w:lang w:eastAsia="es-GT"/>
              </w:rPr>
              <w:t>25.5</w:t>
            </w:r>
          </w:p>
        </w:tc>
      </w:tr>
      <w:tr w:rsidR="00533EE7" w:rsidRPr="00533EE7" w14:paraId="2E6BBF67" w14:textId="77777777" w:rsidTr="004A4C21">
        <w:trPr>
          <w:trHeight w:val="255"/>
          <w:jc w:val="center"/>
        </w:trPr>
        <w:tc>
          <w:tcPr>
            <w:tcW w:w="6794" w:type="dxa"/>
            <w:tcBorders>
              <w:top w:val="nil"/>
              <w:left w:val="single" w:sz="8" w:space="0" w:color="auto"/>
              <w:bottom w:val="dotted" w:sz="4" w:space="0" w:color="auto"/>
              <w:right w:val="single" w:sz="8" w:space="0" w:color="auto"/>
            </w:tcBorders>
            <w:shd w:val="clear" w:color="000000" w:fill="F2F2F2"/>
            <w:noWrap/>
            <w:vAlign w:val="center"/>
            <w:hideMark/>
          </w:tcPr>
          <w:p w14:paraId="352550C3" w14:textId="77777777" w:rsidR="00533EE7" w:rsidRPr="00533EE7" w:rsidRDefault="00533EE7" w:rsidP="00533EE7">
            <w:pPr>
              <w:rPr>
                <w:rFonts w:ascii="Times New Roman" w:eastAsia="Times New Roman" w:hAnsi="Times New Roman" w:cs="Times New Roman"/>
                <w:b/>
                <w:bCs/>
                <w:color w:val="000000"/>
                <w:sz w:val="20"/>
                <w:szCs w:val="20"/>
                <w:lang w:eastAsia="es-GT"/>
              </w:rPr>
            </w:pPr>
            <w:proofErr w:type="spellStart"/>
            <w:r w:rsidRPr="00533EE7">
              <w:rPr>
                <w:rFonts w:ascii="Times New Roman" w:eastAsia="Times New Roman" w:hAnsi="Times New Roman" w:cs="Times New Roman"/>
                <w:b/>
                <w:bCs/>
                <w:color w:val="000000"/>
                <w:sz w:val="20"/>
                <w:szCs w:val="20"/>
                <w:lang w:eastAsia="es-GT"/>
              </w:rPr>
              <w:t>Kreditanstalt</w:t>
            </w:r>
            <w:proofErr w:type="spellEnd"/>
            <w:r w:rsidRPr="00533EE7">
              <w:rPr>
                <w:rFonts w:ascii="Times New Roman" w:eastAsia="Times New Roman" w:hAnsi="Times New Roman" w:cs="Times New Roman"/>
                <w:b/>
                <w:bCs/>
                <w:color w:val="000000"/>
                <w:sz w:val="20"/>
                <w:szCs w:val="20"/>
                <w:lang w:eastAsia="es-GT"/>
              </w:rPr>
              <w:t xml:space="preserve"> </w:t>
            </w:r>
            <w:proofErr w:type="spellStart"/>
            <w:r w:rsidRPr="00533EE7">
              <w:rPr>
                <w:rFonts w:ascii="Times New Roman" w:eastAsia="Times New Roman" w:hAnsi="Times New Roman" w:cs="Times New Roman"/>
                <w:b/>
                <w:bCs/>
                <w:color w:val="000000"/>
                <w:sz w:val="20"/>
                <w:szCs w:val="20"/>
                <w:lang w:eastAsia="es-GT"/>
              </w:rPr>
              <w:t>Fur</w:t>
            </w:r>
            <w:proofErr w:type="spellEnd"/>
            <w:r w:rsidRPr="00533EE7">
              <w:rPr>
                <w:rFonts w:ascii="Times New Roman" w:eastAsia="Times New Roman" w:hAnsi="Times New Roman" w:cs="Times New Roman"/>
                <w:b/>
                <w:bCs/>
                <w:color w:val="000000"/>
                <w:sz w:val="20"/>
                <w:szCs w:val="20"/>
                <w:lang w:eastAsia="es-GT"/>
              </w:rPr>
              <w:t xml:space="preserve"> </w:t>
            </w:r>
            <w:proofErr w:type="spellStart"/>
            <w:r w:rsidRPr="00533EE7">
              <w:rPr>
                <w:rFonts w:ascii="Times New Roman" w:eastAsia="Times New Roman" w:hAnsi="Times New Roman" w:cs="Times New Roman"/>
                <w:b/>
                <w:bCs/>
                <w:color w:val="000000"/>
                <w:sz w:val="20"/>
                <w:szCs w:val="20"/>
                <w:lang w:eastAsia="es-GT"/>
              </w:rPr>
              <w:t>Wiederaufbau</w:t>
            </w:r>
            <w:proofErr w:type="spellEnd"/>
          </w:p>
        </w:tc>
        <w:tc>
          <w:tcPr>
            <w:tcW w:w="1418" w:type="dxa"/>
            <w:tcBorders>
              <w:top w:val="nil"/>
              <w:left w:val="nil"/>
              <w:bottom w:val="dotted" w:sz="4" w:space="0" w:color="auto"/>
              <w:right w:val="single" w:sz="8" w:space="0" w:color="auto"/>
            </w:tcBorders>
            <w:shd w:val="clear" w:color="000000" w:fill="F2F2F2"/>
            <w:noWrap/>
            <w:vAlign w:val="center"/>
            <w:hideMark/>
          </w:tcPr>
          <w:p w14:paraId="73982260" w14:textId="77777777" w:rsidR="00533EE7" w:rsidRPr="00533EE7" w:rsidRDefault="00533EE7" w:rsidP="00533EE7">
            <w:pPr>
              <w:jc w:val="center"/>
              <w:rPr>
                <w:rFonts w:ascii="Times New Roman" w:eastAsia="Times New Roman" w:hAnsi="Times New Roman" w:cs="Times New Roman"/>
                <w:b/>
                <w:bCs/>
                <w:color w:val="000000"/>
                <w:sz w:val="20"/>
                <w:szCs w:val="20"/>
                <w:lang w:eastAsia="es-GT"/>
              </w:rPr>
            </w:pPr>
            <w:r w:rsidRPr="00533EE7">
              <w:rPr>
                <w:rFonts w:ascii="Times New Roman" w:eastAsia="Times New Roman" w:hAnsi="Times New Roman" w:cs="Times New Roman"/>
                <w:b/>
                <w:bCs/>
                <w:color w:val="000000"/>
                <w:sz w:val="20"/>
                <w:szCs w:val="20"/>
                <w:lang w:eastAsia="es-GT"/>
              </w:rPr>
              <w:t>28.4</w:t>
            </w:r>
          </w:p>
        </w:tc>
      </w:tr>
      <w:tr w:rsidR="00533EE7" w:rsidRPr="00533EE7" w14:paraId="74461734" w14:textId="77777777" w:rsidTr="004A4C21">
        <w:trPr>
          <w:trHeight w:val="270"/>
          <w:jc w:val="center"/>
        </w:trPr>
        <w:tc>
          <w:tcPr>
            <w:tcW w:w="6794" w:type="dxa"/>
            <w:tcBorders>
              <w:top w:val="nil"/>
              <w:left w:val="single" w:sz="8" w:space="0" w:color="auto"/>
              <w:bottom w:val="single" w:sz="8" w:space="0" w:color="auto"/>
              <w:right w:val="single" w:sz="8" w:space="0" w:color="auto"/>
            </w:tcBorders>
            <w:shd w:val="clear" w:color="000000" w:fill="FFFFFF"/>
            <w:vAlign w:val="center"/>
            <w:hideMark/>
          </w:tcPr>
          <w:p w14:paraId="769A9613" w14:textId="77777777" w:rsidR="00533EE7" w:rsidRPr="00533EE7" w:rsidRDefault="00533EE7" w:rsidP="00533EE7">
            <w:pPr>
              <w:ind w:firstLineChars="200" w:firstLine="400"/>
              <w:rPr>
                <w:rFonts w:ascii="Times New Roman" w:eastAsia="Times New Roman" w:hAnsi="Times New Roman" w:cs="Times New Roman"/>
                <w:color w:val="000000"/>
                <w:sz w:val="20"/>
                <w:szCs w:val="20"/>
                <w:lang w:eastAsia="es-GT"/>
              </w:rPr>
            </w:pPr>
            <w:r w:rsidRPr="00533EE7">
              <w:rPr>
                <w:rFonts w:ascii="Times New Roman" w:eastAsia="Times New Roman" w:hAnsi="Times New Roman" w:cs="Times New Roman"/>
                <w:color w:val="000000"/>
                <w:sz w:val="20"/>
                <w:szCs w:val="20"/>
                <w:lang w:eastAsia="es-GT"/>
              </w:rPr>
              <w:t>Proyecto de Educación Rural V (PROEDUC V)</w:t>
            </w:r>
          </w:p>
        </w:tc>
        <w:tc>
          <w:tcPr>
            <w:tcW w:w="1418" w:type="dxa"/>
            <w:tcBorders>
              <w:top w:val="nil"/>
              <w:left w:val="nil"/>
              <w:bottom w:val="single" w:sz="8" w:space="0" w:color="auto"/>
              <w:right w:val="single" w:sz="8" w:space="0" w:color="auto"/>
            </w:tcBorders>
            <w:shd w:val="clear" w:color="000000" w:fill="FFFFFF"/>
            <w:noWrap/>
            <w:vAlign w:val="center"/>
            <w:hideMark/>
          </w:tcPr>
          <w:p w14:paraId="237C57EE" w14:textId="77777777" w:rsidR="00533EE7" w:rsidRPr="00533EE7" w:rsidRDefault="00533EE7" w:rsidP="00533EE7">
            <w:pPr>
              <w:jc w:val="center"/>
              <w:rPr>
                <w:rFonts w:ascii="Times New Roman" w:eastAsia="Times New Roman" w:hAnsi="Times New Roman" w:cs="Times New Roman"/>
                <w:color w:val="000000"/>
                <w:sz w:val="20"/>
                <w:szCs w:val="20"/>
                <w:lang w:eastAsia="es-GT"/>
              </w:rPr>
            </w:pPr>
            <w:r w:rsidRPr="00533EE7">
              <w:rPr>
                <w:rFonts w:ascii="Times New Roman" w:eastAsia="Times New Roman" w:hAnsi="Times New Roman" w:cs="Times New Roman"/>
                <w:color w:val="000000"/>
                <w:sz w:val="20"/>
                <w:szCs w:val="20"/>
                <w:lang w:eastAsia="es-GT"/>
              </w:rPr>
              <w:t>28.4</w:t>
            </w:r>
          </w:p>
        </w:tc>
      </w:tr>
    </w:tbl>
    <w:p w14:paraId="5CBB7ABF" w14:textId="77777777" w:rsidR="0039645E" w:rsidRPr="004A66F0" w:rsidRDefault="0039645E" w:rsidP="0039645E">
      <w:pPr>
        <w:spacing w:line="259" w:lineRule="auto"/>
        <w:ind w:firstLine="708"/>
        <w:rPr>
          <w:rFonts w:ascii="Times New Roman" w:eastAsia="Times New Roman" w:hAnsi="Times New Roman" w:cs="Times New Roman"/>
          <w:sz w:val="18"/>
        </w:rPr>
      </w:pPr>
      <w:r w:rsidRPr="004A66F0">
        <w:rPr>
          <w:rFonts w:ascii="Times New Roman" w:eastAsia="Times New Roman" w:hAnsi="Times New Roman" w:cs="Times New Roman"/>
          <w:sz w:val="18"/>
        </w:rPr>
        <w:t>Fuente: Dirección de Análisis y Política Fiscal</w:t>
      </w:r>
    </w:p>
    <w:p w14:paraId="2D2035B9" w14:textId="6DB77C27" w:rsidR="0039645E" w:rsidRDefault="0039645E" w:rsidP="0039645E">
      <w:pPr>
        <w:jc w:val="center"/>
      </w:pPr>
    </w:p>
    <w:p w14:paraId="3099C802" w14:textId="587BFAD6" w:rsidR="00E647F4" w:rsidRPr="0048246B" w:rsidRDefault="00D77F0D" w:rsidP="00E647F4">
      <w:pPr>
        <w:keepNext/>
        <w:keepLines/>
        <w:tabs>
          <w:tab w:val="left" w:pos="1134"/>
        </w:tabs>
        <w:spacing w:line="276" w:lineRule="auto"/>
        <w:jc w:val="both"/>
        <w:outlineLvl w:val="1"/>
        <w:rPr>
          <w:rFonts w:ascii="Times New Roman" w:eastAsiaTheme="majorEastAsia" w:hAnsi="Times New Roman" w:cs="Times New Roman"/>
          <w:b/>
          <w:bCs/>
          <w:sz w:val="28"/>
          <w:szCs w:val="28"/>
        </w:rPr>
      </w:pPr>
      <w:bookmarkStart w:id="112" w:name="_Toc125723291"/>
      <w:bookmarkStart w:id="113" w:name="_Toc125723292"/>
      <w:bookmarkStart w:id="114" w:name="_Toc160196855"/>
      <w:r w:rsidRPr="0048246B">
        <w:rPr>
          <w:rFonts w:ascii="Times New Roman" w:eastAsiaTheme="majorEastAsia" w:hAnsi="Times New Roman" w:cs="Times New Roman"/>
          <w:b/>
          <w:bCs/>
          <w:sz w:val="28"/>
          <w:szCs w:val="28"/>
        </w:rPr>
        <w:t xml:space="preserve">IV. </w:t>
      </w:r>
      <w:r w:rsidR="00E647F4" w:rsidRPr="0048246B">
        <w:rPr>
          <w:rFonts w:ascii="Times New Roman" w:eastAsiaTheme="majorEastAsia" w:hAnsi="Times New Roman" w:cs="Times New Roman"/>
          <w:b/>
          <w:bCs/>
          <w:sz w:val="28"/>
          <w:szCs w:val="28"/>
        </w:rPr>
        <w:t xml:space="preserve">Disminución relativa de la deuda pública en </w:t>
      </w:r>
      <w:bookmarkEnd w:id="112"/>
      <w:r w:rsidR="00E647F4" w:rsidRPr="0048246B">
        <w:rPr>
          <w:rFonts w:ascii="Times New Roman" w:eastAsiaTheme="majorEastAsia" w:hAnsi="Times New Roman" w:cs="Times New Roman"/>
          <w:b/>
          <w:bCs/>
          <w:sz w:val="28"/>
          <w:szCs w:val="28"/>
        </w:rPr>
        <w:t>2023</w:t>
      </w:r>
      <w:bookmarkEnd w:id="114"/>
    </w:p>
    <w:p w14:paraId="169AC07B" w14:textId="77777777" w:rsidR="00E647F4" w:rsidRPr="004245AE" w:rsidRDefault="00E647F4" w:rsidP="00E647F4">
      <w:pPr>
        <w:spacing w:line="276" w:lineRule="auto"/>
        <w:contextualSpacing/>
        <w:rPr>
          <w:rFonts w:ascii="Calibri" w:eastAsia="Times New Roman" w:hAnsi="Calibri" w:cs="Times New Roman"/>
          <w:sz w:val="22"/>
          <w:szCs w:val="22"/>
          <w:lang w:eastAsia="es-ES"/>
        </w:rPr>
      </w:pPr>
    </w:p>
    <w:p w14:paraId="49D6FAA9" w14:textId="5AE59632" w:rsidR="00E647F4" w:rsidRPr="004A66F0" w:rsidRDefault="00E647F4" w:rsidP="004245AE">
      <w:pPr>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eastAsia="es-ES"/>
        </w:rPr>
        <w:t xml:space="preserve">De acuerdo a </w:t>
      </w:r>
      <w:r w:rsidRPr="004A66F0">
        <w:rPr>
          <w:rFonts w:ascii="Times New Roman" w:eastAsia="Times New Roman" w:hAnsi="Times New Roman" w:cs="Times New Roman"/>
          <w:sz w:val="22"/>
          <w:szCs w:val="22"/>
          <w:lang w:val="es-ES_tradnl" w:eastAsia="es-ES"/>
        </w:rPr>
        <w:t xml:space="preserve">los flujos de endeudamiento que se dieron en </w:t>
      </w:r>
      <w:r>
        <w:rPr>
          <w:rFonts w:ascii="Times New Roman" w:eastAsia="Times New Roman" w:hAnsi="Times New Roman" w:cs="Times New Roman"/>
          <w:sz w:val="22"/>
          <w:szCs w:val="22"/>
          <w:lang w:val="es-ES_tradnl" w:eastAsia="es-ES"/>
        </w:rPr>
        <w:t>2023</w:t>
      </w:r>
      <w:r w:rsidRPr="004A66F0">
        <w:rPr>
          <w:rFonts w:ascii="Times New Roman" w:eastAsia="Times New Roman" w:hAnsi="Times New Roman" w:cs="Times New Roman"/>
          <w:sz w:val="22"/>
          <w:szCs w:val="22"/>
          <w:lang w:val="es-ES_tradnl" w:eastAsia="es-ES"/>
        </w:rPr>
        <w:t>, se generaron cambios en el nivel del saldo de la deuda pública, situándose en 2</w:t>
      </w:r>
      <w:r>
        <w:rPr>
          <w:rFonts w:ascii="Times New Roman" w:eastAsia="Times New Roman" w:hAnsi="Times New Roman" w:cs="Times New Roman"/>
          <w:sz w:val="22"/>
          <w:szCs w:val="22"/>
          <w:lang w:val="es-ES_tradnl" w:eastAsia="es-ES"/>
        </w:rPr>
        <w:t>7</w:t>
      </w:r>
      <w:r w:rsidRPr="004A66F0">
        <w:rPr>
          <w:rFonts w:ascii="Times New Roman" w:eastAsia="Times New Roman" w:hAnsi="Times New Roman" w:cs="Times New Roman"/>
          <w:sz w:val="22"/>
          <w:szCs w:val="22"/>
          <w:lang w:val="es-ES_tradnl" w:eastAsia="es-ES"/>
        </w:rPr>
        <w:t>.</w:t>
      </w:r>
      <w:r>
        <w:rPr>
          <w:rFonts w:ascii="Times New Roman" w:eastAsia="Times New Roman" w:hAnsi="Times New Roman" w:cs="Times New Roman"/>
          <w:sz w:val="22"/>
          <w:szCs w:val="22"/>
          <w:lang w:val="es-ES_tradnl" w:eastAsia="es-ES"/>
        </w:rPr>
        <w:t>8</w:t>
      </w:r>
      <w:r w:rsidRPr="004A66F0">
        <w:rPr>
          <w:rFonts w:ascii="Times New Roman" w:eastAsia="Times New Roman" w:hAnsi="Times New Roman" w:cs="Times New Roman"/>
          <w:sz w:val="22"/>
          <w:szCs w:val="22"/>
          <w:lang w:val="es-ES_tradnl" w:eastAsia="es-ES"/>
        </w:rPr>
        <w:t>% del PIB, mostrando una contracción de 1.</w:t>
      </w:r>
      <w:r>
        <w:rPr>
          <w:rFonts w:ascii="Times New Roman" w:eastAsia="Times New Roman" w:hAnsi="Times New Roman" w:cs="Times New Roman"/>
          <w:sz w:val="22"/>
          <w:szCs w:val="22"/>
          <w:lang w:val="es-ES_tradnl" w:eastAsia="es-ES"/>
        </w:rPr>
        <w:t>4</w:t>
      </w:r>
      <w:r w:rsidR="00EF487E">
        <w:rPr>
          <w:rFonts w:ascii="Times New Roman" w:eastAsia="Times New Roman" w:hAnsi="Times New Roman" w:cs="Times New Roman"/>
          <w:sz w:val="22"/>
          <w:szCs w:val="22"/>
          <w:lang w:val="es-ES_tradnl" w:eastAsia="es-ES"/>
        </w:rPr>
        <w:t xml:space="preserve"> puntos porcentuales</w:t>
      </w:r>
      <w:r w:rsidRPr="004A66F0">
        <w:rPr>
          <w:rFonts w:ascii="Times New Roman" w:eastAsia="Times New Roman" w:hAnsi="Times New Roman" w:cs="Times New Roman"/>
          <w:sz w:val="22"/>
          <w:szCs w:val="22"/>
          <w:lang w:val="es-ES_tradnl" w:eastAsia="es-ES"/>
        </w:rPr>
        <w:t xml:space="preserve"> respecto a lo observado en 202</w:t>
      </w:r>
      <w:r>
        <w:rPr>
          <w:rFonts w:ascii="Times New Roman" w:eastAsia="Times New Roman" w:hAnsi="Times New Roman" w:cs="Times New Roman"/>
          <w:sz w:val="22"/>
          <w:szCs w:val="22"/>
          <w:lang w:val="es-ES_tradnl" w:eastAsia="es-ES"/>
        </w:rPr>
        <w:t>2</w:t>
      </w:r>
      <w:r w:rsidRPr="004A66F0">
        <w:rPr>
          <w:rFonts w:ascii="Times New Roman" w:eastAsia="Times New Roman" w:hAnsi="Times New Roman" w:cs="Times New Roman"/>
          <w:sz w:val="22"/>
          <w:szCs w:val="22"/>
          <w:lang w:val="es-ES_tradnl" w:eastAsia="es-ES"/>
        </w:rPr>
        <w:t xml:space="preserve"> (</w:t>
      </w:r>
      <w:r>
        <w:rPr>
          <w:rFonts w:ascii="Times New Roman" w:eastAsia="Times New Roman" w:hAnsi="Times New Roman" w:cs="Times New Roman"/>
          <w:sz w:val="22"/>
          <w:szCs w:val="22"/>
          <w:lang w:val="es-ES_tradnl" w:eastAsia="es-ES"/>
        </w:rPr>
        <w:t>29</w:t>
      </w:r>
      <w:r w:rsidRPr="004A66F0">
        <w:rPr>
          <w:rFonts w:ascii="Times New Roman" w:eastAsia="Times New Roman" w:hAnsi="Times New Roman" w:cs="Times New Roman"/>
          <w:sz w:val="22"/>
          <w:szCs w:val="22"/>
          <w:lang w:val="es-ES_tradnl" w:eastAsia="es-ES"/>
        </w:rPr>
        <w:t>.</w:t>
      </w:r>
      <w:r>
        <w:rPr>
          <w:rFonts w:ascii="Times New Roman" w:eastAsia="Times New Roman" w:hAnsi="Times New Roman" w:cs="Times New Roman"/>
          <w:sz w:val="22"/>
          <w:szCs w:val="22"/>
          <w:lang w:val="es-ES_tradnl" w:eastAsia="es-ES"/>
        </w:rPr>
        <w:t>2</w:t>
      </w:r>
      <w:r w:rsidRPr="004A66F0">
        <w:rPr>
          <w:rFonts w:ascii="Times New Roman" w:eastAsia="Times New Roman" w:hAnsi="Times New Roman" w:cs="Times New Roman"/>
          <w:sz w:val="22"/>
          <w:szCs w:val="22"/>
          <w:lang w:val="es-ES_tradnl" w:eastAsia="es-ES"/>
        </w:rPr>
        <w:t xml:space="preserve">%), esto se considera positivo </w:t>
      </w:r>
      <w:r w:rsidR="00812B9A">
        <w:rPr>
          <w:rFonts w:ascii="Times New Roman" w:eastAsia="Times New Roman" w:hAnsi="Times New Roman" w:cs="Times New Roman"/>
          <w:sz w:val="22"/>
          <w:szCs w:val="22"/>
          <w:lang w:val="es-ES_tradnl" w:eastAsia="es-ES"/>
        </w:rPr>
        <w:t>ya</w:t>
      </w:r>
      <w:r w:rsidR="00812B9A" w:rsidRPr="004A66F0">
        <w:rPr>
          <w:rFonts w:ascii="Times New Roman" w:eastAsia="Times New Roman" w:hAnsi="Times New Roman" w:cs="Times New Roman"/>
          <w:sz w:val="22"/>
          <w:szCs w:val="22"/>
          <w:lang w:val="es-ES_tradnl" w:eastAsia="es-ES"/>
        </w:rPr>
        <w:t xml:space="preserve"> </w:t>
      </w:r>
      <w:r w:rsidRPr="004A66F0">
        <w:rPr>
          <w:rFonts w:ascii="Times New Roman" w:eastAsia="Times New Roman" w:hAnsi="Times New Roman" w:cs="Times New Roman"/>
          <w:sz w:val="22"/>
          <w:szCs w:val="22"/>
          <w:lang w:val="es-ES_tradnl" w:eastAsia="es-ES"/>
        </w:rPr>
        <w:t xml:space="preserve">que </w:t>
      </w:r>
      <w:r>
        <w:rPr>
          <w:rFonts w:ascii="Times New Roman" w:eastAsia="Times New Roman" w:hAnsi="Times New Roman" w:cs="Times New Roman"/>
          <w:sz w:val="22"/>
          <w:szCs w:val="22"/>
          <w:lang w:val="es-ES_tradnl" w:eastAsia="es-ES"/>
        </w:rPr>
        <w:t>es el tercer año consecutivo en el que este indicador disminuye, dado a que</w:t>
      </w:r>
      <w:r w:rsidRPr="004A66F0">
        <w:rPr>
          <w:rFonts w:ascii="Times New Roman" w:eastAsia="Times New Roman" w:hAnsi="Times New Roman" w:cs="Times New Roman"/>
          <w:sz w:val="22"/>
          <w:szCs w:val="22"/>
          <w:lang w:val="es-ES_tradnl" w:eastAsia="es-ES"/>
        </w:rPr>
        <w:t xml:space="preserve"> se incurrió en un menor uso de fuentes de financiamiento </w:t>
      </w:r>
      <w:r>
        <w:rPr>
          <w:rFonts w:ascii="Times New Roman" w:eastAsia="Times New Roman" w:hAnsi="Times New Roman" w:cs="Times New Roman"/>
          <w:sz w:val="22"/>
          <w:szCs w:val="22"/>
          <w:lang w:val="es-ES_tradnl" w:eastAsia="es-ES"/>
        </w:rPr>
        <w:t>por</w:t>
      </w:r>
      <w:r w:rsidRPr="004A66F0">
        <w:rPr>
          <w:rFonts w:ascii="Times New Roman" w:eastAsia="Times New Roman" w:hAnsi="Times New Roman" w:cs="Times New Roman"/>
          <w:sz w:val="22"/>
          <w:szCs w:val="22"/>
          <w:lang w:val="es-ES_tradnl" w:eastAsia="es-ES"/>
        </w:rPr>
        <w:t xml:space="preserve"> buen desempeño de la recaudación tributaria en </w:t>
      </w:r>
      <w:r>
        <w:rPr>
          <w:rFonts w:ascii="Times New Roman" w:eastAsia="Times New Roman" w:hAnsi="Times New Roman" w:cs="Times New Roman"/>
          <w:sz w:val="22"/>
          <w:szCs w:val="22"/>
          <w:lang w:val="es-ES_tradnl" w:eastAsia="es-ES"/>
        </w:rPr>
        <w:t>los últimos años.</w:t>
      </w:r>
    </w:p>
    <w:p w14:paraId="575B0647" w14:textId="77777777" w:rsidR="00E647F4" w:rsidRPr="004A66F0" w:rsidRDefault="00E647F4" w:rsidP="004245AE">
      <w:pPr>
        <w:contextualSpacing/>
        <w:jc w:val="both"/>
        <w:rPr>
          <w:rFonts w:ascii="Times New Roman" w:eastAsia="Times New Roman" w:hAnsi="Times New Roman" w:cs="Times New Roman"/>
          <w:sz w:val="22"/>
          <w:szCs w:val="22"/>
          <w:lang w:val="es-ES_tradnl" w:eastAsia="es-ES"/>
        </w:rPr>
      </w:pPr>
    </w:p>
    <w:p w14:paraId="5A0CA650" w14:textId="77777777" w:rsidR="00E647F4" w:rsidRPr="004A66F0" w:rsidRDefault="00E647F4" w:rsidP="004245AE">
      <w:pPr>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val="es-ES_tradnl" w:eastAsia="es-ES"/>
        </w:rPr>
        <w:lastRenderedPageBreak/>
        <w:t>La posición fiscal de Guatemala se encuentra lejos de encontrarse en una situación riesgosa, la deuda es sostenible gracias al manejo prudente que se ha tenido en la política fiscal. Según los organismos internacionales, para los países de ingreso medio alto con acceso al mercado de capitales como Guatemala, el máximo recomendado es de 50%-60% del PIB, lo que aún le da bastante margen de maniobra y espacio de endeudamiento a Guatemala.</w:t>
      </w:r>
    </w:p>
    <w:p w14:paraId="325520B5" w14:textId="77777777" w:rsidR="00E647F4" w:rsidRPr="004A66F0" w:rsidRDefault="00E647F4" w:rsidP="004245AE">
      <w:pPr>
        <w:contextualSpacing/>
        <w:jc w:val="both"/>
        <w:rPr>
          <w:rFonts w:ascii="Times New Roman" w:eastAsia="Times New Roman" w:hAnsi="Times New Roman" w:cs="Times New Roman"/>
          <w:sz w:val="22"/>
          <w:szCs w:val="22"/>
          <w:lang w:val="es-ES_tradnl" w:eastAsia="es-ES"/>
        </w:rPr>
      </w:pPr>
    </w:p>
    <w:p w14:paraId="06D48AD6" w14:textId="3FDD8663" w:rsidR="00E647F4" w:rsidRPr="004A66F0" w:rsidRDefault="009A4A84" w:rsidP="004245AE">
      <w:pPr>
        <w:contextualSpacing/>
        <w:jc w:val="both"/>
        <w:rPr>
          <w:rFonts w:ascii="Times New Roman" w:eastAsia="Times New Roman" w:hAnsi="Times New Roman" w:cs="Times New Roman"/>
          <w:sz w:val="22"/>
          <w:szCs w:val="22"/>
          <w:lang w:val="es-ES_tradnl" w:eastAsia="es-ES"/>
        </w:rPr>
      </w:pPr>
      <w:r>
        <w:rPr>
          <w:rFonts w:ascii="Times New Roman" w:eastAsia="Times New Roman" w:hAnsi="Times New Roman" w:cs="Times New Roman"/>
          <w:sz w:val="22"/>
          <w:szCs w:val="22"/>
          <w:lang w:val="es-ES_tradnl" w:eastAsia="es-ES"/>
        </w:rPr>
        <w:t xml:space="preserve">Según datos preliminar al </w:t>
      </w:r>
      <w:r w:rsidR="00E647F4" w:rsidRPr="004A66F0">
        <w:rPr>
          <w:rFonts w:ascii="Times New Roman" w:eastAsia="Times New Roman" w:hAnsi="Times New Roman" w:cs="Times New Roman"/>
          <w:sz w:val="22"/>
          <w:szCs w:val="22"/>
          <w:lang w:val="es-ES_tradnl" w:eastAsia="es-ES"/>
        </w:rPr>
        <w:t>cierre de 202</w:t>
      </w:r>
      <w:r w:rsidR="00E647F4">
        <w:rPr>
          <w:rFonts w:ascii="Times New Roman" w:eastAsia="Times New Roman" w:hAnsi="Times New Roman" w:cs="Times New Roman"/>
          <w:sz w:val="22"/>
          <w:szCs w:val="22"/>
          <w:lang w:val="es-ES_tradnl" w:eastAsia="es-ES"/>
        </w:rPr>
        <w:t>3 la deuda interna se situó</w:t>
      </w:r>
      <w:r w:rsidR="00E647F4" w:rsidRPr="004A66F0">
        <w:rPr>
          <w:rFonts w:ascii="Times New Roman" w:eastAsia="Times New Roman" w:hAnsi="Times New Roman" w:cs="Times New Roman"/>
          <w:sz w:val="22"/>
          <w:szCs w:val="22"/>
          <w:lang w:val="es-ES_tradnl" w:eastAsia="es-ES"/>
        </w:rPr>
        <w:t xml:space="preserve"> en 5</w:t>
      </w:r>
      <w:r w:rsidR="00E647F4">
        <w:rPr>
          <w:rFonts w:ascii="Times New Roman" w:eastAsia="Times New Roman" w:hAnsi="Times New Roman" w:cs="Times New Roman"/>
          <w:sz w:val="22"/>
          <w:szCs w:val="22"/>
          <w:lang w:val="es-ES_tradnl" w:eastAsia="es-ES"/>
        </w:rPr>
        <w:t>6</w:t>
      </w:r>
      <w:r w:rsidR="00E647F4" w:rsidRPr="004A66F0">
        <w:rPr>
          <w:rFonts w:ascii="Times New Roman" w:eastAsia="Times New Roman" w:hAnsi="Times New Roman" w:cs="Times New Roman"/>
          <w:sz w:val="22"/>
          <w:szCs w:val="22"/>
          <w:lang w:val="es-ES_tradnl" w:eastAsia="es-ES"/>
        </w:rPr>
        <w:t>.</w:t>
      </w:r>
      <w:r w:rsidR="00E647F4">
        <w:rPr>
          <w:rFonts w:ascii="Times New Roman" w:eastAsia="Times New Roman" w:hAnsi="Times New Roman" w:cs="Times New Roman"/>
          <w:sz w:val="22"/>
          <w:szCs w:val="22"/>
          <w:lang w:val="es-ES_tradnl" w:eastAsia="es-ES"/>
        </w:rPr>
        <w:t>2</w:t>
      </w:r>
      <w:r w:rsidR="00E647F4" w:rsidRPr="004A66F0">
        <w:rPr>
          <w:rFonts w:ascii="Times New Roman" w:eastAsia="Times New Roman" w:hAnsi="Times New Roman" w:cs="Times New Roman"/>
          <w:sz w:val="22"/>
          <w:szCs w:val="22"/>
          <w:lang w:val="es-ES_tradnl" w:eastAsia="es-ES"/>
        </w:rPr>
        <w:t>% del total de la deuda, mientras que la deuda externa se situó en 4</w:t>
      </w:r>
      <w:r w:rsidR="00E647F4">
        <w:rPr>
          <w:rFonts w:ascii="Times New Roman" w:eastAsia="Times New Roman" w:hAnsi="Times New Roman" w:cs="Times New Roman"/>
          <w:sz w:val="22"/>
          <w:szCs w:val="22"/>
          <w:lang w:val="es-ES_tradnl" w:eastAsia="es-ES"/>
        </w:rPr>
        <w:t>3.8</w:t>
      </w:r>
      <w:r w:rsidR="00E647F4" w:rsidRPr="004A66F0">
        <w:rPr>
          <w:rFonts w:ascii="Times New Roman" w:eastAsia="Times New Roman" w:hAnsi="Times New Roman" w:cs="Times New Roman"/>
          <w:sz w:val="22"/>
          <w:szCs w:val="22"/>
          <w:lang w:val="es-ES_tradnl" w:eastAsia="es-ES"/>
        </w:rPr>
        <w:t>%; relación que es positiva considerando que se reduce la exposición al riesgo a la residencia del tenedor, apoyando la sostenibilidad de la misma en el corto y mediano plazo.</w:t>
      </w:r>
      <w:r w:rsidR="00E647F4">
        <w:rPr>
          <w:rFonts w:ascii="Times New Roman" w:eastAsia="Times New Roman" w:hAnsi="Times New Roman" w:cs="Times New Roman"/>
          <w:sz w:val="22"/>
          <w:szCs w:val="22"/>
          <w:lang w:val="es-ES_tradnl" w:eastAsia="es-ES"/>
        </w:rPr>
        <w:t xml:space="preserve"> Asimismo, la deuda en moneda nacional representó el 53.6% para dicho año y la deuda en moneda extranjera 46.4%</w:t>
      </w:r>
      <w:r w:rsidR="006C5718">
        <w:rPr>
          <w:rFonts w:ascii="Times New Roman" w:eastAsia="Times New Roman" w:hAnsi="Times New Roman" w:cs="Times New Roman"/>
          <w:sz w:val="22"/>
          <w:szCs w:val="22"/>
          <w:lang w:val="es-ES_tradnl" w:eastAsia="es-ES"/>
        </w:rPr>
        <w:t>.</w:t>
      </w:r>
      <w:r w:rsidR="00E647F4">
        <w:rPr>
          <w:rFonts w:ascii="Times New Roman" w:eastAsia="Times New Roman" w:hAnsi="Times New Roman" w:cs="Times New Roman"/>
          <w:sz w:val="22"/>
          <w:szCs w:val="22"/>
          <w:lang w:val="es-ES_tradnl" w:eastAsia="es-ES"/>
        </w:rPr>
        <w:t xml:space="preserve"> </w:t>
      </w:r>
      <w:r w:rsidR="00E55D59">
        <w:rPr>
          <w:rFonts w:ascii="Times New Roman" w:eastAsia="Times New Roman" w:hAnsi="Times New Roman" w:cs="Times New Roman"/>
          <w:sz w:val="22"/>
          <w:szCs w:val="22"/>
          <w:lang w:val="es-ES_tradnl" w:eastAsia="es-ES"/>
        </w:rPr>
        <w:t>Aunado a lo anterio</w:t>
      </w:r>
      <w:r w:rsidR="00B55A79">
        <w:rPr>
          <w:rFonts w:ascii="Times New Roman" w:eastAsia="Times New Roman" w:hAnsi="Times New Roman" w:cs="Times New Roman"/>
          <w:sz w:val="22"/>
          <w:szCs w:val="22"/>
          <w:lang w:val="es-ES_tradnl" w:eastAsia="es-ES"/>
        </w:rPr>
        <w:t>r</w:t>
      </w:r>
      <w:r w:rsidR="006625C1">
        <w:rPr>
          <w:rFonts w:ascii="Times New Roman" w:eastAsia="Times New Roman" w:hAnsi="Times New Roman" w:cs="Times New Roman"/>
          <w:sz w:val="22"/>
          <w:szCs w:val="22"/>
          <w:lang w:val="es-ES_tradnl" w:eastAsia="es-ES"/>
        </w:rPr>
        <w:t>,</w:t>
      </w:r>
      <w:r w:rsidR="00B55A79">
        <w:rPr>
          <w:rFonts w:ascii="Times New Roman" w:eastAsia="Times New Roman" w:hAnsi="Times New Roman" w:cs="Times New Roman"/>
          <w:sz w:val="22"/>
          <w:szCs w:val="22"/>
          <w:lang w:val="es-ES_tradnl" w:eastAsia="es-ES"/>
        </w:rPr>
        <w:t xml:space="preserve"> y</w:t>
      </w:r>
      <w:r w:rsidR="00E647F4">
        <w:rPr>
          <w:rFonts w:ascii="Times New Roman" w:eastAsia="Times New Roman" w:hAnsi="Times New Roman" w:cs="Times New Roman"/>
          <w:sz w:val="22"/>
          <w:szCs w:val="22"/>
          <w:lang w:val="es-ES_tradnl" w:eastAsia="es-ES"/>
        </w:rPr>
        <w:t xml:space="preserve"> </w:t>
      </w:r>
      <w:r w:rsidR="00B55A79">
        <w:rPr>
          <w:rFonts w:ascii="Times New Roman" w:eastAsia="Times New Roman" w:hAnsi="Times New Roman" w:cs="Times New Roman"/>
          <w:sz w:val="22"/>
          <w:szCs w:val="22"/>
          <w:lang w:val="es-ES_tradnl" w:eastAsia="es-ES"/>
        </w:rPr>
        <w:t>con</w:t>
      </w:r>
      <w:r w:rsidR="00E647F4">
        <w:rPr>
          <w:rFonts w:ascii="Times New Roman" w:eastAsia="Times New Roman" w:hAnsi="Times New Roman" w:cs="Times New Roman"/>
          <w:sz w:val="22"/>
          <w:szCs w:val="22"/>
          <w:lang w:val="es-ES_tradnl" w:eastAsia="es-ES"/>
        </w:rPr>
        <w:t xml:space="preserve"> base </w:t>
      </w:r>
      <w:r w:rsidR="00B55A79">
        <w:rPr>
          <w:rFonts w:ascii="Times New Roman" w:eastAsia="Times New Roman" w:hAnsi="Times New Roman" w:cs="Times New Roman"/>
          <w:sz w:val="22"/>
          <w:szCs w:val="22"/>
          <w:lang w:val="es-ES_tradnl" w:eastAsia="es-ES"/>
        </w:rPr>
        <w:t>en</w:t>
      </w:r>
      <w:r w:rsidR="00E647F4">
        <w:rPr>
          <w:rFonts w:ascii="Times New Roman" w:eastAsia="Times New Roman" w:hAnsi="Times New Roman" w:cs="Times New Roman"/>
          <w:sz w:val="22"/>
          <w:szCs w:val="22"/>
          <w:lang w:val="es-ES_tradnl" w:eastAsia="es-ES"/>
        </w:rPr>
        <w:t xml:space="preserve"> la información histórica</w:t>
      </w:r>
      <w:r w:rsidR="006625C1">
        <w:rPr>
          <w:rFonts w:ascii="Times New Roman" w:eastAsia="Times New Roman" w:hAnsi="Times New Roman" w:cs="Times New Roman"/>
          <w:sz w:val="22"/>
          <w:szCs w:val="22"/>
          <w:lang w:val="es-ES_tradnl" w:eastAsia="es-ES"/>
        </w:rPr>
        <w:t>,</w:t>
      </w:r>
      <w:r w:rsidR="00E647F4">
        <w:rPr>
          <w:rFonts w:ascii="Times New Roman" w:eastAsia="Times New Roman" w:hAnsi="Times New Roman" w:cs="Times New Roman"/>
          <w:sz w:val="22"/>
          <w:szCs w:val="22"/>
          <w:lang w:val="es-ES_tradnl" w:eastAsia="es-ES"/>
        </w:rPr>
        <w:t xml:space="preserve"> el riesgo de una fuerte depreciación del tipo de cambio es bajo, lo que mantiene moderado el riesgo cambiario. Es importante </w:t>
      </w:r>
      <w:r w:rsidR="00332BC5">
        <w:rPr>
          <w:rFonts w:ascii="Times New Roman" w:eastAsia="Times New Roman" w:hAnsi="Times New Roman" w:cs="Times New Roman"/>
          <w:sz w:val="22"/>
          <w:szCs w:val="22"/>
          <w:lang w:val="es-ES_tradnl" w:eastAsia="es-ES"/>
        </w:rPr>
        <w:t xml:space="preserve">mencionar </w:t>
      </w:r>
      <w:r w:rsidR="00E647F4">
        <w:rPr>
          <w:rFonts w:ascii="Times New Roman" w:eastAsia="Times New Roman" w:hAnsi="Times New Roman" w:cs="Times New Roman"/>
          <w:sz w:val="22"/>
          <w:szCs w:val="22"/>
          <w:lang w:val="es-ES_tradnl" w:eastAsia="es-ES"/>
        </w:rPr>
        <w:t>que estos indicadores también se mantienen por debajo de los límites de referencia de los organismos internacionales.</w:t>
      </w:r>
    </w:p>
    <w:p w14:paraId="22DEE75F" w14:textId="77777777" w:rsidR="00E647F4" w:rsidRPr="004A66F0" w:rsidRDefault="00E647F4" w:rsidP="004245AE">
      <w:pPr>
        <w:contextualSpacing/>
        <w:jc w:val="both"/>
        <w:rPr>
          <w:rFonts w:ascii="Times New Roman" w:eastAsia="Times New Roman" w:hAnsi="Times New Roman" w:cs="Times New Roman"/>
          <w:sz w:val="22"/>
          <w:szCs w:val="22"/>
          <w:lang w:val="es-ES_tradnl" w:eastAsia="es-ES"/>
        </w:rPr>
      </w:pPr>
    </w:p>
    <w:p w14:paraId="5C5EE0C1" w14:textId="2B6E0D74" w:rsidR="00E647F4" w:rsidRPr="004A66F0" w:rsidRDefault="00E647F4" w:rsidP="004245AE">
      <w:pPr>
        <w:contextualSpacing/>
        <w:jc w:val="both"/>
        <w:rPr>
          <w:rFonts w:ascii="Times New Roman" w:eastAsia="Times New Roman" w:hAnsi="Times New Roman" w:cs="Times New Roman"/>
          <w:sz w:val="22"/>
          <w:szCs w:val="22"/>
          <w:lang w:val="es-ES_tradnl" w:eastAsia="es-ES"/>
        </w:rPr>
      </w:pPr>
      <w:r w:rsidRPr="00976AA1">
        <w:rPr>
          <w:rFonts w:ascii="Times New Roman" w:eastAsia="Times New Roman" w:hAnsi="Times New Roman" w:cs="Times New Roman"/>
          <w:sz w:val="22"/>
          <w:szCs w:val="22"/>
          <w:lang w:val="es-ES_tradnl" w:eastAsia="es-ES"/>
        </w:rPr>
        <w:t xml:space="preserve">Por último, se ha mantenido en los últimos años una reducción del costo financiero de la deuda bonificada, pasando de tasas de rendimiento promedio ponderado de 9.1% en 2013 a </w:t>
      </w:r>
      <w:r w:rsidR="00976AA1" w:rsidRPr="00976AA1">
        <w:rPr>
          <w:rFonts w:ascii="Times New Roman" w:eastAsia="Times New Roman" w:hAnsi="Times New Roman" w:cs="Times New Roman"/>
          <w:sz w:val="22"/>
          <w:szCs w:val="22"/>
          <w:lang w:val="es-ES_tradnl" w:eastAsia="es-ES"/>
        </w:rPr>
        <w:t>7</w:t>
      </w:r>
      <w:r w:rsidRPr="00976AA1">
        <w:rPr>
          <w:rFonts w:ascii="Times New Roman" w:eastAsia="Times New Roman" w:hAnsi="Times New Roman" w:cs="Times New Roman"/>
          <w:sz w:val="22"/>
          <w:szCs w:val="22"/>
          <w:lang w:val="es-ES_tradnl" w:eastAsia="es-ES"/>
        </w:rPr>
        <w:t>.</w:t>
      </w:r>
      <w:r w:rsidR="00976AA1" w:rsidRPr="00976AA1">
        <w:rPr>
          <w:rFonts w:ascii="Times New Roman" w:eastAsia="Times New Roman" w:hAnsi="Times New Roman" w:cs="Times New Roman"/>
          <w:sz w:val="22"/>
          <w:szCs w:val="22"/>
          <w:lang w:val="es-ES_tradnl" w:eastAsia="es-ES"/>
        </w:rPr>
        <w:t>2</w:t>
      </w:r>
      <w:r w:rsidRPr="00976AA1">
        <w:rPr>
          <w:rFonts w:ascii="Times New Roman" w:eastAsia="Times New Roman" w:hAnsi="Times New Roman" w:cs="Times New Roman"/>
          <w:sz w:val="22"/>
          <w:szCs w:val="22"/>
          <w:lang w:val="es-ES_tradnl" w:eastAsia="es-ES"/>
        </w:rPr>
        <w:t>% en 202</w:t>
      </w:r>
      <w:r w:rsidR="00976AA1" w:rsidRPr="00976AA1">
        <w:rPr>
          <w:rFonts w:ascii="Times New Roman" w:eastAsia="Times New Roman" w:hAnsi="Times New Roman" w:cs="Times New Roman"/>
          <w:sz w:val="22"/>
          <w:szCs w:val="22"/>
          <w:lang w:val="es-ES_tradnl" w:eastAsia="es-ES"/>
        </w:rPr>
        <w:t>3</w:t>
      </w:r>
      <w:r w:rsidRPr="00976AA1">
        <w:rPr>
          <w:rFonts w:ascii="Times New Roman" w:eastAsia="Times New Roman" w:hAnsi="Times New Roman" w:cs="Times New Roman"/>
          <w:sz w:val="22"/>
          <w:szCs w:val="22"/>
          <w:lang w:val="es-ES_tradnl" w:eastAsia="es-ES"/>
        </w:rPr>
        <w:t>, mientras que en el mismo período ha crecido el plazo promedio de colocación pasando de 14.1 a 1</w:t>
      </w:r>
      <w:r w:rsidR="00976AA1" w:rsidRPr="00976AA1">
        <w:rPr>
          <w:rFonts w:ascii="Times New Roman" w:eastAsia="Times New Roman" w:hAnsi="Times New Roman" w:cs="Times New Roman"/>
          <w:sz w:val="22"/>
          <w:szCs w:val="22"/>
          <w:lang w:val="es-ES_tradnl" w:eastAsia="es-ES"/>
        </w:rPr>
        <w:t>5</w:t>
      </w:r>
      <w:r w:rsidRPr="00976AA1">
        <w:rPr>
          <w:rFonts w:ascii="Times New Roman" w:eastAsia="Times New Roman" w:hAnsi="Times New Roman" w:cs="Times New Roman"/>
          <w:sz w:val="22"/>
          <w:szCs w:val="22"/>
          <w:lang w:val="es-ES_tradnl" w:eastAsia="es-ES"/>
        </w:rPr>
        <w:t>.</w:t>
      </w:r>
      <w:r w:rsidR="00976AA1" w:rsidRPr="00976AA1">
        <w:rPr>
          <w:rFonts w:ascii="Times New Roman" w:eastAsia="Times New Roman" w:hAnsi="Times New Roman" w:cs="Times New Roman"/>
          <w:sz w:val="22"/>
          <w:szCs w:val="22"/>
          <w:lang w:val="es-ES_tradnl" w:eastAsia="es-ES"/>
        </w:rPr>
        <w:t>2</w:t>
      </w:r>
      <w:r w:rsidRPr="00976AA1">
        <w:rPr>
          <w:rFonts w:ascii="Times New Roman" w:eastAsia="Times New Roman" w:hAnsi="Times New Roman" w:cs="Times New Roman"/>
          <w:sz w:val="22"/>
          <w:szCs w:val="22"/>
          <w:lang w:val="es-ES_tradnl" w:eastAsia="es-ES"/>
        </w:rPr>
        <w:t xml:space="preserve"> años, reduciendo el riesgo de mercado y de refinanciamiento.</w:t>
      </w:r>
    </w:p>
    <w:p w14:paraId="3EE143A0" w14:textId="77777777" w:rsidR="00E647F4" w:rsidRDefault="00E647F4" w:rsidP="004245AE">
      <w:pPr>
        <w:contextualSpacing/>
        <w:jc w:val="both"/>
        <w:rPr>
          <w:rFonts w:ascii="Times New Roman" w:eastAsia="Times New Roman" w:hAnsi="Times New Roman" w:cs="Times New Roman"/>
          <w:sz w:val="22"/>
          <w:szCs w:val="22"/>
          <w:lang w:val="es-ES_tradnl" w:eastAsia="es-ES"/>
        </w:rPr>
      </w:pPr>
    </w:p>
    <w:p w14:paraId="17984A28" w14:textId="4378738C" w:rsidR="00E647F4" w:rsidRPr="004245AE" w:rsidRDefault="004245AE" w:rsidP="004245AE">
      <w:pPr>
        <w:pStyle w:val="Descripcin"/>
        <w:keepNext/>
        <w:spacing w:after="0"/>
        <w:jc w:val="center"/>
        <w:rPr>
          <w:sz w:val="22"/>
          <w:szCs w:val="22"/>
        </w:rPr>
      </w:pPr>
      <w:bookmarkStart w:id="115" w:name="_Toc125733214"/>
      <w:bookmarkStart w:id="116" w:name="_Toc158103863"/>
      <w:r w:rsidRPr="004245AE">
        <w:rPr>
          <w:sz w:val="22"/>
          <w:szCs w:val="22"/>
        </w:rPr>
        <w:t xml:space="preserve">Gráfico </w:t>
      </w:r>
      <w:r w:rsidRPr="004245AE">
        <w:rPr>
          <w:sz w:val="22"/>
          <w:szCs w:val="22"/>
        </w:rPr>
        <w:fldChar w:fldCharType="begin"/>
      </w:r>
      <w:r w:rsidRPr="004245AE">
        <w:rPr>
          <w:sz w:val="22"/>
          <w:szCs w:val="22"/>
        </w:rPr>
        <w:instrText xml:space="preserve"> SEQ Gráfico \* ARABIC </w:instrText>
      </w:r>
      <w:r w:rsidRPr="004245AE">
        <w:rPr>
          <w:sz w:val="22"/>
          <w:szCs w:val="22"/>
        </w:rPr>
        <w:fldChar w:fldCharType="separate"/>
      </w:r>
      <w:r w:rsidR="00C015DC">
        <w:rPr>
          <w:noProof/>
          <w:sz w:val="22"/>
          <w:szCs w:val="22"/>
        </w:rPr>
        <w:t>18</w:t>
      </w:r>
      <w:r w:rsidRPr="004245AE">
        <w:rPr>
          <w:sz w:val="22"/>
          <w:szCs w:val="22"/>
        </w:rPr>
        <w:fldChar w:fldCharType="end"/>
      </w:r>
      <w:r w:rsidRPr="004245AE">
        <w:rPr>
          <w:sz w:val="22"/>
          <w:szCs w:val="22"/>
        </w:rPr>
        <w:t xml:space="preserve">.  </w:t>
      </w:r>
      <w:r w:rsidR="00E647F4" w:rsidRPr="004245AE">
        <w:rPr>
          <w:rFonts w:eastAsia="Times New Roman" w:cs="Times New Roman"/>
          <w:sz w:val="22"/>
          <w:szCs w:val="28"/>
        </w:rPr>
        <w:t>Relación Deuda/ PIB y estructura de la deuda interna y externa</w:t>
      </w:r>
      <w:bookmarkEnd w:id="115"/>
      <w:bookmarkEnd w:id="116"/>
    </w:p>
    <w:p w14:paraId="4861A9A9" w14:textId="77777777" w:rsidR="00E647F4" w:rsidRPr="004A66F0" w:rsidRDefault="00E647F4" w:rsidP="00E647F4">
      <w:pPr>
        <w:spacing w:line="276" w:lineRule="auto"/>
        <w:contextualSpacing/>
        <w:jc w:val="center"/>
        <w:rPr>
          <w:rFonts w:ascii="Times New Roman" w:eastAsia="Times New Roman" w:hAnsi="Times New Roman" w:cs="Times New Roman"/>
          <w:b/>
          <w:szCs w:val="22"/>
        </w:rPr>
      </w:pPr>
      <w:r w:rsidRPr="004A66F0">
        <w:rPr>
          <w:rFonts w:ascii="Times New Roman" w:eastAsia="Times New Roman" w:hAnsi="Times New Roman" w:cs="Times New Roman"/>
          <w:b/>
          <w:szCs w:val="22"/>
        </w:rPr>
        <w:t xml:space="preserve">2015 - </w:t>
      </w:r>
      <w:r>
        <w:rPr>
          <w:rFonts w:ascii="Times New Roman" w:eastAsia="Times New Roman" w:hAnsi="Times New Roman" w:cs="Times New Roman"/>
          <w:b/>
          <w:szCs w:val="22"/>
        </w:rPr>
        <w:t>2023</w:t>
      </w:r>
    </w:p>
    <w:p w14:paraId="65B69D05" w14:textId="77777777" w:rsidR="00E647F4" w:rsidRPr="004A66F0" w:rsidRDefault="00E647F4" w:rsidP="00E647F4">
      <w:pPr>
        <w:spacing w:line="276" w:lineRule="auto"/>
        <w:contextualSpacing/>
        <w:jc w:val="center"/>
        <w:rPr>
          <w:rFonts w:ascii="Times New Roman" w:eastAsia="Times New Roman" w:hAnsi="Times New Roman" w:cs="Times New Roman"/>
          <w:lang w:val="es-ES_tradnl" w:eastAsia="es-ES"/>
        </w:rPr>
      </w:pPr>
      <w:r w:rsidRPr="004A66F0">
        <w:rPr>
          <w:rFonts w:ascii="Times New Roman" w:eastAsia="Times New Roman" w:hAnsi="Times New Roman" w:cs="Times New Roman"/>
          <w:noProof/>
          <w:lang w:eastAsia="es-GT"/>
        </w:rPr>
        <w:drawing>
          <wp:inline distT="0" distB="0" distL="0" distR="0" wp14:anchorId="5F30FAD1" wp14:editId="1F9EE08A">
            <wp:extent cx="5701030" cy="2568272"/>
            <wp:effectExtent l="0" t="0" r="0" b="3810"/>
            <wp:docPr id="55" name="Gráfico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9B2C6D9" w14:textId="77777777" w:rsidR="00E647F4" w:rsidRPr="004A66F0" w:rsidRDefault="00E647F4" w:rsidP="00E647F4">
      <w:pPr>
        <w:spacing w:line="276" w:lineRule="auto"/>
        <w:ind w:firstLine="360"/>
        <w:contextualSpacing/>
        <w:jc w:val="both"/>
        <w:rPr>
          <w:rFonts w:ascii="Times New Roman" w:eastAsia="Times New Roman" w:hAnsi="Times New Roman" w:cs="Times New Roman"/>
          <w:sz w:val="18"/>
          <w:szCs w:val="22"/>
        </w:rPr>
      </w:pPr>
      <w:r w:rsidRPr="004A66F0">
        <w:rPr>
          <w:rFonts w:ascii="Times New Roman" w:eastAsia="Times New Roman" w:hAnsi="Times New Roman" w:cs="Times New Roman"/>
          <w:sz w:val="18"/>
          <w:szCs w:val="22"/>
        </w:rPr>
        <w:t xml:space="preserve">                  Fuente: Dirección de Análisis y Política Fiscal, con cifras preliminares de cierre de </w:t>
      </w:r>
      <w:r>
        <w:rPr>
          <w:rFonts w:ascii="Times New Roman" w:eastAsia="Times New Roman" w:hAnsi="Times New Roman" w:cs="Times New Roman"/>
          <w:sz w:val="18"/>
          <w:szCs w:val="22"/>
        </w:rPr>
        <w:t>2023</w:t>
      </w:r>
      <w:r w:rsidRPr="004A66F0">
        <w:rPr>
          <w:rFonts w:ascii="Times New Roman" w:eastAsia="Times New Roman" w:hAnsi="Times New Roman" w:cs="Times New Roman"/>
          <w:sz w:val="18"/>
          <w:szCs w:val="22"/>
        </w:rPr>
        <w:t>.</w:t>
      </w:r>
    </w:p>
    <w:p w14:paraId="4A833A3D" w14:textId="77777777" w:rsidR="00E647F4" w:rsidRPr="004A66F0" w:rsidRDefault="00E647F4" w:rsidP="004245AE">
      <w:pPr>
        <w:contextualSpacing/>
        <w:rPr>
          <w:rFonts w:ascii="Calibri" w:eastAsia="Times New Roman" w:hAnsi="Calibri" w:cs="Times New Roman"/>
          <w:lang w:eastAsia="es-ES"/>
        </w:rPr>
      </w:pPr>
    </w:p>
    <w:p w14:paraId="275E13F9" w14:textId="0D69D161" w:rsidR="00E647F4" w:rsidRDefault="00E647F4" w:rsidP="004245AE">
      <w:pPr>
        <w:contextualSpacing/>
        <w:jc w:val="both"/>
        <w:rPr>
          <w:rFonts w:ascii="Times New Roman" w:eastAsia="Times New Roman" w:hAnsi="Times New Roman" w:cs="Times New Roman"/>
          <w:sz w:val="22"/>
          <w:szCs w:val="22"/>
          <w:lang w:val="es-ES_tradnl" w:eastAsia="es-ES"/>
        </w:rPr>
      </w:pPr>
      <w:r w:rsidRPr="004A66F0">
        <w:rPr>
          <w:rFonts w:ascii="Times New Roman" w:eastAsia="Times New Roman" w:hAnsi="Times New Roman" w:cs="Times New Roman"/>
          <w:sz w:val="22"/>
          <w:szCs w:val="22"/>
          <w:lang w:eastAsia="es-ES"/>
        </w:rPr>
        <w:t>E</w:t>
      </w:r>
      <w:r w:rsidRPr="004A66F0">
        <w:rPr>
          <w:rFonts w:ascii="Times New Roman" w:eastAsia="Times New Roman" w:hAnsi="Times New Roman" w:cs="Times New Roman"/>
          <w:sz w:val="22"/>
          <w:szCs w:val="22"/>
          <w:lang w:val="es-ES_tradnl" w:eastAsia="es-ES"/>
        </w:rPr>
        <w:t xml:space="preserve">s importante considerar que la deuda pública respecto a los ingresos fiscales en </w:t>
      </w:r>
      <w:r>
        <w:rPr>
          <w:rFonts w:ascii="Times New Roman" w:eastAsia="Times New Roman" w:hAnsi="Times New Roman" w:cs="Times New Roman"/>
          <w:sz w:val="22"/>
          <w:szCs w:val="22"/>
          <w:lang w:val="es-ES_tradnl" w:eastAsia="es-ES"/>
        </w:rPr>
        <w:t>2023</w:t>
      </w:r>
      <w:r w:rsidRPr="004A66F0">
        <w:rPr>
          <w:rFonts w:ascii="Times New Roman" w:eastAsia="Times New Roman" w:hAnsi="Times New Roman" w:cs="Times New Roman"/>
          <w:sz w:val="22"/>
          <w:szCs w:val="22"/>
          <w:lang w:val="es-ES_tradnl" w:eastAsia="es-ES"/>
        </w:rPr>
        <w:t xml:space="preserve"> se ubica en </w:t>
      </w:r>
      <w:r>
        <w:rPr>
          <w:rFonts w:ascii="Times New Roman" w:eastAsia="Times New Roman" w:hAnsi="Times New Roman" w:cs="Times New Roman"/>
          <w:sz w:val="22"/>
          <w:szCs w:val="22"/>
          <w:lang w:val="es-ES_tradnl" w:eastAsia="es-ES"/>
        </w:rPr>
        <w:t>21</w:t>
      </w:r>
      <w:r w:rsidR="00D37599">
        <w:rPr>
          <w:rFonts w:ascii="Times New Roman" w:eastAsia="Times New Roman" w:hAnsi="Times New Roman" w:cs="Times New Roman"/>
          <w:sz w:val="22"/>
          <w:szCs w:val="22"/>
          <w:lang w:val="es-ES_tradnl" w:eastAsia="es-ES"/>
        </w:rPr>
        <w:t>8</w:t>
      </w:r>
      <w:r>
        <w:rPr>
          <w:rFonts w:ascii="Times New Roman" w:eastAsia="Times New Roman" w:hAnsi="Times New Roman" w:cs="Times New Roman"/>
          <w:sz w:val="22"/>
          <w:szCs w:val="22"/>
          <w:lang w:val="es-ES_tradnl" w:eastAsia="es-ES"/>
        </w:rPr>
        <w:t>.</w:t>
      </w:r>
      <w:r w:rsidR="00D37599">
        <w:rPr>
          <w:rFonts w:ascii="Times New Roman" w:eastAsia="Times New Roman" w:hAnsi="Times New Roman" w:cs="Times New Roman"/>
          <w:sz w:val="22"/>
          <w:szCs w:val="22"/>
          <w:lang w:val="es-ES_tradnl" w:eastAsia="es-ES"/>
        </w:rPr>
        <w:t>2</w:t>
      </w:r>
      <w:r w:rsidRPr="004A66F0">
        <w:rPr>
          <w:rFonts w:ascii="Times New Roman" w:eastAsia="Times New Roman" w:hAnsi="Times New Roman" w:cs="Times New Roman"/>
          <w:sz w:val="22"/>
          <w:szCs w:val="22"/>
          <w:lang w:val="es-ES_tradnl" w:eastAsia="es-ES"/>
        </w:rPr>
        <w:t xml:space="preserve">%, reportando una disminución importante de </w:t>
      </w:r>
      <w:r>
        <w:rPr>
          <w:rFonts w:ascii="Times New Roman" w:eastAsia="Times New Roman" w:hAnsi="Times New Roman" w:cs="Times New Roman"/>
          <w:sz w:val="22"/>
          <w:szCs w:val="22"/>
          <w:lang w:val="es-ES_tradnl" w:eastAsia="es-ES"/>
        </w:rPr>
        <w:t>1</w:t>
      </w:r>
      <w:r w:rsidR="00D37599">
        <w:rPr>
          <w:rFonts w:ascii="Times New Roman" w:eastAsia="Times New Roman" w:hAnsi="Times New Roman" w:cs="Times New Roman"/>
          <w:sz w:val="22"/>
          <w:szCs w:val="22"/>
          <w:lang w:val="es-ES_tradnl" w:eastAsia="es-ES"/>
        </w:rPr>
        <w:t>2</w:t>
      </w:r>
      <w:r>
        <w:rPr>
          <w:rFonts w:ascii="Times New Roman" w:eastAsia="Times New Roman" w:hAnsi="Times New Roman" w:cs="Times New Roman"/>
          <w:sz w:val="22"/>
          <w:szCs w:val="22"/>
          <w:lang w:val="es-ES_tradnl" w:eastAsia="es-ES"/>
        </w:rPr>
        <w:t>.</w:t>
      </w:r>
      <w:r w:rsidR="00D37599">
        <w:rPr>
          <w:rFonts w:ascii="Times New Roman" w:eastAsia="Times New Roman" w:hAnsi="Times New Roman" w:cs="Times New Roman"/>
          <w:sz w:val="22"/>
          <w:szCs w:val="22"/>
          <w:lang w:val="es-ES_tradnl" w:eastAsia="es-ES"/>
        </w:rPr>
        <w:t>3</w:t>
      </w:r>
      <w:r w:rsidRPr="004A66F0">
        <w:rPr>
          <w:rFonts w:ascii="Times New Roman" w:eastAsia="Times New Roman" w:hAnsi="Times New Roman" w:cs="Times New Roman"/>
          <w:sz w:val="22"/>
          <w:szCs w:val="22"/>
          <w:lang w:val="es-ES_tradnl" w:eastAsia="es-ES"/>
        </w:rPr>
        <w:t xml:space="preserve"> puntos porcentuales con respecto a </w:t>
      </w:r>
      <w:r>
        <w:rPr>
          <w:rFonts w:ascii="Times New Roman" w:eastAsia="Times New Roman" w:hAnsi="Times New Roman" w:cs="Times New Roman"/>
          <w:sz w:val="22"/>
          <w:szCs w:val="22"/>
          <w:lang w:val="es-ES_tradnl" w:eastAsia="es-ES"/>
        </w:rPr>
        <w:t>2022</w:t>
      </w:r>
      <w:r w:rsidR="000A228C">
        <w:rPr>
          <w:rFonts w:ascii="Times New Roman" w:eastAsia="Times New Roman" w:hAnsi="Times New Roman" w:cs="Times New Roman"/>
          <w:sz w:val="22"/>
          <w:szCs w:val="22"/>
          <w:lang w:val="es-ES_tradnl" w:eastAsia="es-ES"/>
        </w:rPr>
        <w:t>.</w:t>
      </w:r>
      <w:r>
        <w:rPr>
          <w:rFonts w:ascii="Times New Roman" w:eastAsia="Times New Roman" w:hAnsi="Times New Roman" w:cs="Times New Roman"/>
          <w:sz w:val="22"/>
          <w:szCs w:val="22"/>
          <w:lang w:val="es-ES_tradnl" w:eastAsia="es-ES"/>
        </w:rPr>
        <w:t xml:space="preserve"> </w:t>
      </w:r>
      <w:r w:rsidR="000A228C">
        <w:rPr>
          <w:rFonts w:ascii="Times New Roman" w:eastAsia="Times New Roman" w:hAnsi="Times New Roman" w:cs="Times New Roman"/>
          <w:sz w:val="22"/>
          <w:szCs w:val="22"/>
          <w:lang w:val="es-ES_tradnl" w:eastAsia="es-ES"/>
        </w:rPr>
        <w:t>E</w:t>
      </w:r>
      <w:r>
        <w:rPr>
          <w:rFonts w:ascii="Times New Roman" w:eastAsia="Times New Roman" w:hAnsi="Times New Roman" w:cs="Times New Roman"/>
          <w:sz w:val="22"/>
          <w:szCs w:val="22"/>
          <w:lang w:val="es-ES_tradnl" w:eastAsia="es-ES"/>
        </w:rPr>
        <w:t>ste indicador es relevante para medir la capacidad de hacer frente a los compromisos derivados del endeudamiento.</w:t>
      </w:r>
      <w:r w:rsidRPr="004A66F0">
        <w:rPr>
          <w:rFonts w:ascii="Times New Roman" w:eastAsia="Times New Roman" w:hAnsi="Times New Roman" w:cs="Times New Roman"/>
          <w:sz w:val="22"/>
          <w:szCs w:val="22"/>
          <w:lang w:val="es-ES_tradnl" w:eastAsia="es-ES"/>
        </w:rPr>
        <w:t xml:space="preserve"> </w:t>
      </w:r>
    </w:p>
    <w:p w14:paraId="3D0B2C6E" w14:textId="77777777" w:rsidR="004245AE" w:rsidRPr="00695DA3" w:rsidRDefault="004245AE" w:rsidP="004245AE">
      <w:pPr>
        <w:contextualSpacing/>
        <w:jc w:val="both"/>
        <w:rPr>
          <w:rFonts w:ascii="Times New Roman" w:eastAsia="Times New Roman" w:hAnsi="Times New Roman" w:cs="Times New Roman"/>
          <w:sz w:val="22"/>
          <w:szCs w:val="22"/>
          <w:lang w:val="es-ES_tradnl" w:eastAsia="es-ES"/>
        </w:rPr>
      </w:pPr>
    </w:p>
    <w:p w14:paraId="3D299F44" w14:textId="7C2C6A09" w:rsidR="00B60499" w:rsidRPr="0048246B" w:rsidRDefault="00D77F0D" w:rsidP="004245AE">
      <w:pPr>
        <w:pStyle w:val="Ttulo1"/>
        <w:spacing w:before="0"/>
        <w:rPr>
          <w:rFonts w:ascii="Times New Roman" w:hAnsi="Times New Roman"/>
          <w:b/>
          <w:bCs/>
          <w:color w:val="auto"/>
          <w:sz w:val="26"/>
          <w:szCs w:val="26"/>
        </w:rPr>
      </w:pPr>
      <w:bookmarkStart w:id="117" w:name="_Toc160196856"/>
      <w:r w:rsidRPr="0048246B">
        <w:rPr>
          <w:rFonts w:ascii="Times New Roman" w:hAnsi="Times New Roman"/>
          <w:b/>
          <w:bCs/>
          <w:color w:val="auto"/>
          <w:sz w:val="26"/>
          <w:szCs w:val="26"/>
        </w:rPr>
        <w:t xml:space="preserve">V.  </w:t>
      </w:r>
      <w:r w:rsidR="00B60499" w:rsidRPr="0048246B">
        <w:rPr>
          <w:rFonts w:ascii="Times New Roman" w:hAnsi="Times New Roman"/>
          <w:b/>
          <w:bCs/>
          <w:color w:val="auto"/>
          <w:sz w:val="26"/>
          <w:szCs w:val="26"/>
        </w:rPr>
        <w:t>Metas establecidas en el Marco Fiscal de Mediano Plazo 202</w:t>
      </w:r>
      <w:r w:rsidR="008569F5" w:rsidRPr="0048246B">
        <w:rPr>
          <w:rFonts w:ascii="Times New Roman" w:hAnsi="Times New Roman"/>
          <w:b/>
          <w:bCs/>
          <w:color w:val="auto"/>
          <w:sz w:val="26"/>
          <w:szCs w:val="26"/>
        </w:rPr>
        <w:t>3</w:t>
      </w:r>
      <w:r w:rsidR="00B60499" w:rsidRPr="0048246B">
        <w:rPr>
          <w:rFonts w:ascii="Times New Roman" w:hAnsi="Times New Roman"/>
          <w:b/>
          <w:bCs/>
          <w:color w:val="auto"/>
          <w:sz w:val="26"/>
          <w:szCs w:val="26"/>
        </w:rPr>
        <w:t>-202</w:t>
      </w:r>
      <w:bookmarkEnd w:id="113"/>
      <w:r w:rsidR="008569F5" w:rsidRPr="0048246B">
        <w:rPr>
          <w:rFonts w:ascii="Times New Roman" w:hAnsi="Times New Roman"/>
          <w:b/>
          <w:bCs/>
          <w:color w:val="auto"/>
          <w:sz w:val="26"/>
          <w:szCs w:val="26"/>
        </w:rPr>
        <w:t>7</w:t>
      </w:r>
      <w:bookmarkEnd w:id="117"/>
    </w:p>
    <w:p w14:paraId="00CFC408" w14:textId="77777777" w:rsidR="00B60499" w:rsidRPr="00B60499" w:rsidRDefault="00B60499" w:rsidP="004245AE">
      <w:pPr>
        <w:contextualSpacing/>
        <w:rPr>
          <w:rFonts w:ascii="Times New Roman" w:eastAsia="Times New Roman" w:hAnsi="Times New Roman" w:cs="Times New Roman"/>
          <w:b/>
          <w:bCs/>
        </w:rPr>
      </w:pPr>
    </w:p>
    <w:p w14:paraId="3DA00F98" w14:textId="02216F9D" w:rsidR="00B60499" w:rsidRPr="00B60499" w:rsidRDefault="00B60499" w:rsidP="004245AE">
      <w:pPr>
        <w:contextualSpacing/>
        <w:jc w:val="both"/>
        <w:rPr>
          <w:rFonts w:ascii="Times New Roman" w:eastAsia="Times New Roman" w:hAnsi="Times New Roman" w:cs="Times New Roman"/>
          <w:sz w:val="22"/>
          <w:szCs w:val="22"/>
        </w:rPr>
      </w:pPr>
      <w:r w:rsidRPr="00B60499">
        <w:rPr>
          <w:rFonts w:ascii="Times New Roman" w:eastAsia="Times New Roman" w:hAnsi="Times New Roman" w:cs="Times New Roman"/>
          <w:sz w:val="22"/>
          <w:szCs w:val="22"/>
        </w:rPr>
        <w:t>En 202</w:t>
      </w:r>
      <w:r w:rsidR="008569F5">
        <w:rPr>
          <w:rFonts w:ascii="Times New Roman" w:eastAsia="Times New Roman" w:hAnsi="Times New Roman" w:cs="Times New Roman"/>
          <w:sz w:val="22"/>
          <w:szCs w:val="22"/>
        </w:rPr>
        <w:t>2</w:t>
      </w:r>
      <w:r w:rsidRPr="00B60499">
        <w:rPr>
          <w:rFonts w:ascii="Times New Roman" w:eastAsia="Times New Roman" w:hAnsi="Times New Roman" w:cs="Times New Roman"/>
          <w:sz w:val="22"/>
          <w:szCs w:val="22"/>
        </w:rPr>
        <w:t xml:space="preserve"> se elaboró el Marco Fiscal de Mediano Plazo 202</w:t>
      </w:r>
      <w:r w:rsidR="008569F5">
        <w:rPr>
          <w:rFonts w:ascii="Times New Roman" w:eastAsia="Times New Roman" w:hAnsi="Times New Roman" w:cs="Times New Roman"/>
          <w:sz w:val="22"/>
          <w:szCs w:val="22"/>
        </w:rPr>
        <w:t>3</w:t>
      </w:r>
      <w:r w:rsidRPr="00B60499">
        <w:rPr>
          <w:rFonts w:ascii="Times New Roman" w:eastAsia="Times New Roman" w:hAnsi="Times New Roman" w:cs="Times New Roman"/>
          <w:sz w:val="22"/>
          <w:szCs w:val="22"/>
        </w:rPr>
        <w:t>-202</w:t>
      </w:r>
      <w:r w:rsidR="008569F5">
        <w:rPr>
          <w:rFonts w:ascii="Times New Roman" w:eastAsia="Times New Roman" w:hAnsi="Times New Roman" w:cs="Times New Roman"/>
          <w:sz w:val="22"/>
          <w:szCs w:val="22"/>
        </w:rPr>
        <w:t>7</w:t>
      </w:r>
      <w:r w:rsidRPr="00B60499">
        <w:rPr>
          <w:rFonts w:ascii="Times New Roman" w:eastAsia="Times New Roman" w:hAnsi="Times New Roman" w:cs="Times New Roman"/>
          <w:sz w:val="22"/>
          <w:szCs w:val="22"/>
        </w:rPr>
        <w:t>, siendo una herramienta de apoyo para el análisis de las principales variables asociadas a la política fiscal para un período multianual de cinco años (202</w:t>
      </w:r>
      <w:r w:rsidR="008569F5">
        <w:rPr>
          <w:rFonts w:ascii="Times New Roman" w:eastAsia="Times New Roman" w:hAnsi="Times New Roman" w:cs="Times New Roman"/>
          <w:sz w:val="22"/>
          <w:szCs w:val="22"/>
        </w:rPr>
        <w:t>3</w:t>
      </w:r>
      <w:r w:rsidRPr="00B60499">
        <w:rPr>
          <w:rFonts w:ascii="Times New Roman" w:eastAsia="Times New Roman" w:hAnsi="Times New Roman" w:cs="Times New Roman"/>
          <w:sz w:val="22"/>
          <w:szCs w:val="22"/>
        </w:rPr>
        <w:t>-202</w:t>
      </w:r>
      <w:r w:rsidR="008569F5">
        <w:rPr>
          <w:rFonts w:ascii="Times New Roman" w:eastAsia="Times New Roman" w:hAnsi="Times New Roman" w:cs="Times New Roman"/>
          <w:sz w:val="22"/>
          <w:szCs w:val="22"/>
        </w:rPr>
        <w:t>7</w:t>
      </w:r>
      <w:r w:rsidRPr="00B60499">
        <w:rPr>
          <w:rFonts w:ascii="Times New Roman" w:eastAsia="Times New Roman" w:hAnsi="Times New Roman" w:cs="Times New Roman"/>
          <w:sz w:val="22"/>
          <w:szCs w:val="22"/>
        </w:rPr>
        <w:t xml:space="preserve">). Es un instrumento </w:t>
      </w:r>
      <w:r w:rsidR="00C431D3">
        <w:rPr>
          <w:rFonts w:ascii="Times New Roman" w:eastAsia="Times New Roman" w:hAnsi="Times New Roman" w:cs="Times New Roman"/>
          <w:sz w:val="22"/>
          <w:szCs w:val="22"/>
        </w:rPr>
        <w:t>concebido para</w:t>
      </w:r>
      <w:r w:rsidRPr="00B60499">
        <w:rPr>
          <w:rFonts w:ascii="Times New Roman" w:eastAsia="Times New Roman" w:hAnsi="Times New Roman" w:cs="Times New Roman"/>
          <w:sz w:val="22"/>
          <w:szCs w:val="22"/>
        </w:rPr>
        <w:t xml:space="preserve"> el análisis</w:t>
      </w:r>
      <w:r w:rsidR="00C431D3">
        <w:rPr>
          <w:rFonts w:ascii="Times New Roman" w:eastAsia="Times New Roman" w:hAnsi="Times New Roman" w:cs="Times New Roman"/>
          <w:sz w:val="22"/>
          <w:szCs w:val="22"/>
        </w:rPr>
        <w:t xml:space="preserve"> y proyección </w:t>
      </w:r>
      <w:r w:rsidRPr="00B60499">
        <w:rPr>
          <w:rFonts w:ascii="Times New Roman" w:eastAsia="Times New Roman" w:hAnsi="Times New Roman" w:cs="Times New Roman"/>
          <w:sz w:val="22"/>
          <w:szCs w:val="22"/>
        </w:rPr>
        <w:t xml:space="preserve">macro fiscal </w:t>
      </w:r>
      <w:r w:rsidRPr="00B60499">
        <w:rPr>
          <w:rFonts w:ascii="Times New Roman" w:eastAsia="Times New Roman" w:hAnsi="Times New Roman" w:cs="Times New Roman"/>
          <w:sz w:val="22"/>
          <w:szCs w:val="22"/>
        </w:rPr>
        <w:lastRenderedPageBreak/>
        <w:t xml:space="preserve">de mediano plazo, permitiendo entender cuáles son los desafíos fiscales y las metas que se deberían fijar, y con ello generar alertas tempranas cuando los indicadores se desvíen de la proyección, así como la mejora continua del indicador cuando </w:t>
      </w:r>
      <w:r w:rsidR="00203CCD">
        <w:rPr>
          <w:rFonts w:ascii="Times New Roman" w:eastAsia="Times New Roman" w:hAnsi="Times New Roman" w:cs="Times New Roman"/>
          <w:sz w:val="22"/>
          <w:szCs w:val="22"/>
        </w:rPr>
        <w:t>é</w:t>
      </w:r>
      <w:r w:rsidRPr="00B60499">
        <w:rPr>
          <w:rFonts w:ascii="Times New Roman" w:eastAsia="Times New Roman" w:hAnsi="Times New Roman" w:cs="Times New Roman"/>
          <w:sz w:val="22"/>
          <w:szCs w:val="22"/>
        </w:rPr>
        <w:t xml:space="preserve">ste se haya cumplido para el ejercicio fiscal en análisis. </w:t>
      </w:r>
    </w:p>
    <w:p w14:paraId="408305E6" w14:textId="77777777" w:rsidR="00B60499" w:rsidRPr="00B60499" w:rsidRDefault="00B60499" w:rsidP="004245AE">
      <w:pPr>
        <w:contextualSpacing/>
        <w:jc w:val="both"/>
        <w:rPr>
          <w:rFonts w:ascii="Times New Roman" w:eastAsia="Times New Roman" w:hAnsi="Times New Roman" w:cs="Times New Roman"/>
          <w:sz w:val="22"/>
          <w:szCs w:val="22"/>
        </w:rPr>
      </w:pPr>
    </w:p>
    <w:p w14:paraId="7D861906" w14:textId="77777777" w:rsidR="00B60499" w:rsidRPr="00B60499" w:rsidRDefault="00B60499" w:rsidP="004245AE">
      <w:pPr>
        <w:contextualSpacing/>
        <w:jc w:val="both"/>
        <w:rPr>
          <w:rFonts w:ascii="Times New Roman" w:eastAsia="Times New Roman" w:hAnsi="Times New Roman" w:cs="Times New Roman"/>
          <w:sz w:val="22"/>
          <w:szCs w:val="22"/>
        </w:rPr>
      </w:pPr>
      <w:r w:rsidRPr="00B60499">
        <w:rPr>
          <w:rFonts w:ascii="Times New Roman" w:eastAsia="Times New Roman" w:hAnsi="Times New Roman" w:cs="Times New Roman"/>
          <w:sz w:val="22"/>
          <w:szCs w:val="22"/>
        </w:rPr>
        <w:t xml:space="preserve">El objetivo fijado para la política fiscal en Guatemala es que sea más predecible, menos discrecional, con mayor transparencia, planificación y coordinación entre las instituciones, siendo un instrumento para aumentar el bienestar de la población.  </w:t>
      </w:r>
    </w:p>
    <w:p w14:paraId="1C7AFE88" w14:textId="77777777" w:rsidR="00B60499" w:rsidRPr="00B60499" w:rsidRDefault="00B60499" w:rsidP="004245AE">
      <w:pPr>
        <w:contextualSpacing/>
        <w:jc w:val="both"/>
        <w:rPr>
          <w:rFonts w:ascii="Times New Roman" w:eastAsia="Times New Roman" w:hAnsi="Times New Roman" w:cs="Times New Roman"/>
          <w:sz w:val="22"/>
          <w:szCs w:val="22"/>
        </w:rPr>
      </w:pPr>
    </w:p>
    <w:p w14:paraId="35836AEB" w14:textId="0DBCA690" w:rsidR="00B60499" w:rsidRPr="00B60499" w:rsidRDefault="00B60499" w:rsidP="004245AE">
      <w:pPr>
        <w:contextualSpacing/>
        <w:jc w:val="both"/>
        <w:rPr>
          <w:rFonts w:ascii="Times New Roman" w:eastAsia="Times New Roman" w:hAnsi="Times New Roman" w:cs="Times New Roman"/>
          <w:sz w:val="22"/>
          <w:szCs w:val="22"/>
        </w:rPr>
      </w:pPr>
      <w:r w:rsidRPr="00B60499">
        <w:rPr>
          <w:rFonts w:ascii="Times New Roman" w:eastAsia="Times New Roman" w:hAnsi="Times New Roman" w:cs="Times New Roman"/>
          <w:sz w:val="22"/>
          <w:szCs w:val="22"/>
        </w:rPr>
        <w:t>En ese sentido, se fijaron metas de política fiscal para el período 202</w:t>
      </w:r>
      <w:r w:rsidR="008569F5">
        <w:rPr>
          <w:rFonts w:ascii="Times New Roman" w:eastAsia="Times New Roman" w:hAnsi="Times New Roman" w:cs="Times New Roman"/>
          <w:sz w:val="22"/>
          <w:szCs w:val="22"/>
        </w:rPr>
        <w:t>3</w:t>
      </w:r>
      <w:r w:rsidRPr="00B60499">
        <w:rPr>
          <w:rFonts w:ascii="Times New Roman" w:eastAsia="Times New Roman" w:hAnsi="Times New Roman" w:cs="Times New Roman"/>
          <w:sz w:val="22"/>
          <w:szCs w:val="22"/>
        </w:rPr>
        <w:t>-202</w:t>
      </w:r>
      <w:r w:rsidR="008569F5">
        <w:rPr>
          <w:rFonts w:ascii="Times New Roman" w:eastAsia="Times New Roman" w:hAnsi="Times New Roman" w:cs="Times New Roman"/>
          <w:sz w:val="22"/>
          <w:szCs w:val="22"/>
        </w:rPr>
        <w:t>7</w:t>
      </w:r>
      <w:r w:rsidRPr="00B60499">
        <w:rPr>
          <w:rFonts w:ascii="Times New Roman" w:eastAsia="Times New Roman" w:hAnsi="Times New Roman" w:cs="Times New Roman"/>
          <w:sz w:val="22"/>
          <w:szCs w:val="22"/>
        </w:rPr>
        <w:t>, para los indicadores fiscales más relevantes, siendo estos:</w:t>
      </w:r>
    </w:p>
    <w:p w14:paraId="0DA9861A" w14:textId="77777777" w:rsidR="00B60499" w:rsidRPr="00B60499" w:rsidRDefault="00B60499" w:rsidP="004245AE">
      <w:pPr>
        <w:contextualSpacing/>
        <w:jc w:val="both"/>
        <w:rPr>
          <w:rFonts w:ascii="Times New Roman" w:eastAsia="Times New Roman" w:hAnsi="Times New Roman" w:cs="Times New Roman"/>
          <w:sz w:val="22"/>
          <w:szCs w:val="22"/>
        </w:rPr>
      </w:pPr>
    </w:p>
    <w:p w14:paraId="6A2B531B" w14:textId="77777777" w:rsidR="00C431D3" w:rsidRDefault="00C431D3" w:rsidP="004245AE">
      <w:pPr>
        <w:pStyle w:val="Prrafodelista"/>
        <w:numPr>
          <w:ilvl w:val="0"/>
          <w:numId w:val="26"/>
        </w:numPr>
        <w:spacing w:after="160"/>
        <w:ind w:left="567"/>
        <w:jc w:val="both"/>
        <w:rPr>
          <w:rFonts w:ascii="Times New Roman" w:eastAsia="Times New Roman" w:hAnsi="Times New Roman" w:cs="Times New Roman"/>
        </w:rPr>
      </w:pPr>
      <w:r w:rsidRPr="00C431D3">
        <w:rPr>
          <w:rFonts w:ascii="Times New Roman" w:eastAsia="Times New Roman" w:hAnsi="Times New Roman" w:cs="Times New Roman"/>
        </w:rPr>
        <w:t>Incrementar la recaudación tributaria de manera sustancial y sostenida, a través de reformas legales y mediante el fortalecimiento de la capacidad recaudatoria de la Superintendencia de Administración Tributaria, con la finalidad de obtener los ingresos suficientes para financiar el gasto público y contribuir a la solidez de las finanzas públicas.</w:t>
      </w:r>
    </w:p>
    <w:p w14:paraId="44FF595C" w14:textId="57C39108" w:rsidR="00C431D3" w:rsidRDefault="00C431D3" w:rsidP="004245AE">
      <w:pPr>
        <w:pStyle w:val="Prrafodelista"/>
        <w:numPr>
          <w:ilvl w:val="0"/>
          <w:numId w:val="26"/>
        </w:numPr>
        <w:spacing w:after="160"/>
        <w:ind w:left="567"/>
        <w:jc w:val="both"/>
        <w:rPr>
          <w:rFonts w:ascii="Times New Roman" w:eastAsia="Times New Roman" w:hAnsi="Times New Roman" w:cs="Times New Roman"/>
        </w:rPr>
      </w:pPr>
      <w:r w:rsidRPr="00C431D3">
        <w:rPr>
          <w:rFonts w:ascii="Times New Roman" w:eastAsia="Times New Roman" w:hAnsi="Times New Roman" w:cs="Times New Roman"/>
        </w:rPr>
        <w:t>Coadyuvar a lograr una gestión disciplinada y transparente del gasto público, enfocada en resultados y que est</w:t>
      </w:r>
      <w:r w:rsidR="00203CCD">
        <w:rPr>
          <w:rFonts w:ascii="Times New Roman" w:eastAsia="Times New Roman" w:hAnsi="Times New Roman" w:cs="Times New Roman"/>
        </w:rPr>
        <w:t>é</w:t>
      </w:r>
      <w:r w:rsidRPr="00C431D3">
        <w:rPr>
          <w:rFonts w:ascii="Times New Roman" w:eastAsia="Times New Roman" w:hAnsi="Times New Roman" w:cs="Times New Roman"/>
        </w:rPr>
        <w:t xml:space="preserve"> en constante búsqueda de las fuentes de financiamiento necesarias para garantizar parte de la cobertura de los programas asociados al Plan Nacional de Desarrollo K´ATUN 2032.</w:t>
      </w:r>
    </w:p>
    <w:p w14:paraId="2328D12C" w14:textId="77777777" w:rsidR="00C431D3" w:rsidRDefault="00C431D3" w:rsidP="004245AE">
      <w:pPr>
        <w:pStyle w:val="Prrafodelista"/>
        <w:numPr>
          <w:ilvl w:val="0"/>
          <w:numId w:val="26"/>
        </w:numPr>
        <w:spacing w:after="160"/>
        <w:ind w:left="567"/>
        <w:jc w:val="both"/>
        <w:rPr>
          <w:rFonts w:ascii="Times New Roman" w:eastAsia="Times New Roman" w:hAnsi="Times New Roman" w:cs="Times New Roman"/>
        </w:rPr>
      </w:pPr>
      <w:r w:rsidRPr="00C431D3">
        <w:rPr>
          <w:rFonts w:ascii="Times New Roman" w:eastAsia="Times New Roman" w:hAnsi="Times New Roman" w:cs="Times New Roman"/>
        </w:rPr>
        <w:t>Promover la competitividad y el crecimiento económico, a través de la asignación presupuestaria a proyectos de inversión pública productiva y social, que dinamicen la actividad económica, generen empleo y mejoren las condiciones de vida de la población.</w:t>
      </w:r>
    </w:p>
    <w:p w14:paraId="23ECCC7A" w14:textId="77777777" w:rsidR="00C431D3" w:rsidRDefault="00C431D3" w:rsidP="004245AE">
      <w:pPr>
        <w:pStyle w:val="Prrafodelista"/>
        <w:numPr>
          <w:ilvl w:val="0"/>
          <w:numId w:val="26"/>
        </w:numPr>
        <w:spacing w:after="160"/>
        <w:ind w:left="567"/>
        <w:jc w:val="both"/>
        <w:rPr>
          <w:rFonts w:ascii="Times New Roman" w:eastAsia="Times New Roman" w:hAnsi="Times New Roman" w:cs="Times New Roman"/>
        </w:rPr>
      </w:pPr>
      <w:r w:rsidRPr="00C431D3">
        <w:rPr>
          <w:rFonts w:ascii="Times New Roman" w:eastAsia="Times New Roman" w:hAnsi="Times New Roman" w:cs="Times New Roman"/>
        </w:rPr>
        <w:t>Mantener un resultado fiscal de la Administración Central congruente con la estabilidad macroeconómica, para asegurar el espacio fiscal suficiente para la toma de decisiones apremiantes ante situaciones de crisis, catástrofes y otras circunstancias que afecten negativamente al país.</w:t>
      </w:r>
    </w:p>
    <w:p w14:paraId="28DCED7E" w14:textId="094B3562" w:rsidR="00B60499" w:rsidRDefault="00C431D3" w:rsidP="004245AE">
      <w:pPr>
        <w:pStyle w:val="Prrafodelista"/>
        <w:numPr>
          <w:ilvl w:val="0"/>
          <w:numId w:val="26"/>
        </w:numPr>
        <w:ind w:left="567"/>
        <w:jc w:val="both"/>
        <w:rPr>
          <w:rFonts w:ascii="Times New Roman" w:eastAsia="Times New Roman" w:hAnsi="Times New Roman" w:cs="Times New Roman"/>
        </w:rPr>
      </w:pPr>
      <w:r w:rsidRPr="00C431D3">
        <w:rPr>
          <w:rFonts w:ascii="Times New Roman" w:eastAsia="Times New Roman" w:hAnsi="Times New Roman" w:cs="Times New Roman"/>
        </w:rPr>
        <w:t>Mantener el nivel de endeudamiento de la Administración Central en concordancia con parámetros razonables</w:t>
      </w:r>
      <w:r w:rsidR="00203CCD">
        <w:rPr>
          <w:rFonts w:ascii="Times New Roman" w:eastAsia="Times New Roman" w:hAnsi="Times New Roman" w:cs="Times New Roman"/>
        </w:rPr>
        <w:t>,</w:t>
      </w:r>
      <w:r w:rsidRPr="00C431D3">
        <w:rPr>
          <w:rFonts w:ascii="Times New Roman" w:eastAsia="Times New Roman" w:hAnsi="Times New Roman" w:cs="Times New Roman"/>
        </w:rPr>
        <w:t xml:space="preserve"> </w:t>
      </w:r>
      <w:r w:rsidR="00203CCD">
        <w:rPr>
          <w:rFonts w:ascii="Times New Roman" w:eastAsia="Times New Roman" w:hAnsi="Times New Roman" w:cs="Times New Roman"/>
        </w:rPr>
        <w:t>d</w:t>
      </w:r>
      <w:r w:rsidRPr="00C431D3">
        <w:rPr>
          <w:rFonts w:ascii="Times New Roman" w:eastAsia="Times New Roman" w:hAnsi="Times New Roman" w:cs="Times New Roman"/>
        </w:rPr>
        <w:t>e acuerdo a la dimensión de la economía de Guatemala y la capacidad de pago del país, garantizando la sostenibilidad fiscal en el mediano y largo plazo.</w:t>
      </w:r>
    </w:p>
    <w:p w14:paraId="254BA102" w14:textId="77777777" w:rsidR="004245AE" w:rsidRPr="00C431D3" w:rsidRDefault="004245AE" w:rsidP="004245AE">
      <w:pPr>
        <w:pStyle w:val="Prrafodelista"/>
        <w:jc w:val="both"/>
        <w:rPr>
          <w:rFonts w:ascii="Times New Roman" w:eastAsia="Times New Roman" w:hAnsi="Times New Roman" w:cs="Times New Roman"/>
        </w:rPr>
      </w:pPr>
    </w:p>
    <w:p w14:paraId="3E8FB54B" w14:textId="7FC5C1C0" w:rsidR="00B60499" w:rsidRDefault="004245AE" w:rsidP="004245AE">
      <w:pPr>
        <w:pStyle w:val="Descripcin"/>
        <w:keepNext/>
        <w:spacing w:after="0"/>
        <w:jc w:val="center"/>
        <w:rPr>
          <w:rFonts w:eastAsia="Times New Roman" w:cs="Times New Roman"/>
          <w:bCs/>
          <w:sz w:val="22"/>
          <w:szCs w:val="22"/>
        </w:rPr>
      </w:pPr>
      <w:bookmarkStart w:id="118" w:name="_Toc125534814"/>
      <w:bookmarkStart w:id="119" w:name="_Toc160196923"/>
      <w:r w:rsidRPr="004245AE">
        <w:rPr>
          <w:sz w:val="22"/>
          <w:szCs w:val="22"/>
        </w:rPr>
        <w:t xml:space="preserve">Tabla </w:t>
      </w:r>
      <w:r w:rsidRPr="004245AE">
        <w:rPr>
          <w:sz w:val="22"/>
          <w:szCs w:val="22"/>
        </w:rPr>
        <w:fldChar w:fldCharType="begin"/>
      </w:r>
      <w:r w:rsidRPr="004245AE">
        <w:rPr>
          <w:sz w:val="22"/>
          <w:szCs w:val="22"/>
        </w:rPr>
        <w:instrText xml:space="preserve"> SEQ Tabla \* ARABIC </w:instrText>
      </w:r>
      <w:r w:rsidRPr="004245AE">
        <w:rPr>
          <w:sz w:val="22"/>
          <w:szCs w:val="22"/>
        </w:rPr>
        <w:fldChar w:fldCharType="separate"/>
      </w:r>
      <w:r w:rsidR="00C015DC">
        <w:rPr>
          <w:noProof/>
          <w:sz w:val="22"/>
          <w:szCs w:val="22"/>
        </w:rPr>
        <w:t>8</w:t>
      </w:r>
      <w:r w:rsidRPr="004245AE">
        <w:rPr>
          <w:sz w:val="22"/>
          <w:szCs w:val="22"/>
        </w:rPr>
        <w:fldChar w:fldCharType="end"/>
      </w:r>
      <w:r w:rsidRPr="004245AE">
        <w:rPr>
          <w:sz w:val="22"/>
          <w:szCs w:val="22"/>
        </w:rPr>
        <w:t xml:space="preserve">.  </w:t>
      </w:r>
      <w:r w:rsidR="00B60499" w:rsidRPr="004245AE">
        <w:rPr>
          <w:rFonts w:eastAsia="Times New Roman" w:cs="Times New Roman"/>
          <w:bCs/>
          <w:sz w:val="22"/>
          <w:szCs w:val="22"/>
        </w:rPr>
        <w:t>Metas de Política Fiscal para el período 202</w:t>
      </w:r>
      <w:r w:rsidR="008569F5" w:rsidRPr="004245AE">
        <w:rPr>
          <w:rFonts w:eastAsia="Times New Roman" w:cs="Times New Roman"/>
          <w:bCs/>
          <w:sz w:val="22"/>
          <w:szCs w:val="22"/>
        </w:rPr>
        <w:t>3</w:t>
      </w:r>
      <w:r w:rsidR="00B60499" w:rsidRPr="004245AE">
        <w:rPr>
          <w:rFonts w:eastAsia="Times New Roman" w:cs="Times New Roman"/>
          <w:bCs/>
          <w:sz w:val="22"/>
          <w:szCs w:val="22"/>
        </w:rPr>
        <w:t>-202</w:t>
      </w:r>
      <w:bookmarkEnd w:id="118"/>
      <w:r w:rsidR="008569F5" w:rsidRPr="004245AE">
        <w:rPr>
          <w:rFonts w:eastAsia="Times New Roman" w:cs="Times New Roman"/>
          <w:bCs/>
          <w:sz w:val="22"/>
          <w:szCs w:val="22"/>
        </w:rPr>
        <w:t>7</w:t>
      </w:r>
      <w:bookmarkEnd w:id="119"/>
    </w:p>
    <w:p w14:paraId="1CE1C0A0" w14:textId="77777777" w:rsidR="004245AE" w:rsidRPr="004245AE" w:rsidRDefault="004245AE" w:rsidP="004245AE"/>
    <w:tbl>
      <w:tblPr>
        <w:tblW w:w="8637" w:type="dxa"/>
        <w:jc w:val="center"/>
        <w:tblCellMar>
          <w:left w:w="70" w:type="dxa"/>
          <w:right w:w="70" w:type="dxa"/>
        </w:tblCellMar>
        <w:tblLook w:val="04A0" w:firstRow="1" w:lastRow="0" w:firstColumn="1" w:lastColumn="0" w:noHBand="0" w:noVBand="1"/>
      </w:tblPr>
      <w:tblGrid>
        <w:gridCol w:w="4900"/>
        <w:gridCol w:w="2178"/>
        <w:gridCol w:w="1559"/>
      </w:tblGrid>
      <w:tr w:rsidR="00B60499" w:rsidRPr="00B60499" w14:paraId="59CC65A2" w14:textId="77777777" w:rsidTr="004A4C21">
        <w:trPr>
          <w:trHeight w:val="600"/>
          <w:jc w:val="center"/>
        </w:trPr>
        <w:tc>
          <w:tcPr>
            <w:tcW w:w="4900" w:type="dxa"/>
            <w:tcBorders>
              <w:top w:val="single" w:sz="8" w:space="0" w:color="auto"/>
              <w:left w:val="single" w:sz="8" w:space="0" w:color="auto"/>
              <w:bottom w:val="single" w:sz="8" w:space="0" w:color="auto"/>
              <w:right w:val="single" w:sz="4" w:space="0" w:color="auto"/>
            </w:tcBorders>
            <w:shd w:val="clear" w:color="000000" w:fill="1F4E78"/>
            <w:noWrap/>
            <w:vAlign w:val="center"/>
            <w:hideMark/>
          </w:tcPr>
          <w:p w14:paraId="2A2AD2C4" w14:textId="77777777" w:rsidR="00B60499" w:rsidRPr="00B60499" w:rsidRDefault="00B60499" w:rsidP="00B60499">
            <w:pPr>
              <w:spacing w:line="276" w:lineRule="auto"/>
              <w:contextualSpacing/>
              <w:jc w:val="center"/>
              <w:rPr>
                <w:rFonts w:ascii="Times New Roman" w:eastAsia="Times New Roman" w:hAnsi="Times New Roman" w:cs="Times New Roman"/>
                <w:b/>
                <w:bCs/>
                <w:color w:val="FFFFFF"/>
                <w:sz w:val="20"/>
                <w:szCs w:val="20"/>
                <w:lang w:eastAsia="es-GT"/>
              </w:rPr>
            </w:pPr>
            <w:r w:rsidRPr="00B60499">
              <w:rPr>
                <w:rFonts w:ascii="Times New Roman" w:eastAsia="Times New Roman" w:hAnsi="Times New Roman" w:cs="Times New Roman"/>
                <w:b/>
                <w:bCs/>
                <w:color w:val="FFFFFF"/>
                <w:sz w:val="20"/>
                <w:szCs w:val="20"/>
                <w:lang w:eastAsia="es-GT"/>
              </w:rPr>
              <w:t>Meta fijada en el Marco Fiscal de Mediano Plazo</w:t>
            </w:r>
          </w:p>
        </w:tc>
        <w:tc>
          <w:tcPr>
            <w:tcW w:w="2178" w:type="dxa"/>
            <w:tcBorders>
              <w:top w:val="single" w:sz="8" w:space="0" w:color="auto"/>
              <w:left w:val="nil"/>
              <w:bottom w:val="single" w:sz="8" w:space="0" w:color="auto"/>
              <w:right w:val="single" w:sz="4" w:space="0" w:color="auto"/>
            </w:tcBorders>
            <w:shd w:val="clear" w:color="000000" w:fill="1F4E78"/>
            <w:noWrap/>
            <w:vAlign w:val="center"/>
            <w:hideMark/>
          </w:tcPr>
          <w:p w14:paraId="47E47ED9" w14:textId="2DD596AC" w:rsidR="00B60499" w:rsidRPr="00B60499" w:rsidRDefault="00B60499" w:rsidP="00B60499">
            <w:pPr>
              <w:spacing w:line="276" w:lineRule="auto"/>
              <w:contextualSpacing/>
              <w:jc w:val="center"/>
              <w:rPr>
                <w:rFonts w:ascii="Times New Roman" w:eastAsia="Times New Roman" w:hAnsi="Times New Roman" w:cs="Times New Roman"/>
                <w:b/>
                <w:bCs/>
                <w:color w:val="FFFFFF"/>
                <w:sz w:val="20"/>
                <w:szCs w:val="20"/>
                <w:lang w:eastAsia="es-GT"/>
              </w:rPr>
            </w:pPr>
            <w:r w:rsidRPr="00B60499">
              <w:rPr>
                <w:rFonts w:ascii="Times New Roman" w:eastAsia="Times New Roman" w:hAnsi="Times New Roman" w:cs="Times New Roman"/>
                <w:b/>
                <w:bCs/>
                <w:color w:val="FFFFFF"/>
                <w:sz w:val="20"/>
                <w:szCs w:val="20"/>
                <w:lang w:eastAsia="es-GT"/>
              </w:rPr>
              <w:t>202</w:t>
            </w:r>
            <w:r w:rsidR="008569F5">
              <w:rPr>
                <w:rFonts w:ascii="Times New Roman" w:eastAsia="Times New Roman" w:hAnsi="Times New Roman" w:cs="Times New Roman"/>
                <w:b/>
                <w:bCs/>
                <w:color w:val="FFFFFF"/>
                <w:sz w:val="20"/>
                <w:szCs w:val="20"/>
                <w:lang w:eastAsia="es-GT"/>
              </w:rPr>
              <w:t>3</w:t>
            </w:r>
          </w:p>
        </w:tc>
        <w:tc>
          <w:tcPr>
            <w:tcW w:w="1559" w:type="dxa"/>
            <w:tcBorders>
              <w:top w:val="single" w:sz="8" w:space="0" w:color="auto"/>
              <w:left w:val="nil"/>
              <w:bottom w:val="single" w:sz="8" w:space="0" w:color="auto"/>
              <w:right w:val="single" w:sz="8" w:space="0" w:color="auto"/>
            </w:tcBorders>
            <w:shd w:val="clear" w:color="000000" w:fill="1F4E78"/>
            <w:vAlign w:val="center"/>
            <w:hideMark/>
          </w:tcPr>
          <w:p w14:paraId="23E315EA" w14:textId="77777777" w:rsidR="00B60499" w:rsidRPr="00B60499" w:rsidRDefault="00B60499" w:rsidP="00B60499">
            <w:pPr>
              <w:spacing w:line="276" w:lineRule="auto"/>
              <w:contextualSpacing/>
              <w:jc w:val="center"/>
              <w:rPr>
                <w:rFonts w:ascii="Times New Roman" w:eastAsia="Times New Roman" w:hAnsi="Times New Roman" w:cs="Times New Roman"/>
                <w:b/>
                <w:bCs/>
                <w:color w:val="FFFFFF"/>
                <w:sz w:val="20"/>
                <w:szCs w:val="20"/>
                <w:lang w:eastAsia="es-GT"/>
              </w:rPr>
            </w:pPr>
            <w:r w:rsidRPr="00B60499">
              <w:rPr>
                <w:rFonts w:ascii="Times New Roman" w:eastAsia="Times New Roman" w:hAnsi="Times New Roman" w:cs="Times New Roman"/>
                <w:b/>
                <w:bCs/>
                <w:color w:val="FFFFFF"/>
                <w:sz w:val="20"/>
                <w:szCs w:val="20"/>
                <w:lang w:eastAsia="es-GT"/>
              </w:rPr>
              <w:t>Estado</w:t>
            </w:r>
          </w:p>
        </w:tc>
      </w:tr>
      <w:tr w:rsidR="00B60499" w:rsidRPr="00B60499" w14:paraId="47C9BBAC" w14:textId="77777777" w:rsidTr="004A4C21">
        <w:trPr>
          <w:trHeight w:val="600"/>
          <w:jc w:val="center"/>
        </w:trPr>
        <w:tc>
          <w:tcPr>
            <w:tcW w:w="4900" w:type="dxa"/>
            <w:tcBorders>
              <w:top w:val="nil"/>
              <w:left w:val="single" w:sz="8" w:space="0" w:color="auto"/>
              <w:bottom w:val="single" w:sz="4" w:space="0" w:color="auto"/>
              <w:right w:val="single" w:sz="4" w:space="0" w:color="auto"/>
            </w:tcBorders>
            <w:vAlign w:val="center"/>
            <w:hideMark/>
          </w:tcPr>
          <w:p w14:paraId="1163D777" w14:textId="7A7AFE47" w:rsidR="00B60499" w:rsidRPr="00B60499" w:rsidRDefault="00B60499" w:rsidP="00B60499">
            <w:pPr>
              <w:spacing w:line="276" w:lineRule="auto"/>
              <w:contextualSpacing/>
              <w:rPr>
                <w:rFonts w:ascii="Times New Roman" w:eastAsia="Times New Roman" w:hAnsi="Times New Roman" w:cs="Times New Roman"/>
                <w:sz w:val="20"/>
                <w:szCs w:val="20"/>
                <w:lang w:eastAsia="es-GT"/>
              </w:rPr>
            </w:pPr>
            <w:r w:rsidRPr="00B60499">
              <w:rPr>
                <w:rFonts w:ascii="Times New Roman" w:eastAsia="Times New Roman" w:hAnsi="Times New Roman" w:cs="Times New Roman"/>
                <w:sz w:val="20"/>
                <w:szCs w:val="20"/>
                <w:lang w:eastAsia="es-GT"/>
              </w:rPr>
              <w:t>Alcanzar una carga tributaria de al menos 11.</w:t>
            </w:r>
            <w:r w:rsidR="008569F5">
              <w:rPr>
                <w:rFonts w:ascii="Times New Roman" w:eastAsia="Times New Roman" w:hAnsi="Times New Roman" w:cs="Times New Roman"/>
                <w:sz w:val="20"/>
                <w:szCs w:val="20"/>
                <w:lang w:eastAsia="es-GT"/>
              </w:rPr>
              <w:t>6</w:t>
            </w:r>
            <w:r w:rsidRPr="00B60499">
              <w:rPr>
                <w:rFonts w:ascii="Times New Roman" w:eastAsia="Times New Roman" w:hAnsi="Times New Roman" w:cs="Times New Roman"/>
                <w:sz w:val="20"/>
                <w:szCs w:val="20"/>
                <w:lang w:eastAsia="es-GT"/>
              </w:rPr>
              <w:t>% para 202</w:t>
            </w:r>
            <w:r w:rsidR="008569F5">
              <w:rPr>
                <w:rFonts w:ascii="Times New Roman" w:eastAsia="Times New Roman" w:hAnsi="Times New Roman" w:cs="Times New Roman"/>
                <w:sz w:val="20"/>
                <w:szCs w:val="20"/>
                <w:lang w:eastAsia="es-GT"/>
              </w:rPr>
              <w:t>7</w:t>
            </w:r>
            <w:r w:rsidRPr="00B60499">
              <w:rPr>
                <w:rFonts w:ascii="Times New Roman" w:eastAsia="Times New Roman" w:hAnsi="Times New Roman" w:cs="Times New Roman"/>
                <w:sz w:val="20"/>
                <w:szCs w:val="20"/>
                <w:lang w:eastAsia="es-GT"/>
              </w:rPr>
              <w:t xml:space="preserve"> </w:t>
            </w:r>
          </w:p>
        </w:tc>
        <w:tc>
          <w:tcPr>
            <w:tcW w:w="2178" w:type="dxa"/>
            <w:tcBorders>
              <w:top w:val="nil"/>
              <w:left w:val="nil"/>
              <w:bottom w:val="single" w:sz="4" w:space="0" w:color="auto"/>
              <w:right w:val="single" w:sz="4" w:space="0" w:color="auto"/>
            </w:tcBorders>
            <w:noWrap/>
            <w:vAlign w:val="center"/>
            <w:hideMark/>
          </w:tcPr>
          <w:p w14:paraId="3E4D9B04" w14:textId="6B94B587" w:rsidR="00B60499" w:rsidRPr="00B60499" w:rsidRDefault="00B60499" w:rsidP="00B60499">
            <w:pPr>
              <w:spacing w:line="276" w:lineRule="auto"/>
              <w:contextualSpacing/>
              <w:jc w:val="center"/>
              <w:rPr>
                <w:rFonts w:ascii="Times New Roman" w:eastAsia="Times New Roman" w:hAnsi="Times New Roman" w:cs="Times New Roman"/>
                <w:sz w:val="20"/>
                <w:szCs w:val="20"/>
                <w:lang w:eastAsia="es-GT"/>
              </w:rPr>
            </w:pPr>
            <w:r w:rsidRPr="00B60499">
              <w:rPr>
                <w:rFonts w:ascii="Times New Roman" w:eastAsia="Times New Roman" w:hAnsi="Times New Roman" w:cs="Times New Roman"/>
                <w:sz w:val="20"/>
                <w:szCs w:val="20"/>
                <w:lang w:eastAsia="es-GT"/>
              </w:rPr>
              <w:t>12.</w:t>
            </w:r>
            <w:r w:rsidR="008569F5">
              <w:rPr>
                <w:rFonts w:ascii="Times New Roman" w:eastAsia="Times New Roman" w:hAnsi="Times New Roman" w:cs="Times New Roman"/>
                <w:sz w:val="20"/>
                <w:szCs w:val="20"/>
                <w:lang w:eastAsia="es-GT"/>
              </w:rPr>
              <w:t>0</w:t>
            </w:r>
            <w:r w:rsidRPr="00B60499">
              <w:rPr>
                <w:rFonts w:ascii="Times New Roman" w:eastAsia="Times New Roman" w:hAnsi="Times New Roman" w:cs="Times New Roman"/>
                <w:sz w:val="20"/>
                <w:szCs w:val="20"/>
                <w:lang w:eastAsia="es-GT"/>
              </w:rPr>
              <w:t>%</w:t>
            </w:r>
          </w:p>
        </w:tc>
        <w:tc>
          <w:tcPr>
            <w:tcW w:w="1559" w:type="dxa"/>
            <w:tcBorders>
              <w:top w:val="nil"/>
              <w:left w:val="nil"/>
              <w:bottom w:val="single" w:sz="4" w:space="0" w:color="auto"/>
              <w:right w:val="single" w:sz="8" w:space="0" w:color="auto"/>
            </w:tcBorders>
            <w:noWrap/>
            <w:vAlign w:val="center"/>
            <w:hideMark/>
          </w:tcPr>
          <w:p w14:paraId="4240B76D" w14:textId="77777777" w:rsidR="00B60499" w:rsidRPr="005F5C75" w:rsidRDefault="00B60499" w:rsidP="00B60499">
            <w:pPr>
              <w:spacing w:line="276" w:lineRule="auto"/>
              <w:contextualSpacing/>
              <w:jc w:val="center"/>
              <w:rPr>
                <w:rFonts w:ascii="Times New Roman" w:eastAsia="Times New Roman" w:hAnsi="Times New Roman" w:cs="Times New Roman"/>
                <w:b/>
                <w:bCs/>
                <w:sz w:val="20"/>
                <w:szCs w:val="20"/>
                <w:lang w:eastAsia="es-GT"/>
              </w:rPr>
            </w:pPr>
            <w:r w:rsidRPr="005F5C75">
              <w:rPr>
                <w:rFonts w:ascii="Times New Roman" w:eastAsia="Times New Roman" w:hAnsi="Times New Roman" w:cs="Times New Roman"/>
                <w:b/>
                <w:bCs/>
                <w:sz w:val="20"/>
                <w:szCs w:val="20"/>
                <w:lang w:eastAsia="es-GT"/>
              </w:rPr>
              <w:t>Cumplido</w:t>
            </w:r>
          </w:p>
        </w:tc>
      </w:tr>
      <w:tr w:rsidR="00B60499" w:rsidRPr="00B60499" w14:paraId="5A0D0301" w14:textId="77777777" w:rsidTr="004A4C21">
        <w:trPr>
          <w:trHeight w:val="510"/>
          <w:jc w:val="center"/>
        </w:trPr>
        <w:tc>
          <w:tcPr>
            <w:tcW w:w="4900" w:type="dxa"/>
            <w:tcBorders>
              <w:top w:val="single" w:sz="4" w:space="0" w:color="auto"/>
              <w:left w:val="single" w:sz="8" w:space="0" w:color="auto"/>
              <w:bottom w:val="single" w:sz="4" w:space="0" w:color="auto"/>
              <w:right w:val="single" w:sz="4" w:space="0" w:color="auto"/>
            </w:tcBorders>
            <w:vAlign w:val="center"/>
            <w:hideMark/>
          </w:tcPr>
          <w:p w14:paraId="21317E9E" w14:textId="47B465F5" w:rsidR="00B60499" w:rsidRPr="00B60499" w:rsidRDefault="00B60499" w:rsidP="00B60499">
            <w:pPr>
              <w:spacing w:line="276" w:lineRule="auto"/>
              <w:contextualSpacing/>
              <w:rPr>
                <w:rFonts w:ascii="Times New Roman" w:eastAsia="Times New Roman" w:hAnsi="Times New Roman" w:cs="Times New Roman"/>
                <w:sz w:val="20"/>
                <w:szCs w:val="20"/>
                <w:lang w:eastAsia="es-GT"/>
              </w:rPr>
            </w:pPr>
            <w:r w:rsidRPr="00B60499">
              <w:rPr>
                <w:rFonts w:ascii="Times New Roman" w:eastAsia="Times New Roman" w:hAnsi="Times New Roman" w:cs="Times New Roman"/>
                <w:sz w:val="20"/>
                <w:szCs w:val="20"/>
                <w:lang w:eastAsia="es-GT"/>
              </w:rPr>
              <w:t>El gasto total se sitúe en promedio en no menos del 13.</w:t>
            </w:r>
            <w:r w:rsidR="008569F5">
              <w:rPr>
                <w:rFonts w:ascii="Times New Roman" w:eastAsia="Times New Roman" w:hAnsi="Times New Roman" w:cs="Times New Roman"/>
                <w:sz w:val="20"/>
                <w:szCs w:val="20"/>
                <w:lang w:eastAsia="es-GT"/>
              </w:rPr>
              <w:t>4</w:t>
            </w:r>
            <w:r w:rsidRPr="00B60499">
              <w:rPr>
                <w:rFonts w:ascii="Times New Roman" w:eastAsia="Times New Roman" w:hAnsi="Times New Roman" w:cs="Times New Roman"/>
                <w:sz w:val="20"/>
                <w:szCs w:val="20"/>
                <w:lang w:eastAsia="es-GT"/>
              </w:rPr>
              <w:t>% del PIB</w:t>
            </w:r>
          </w:p>
        </w:tc>
        <w:tc>
          <w:tcPr>
            <w:tcW w:w="2178" w:type="dxa"/>
            <w:tcBorders>
              <w:top w:val="single" w:sz="4" w:space="0" w:color="auto"/>
              <w:left w:val="nil"/>
              <w:bottom w:val="single" w:sz="4" w:space="0" w:color="auto"/>
              <w:right w:val="single" w:sz="4" w:space="0" w:color="auto"/>
            </w:tcBorders>
            <w:noWrap/>
            <w:vAlign w:val="center"/>
            <w:hideMark/>
          </w:tcPr>
          <w:p w14:paraId="02D331AB" w14:textId="2DDF8BD9" w:rsidR="00B60499" w:rsidRPr="00B60499" w:rsidRDefault="00B60499" w:rsidP="00B60499">
            <w:pPr>
              <w:spacing w:line="276" w:lineRule="auto"/>
              <w:contextualSpacing/>
              <w:jc w:val="center"/>
              <w:rPr>
                <w:rFonts w:ascii="Times New Roman" w:eastAsia="Times New Roman" w:hAnsi="Times New Roman" w:cs="Times New Roman"/>
                <w:sz w:val="20"/>
                <w:szCs w:val="20"/>
                <w:lang w:eastAsia="es-GT"/>
              </w:rPr>
            </w:pPr>
            <w:r w:rsidRPr="00B60499">
              <w:rPr>
                <w:rFonts w:ascii="Times New Roman" w:eastAsia="Times New Roman" w:hAnsi="Times New Roman" w:cs="Times New Roman"/>
                <w:sz w:val="20"/>
                <w:szCs w:val="20"/>
                <w:lang w:eastAsia="es-GT"/>
              </w:rPr>
              <w:t>14.</w:t>
            </w:r>
            <w:r w:rsidR="008569F5">
              <w:rPr>
                <w:rFonts w:ascii="Times New Roman" w:eastAsia="Times New Roman" w:hAnsi="Times New Roman" w:cs="Times New Roman"/>
                <w:sz w:val="20"/>
                <w:szCs w:val="20"/>
                <w:lang w:eastAsia="es-GT"/>
              </w:rPr>
              <w:t>0</w:t>
            </w:r>
            <w:r w:rsidRPr="00B60499">
              <w:rPr>
                <w:rFonts w:ascii="Times New Roman" w:eastAsia="Times New Roman" w:hAnsi="Times New Roman" w:cs="Times New Roman"/>
                <w:sz w:val="20"/>
                <w:szCs w:val="20"/>
                <w:lang w:eastAsia="es-GT"/>
              </w:rPr>
              <w:t>%</w:t>
            </w:r>
          </w:p>
        </w:tc>
        <w:tc>
          <w:tcPr>
            <w:tcW w:w="1559" w:type="dxa"/>
            <w:tcBorders>
              <w:top w:val="single" w:sz="4" w:space="0" w:color="auto"/>
              <w:left w:val="nil"/>
              <w:bottom w:val="single" w:sz="4" w:space="0" w:color="auto"/>
              <w:right w:val="single" w:sz="8" w:space="0" w:color="auto"/>
            </w:tcBorders>
            <w:noWrap/>
            <w:vAlign w:val="center"/>
            <w:hideMark/>
          </w:tcPr>
          <w:p w14:paraId="7B251E6C" w14:textId="77777777" w:rsidR="00B60499" w:rsidRPr="005F5C75" w:rsidRDefault="00B60499" w:rsidP="00B60499">
            <w:pPr>
              <w:spacing w:line="276" w:lineRule="auto"/>
              <w:contextualSpacing/>
              <w:jc w:val="center"/>
              <w:rPr>
                <w:rFonts w:ascii="Times New Roman" w:eastAsia="Times New Roman" w:hAnsi="Times New Roman" w:cs="Times New Roman"/>
                <w:b/>
                <w:bCs/>
                <w:sz w:val="20"/>
                <w:szCs w:val="20"/>
                <w:lang w:eastAsia="es-GT"/>
              </w:rPr>
            </w:pPr>
            <w:r w:rsidRPr="005F5C75">
              <w:rPr>
                <w:rFonts w:ascii="Times New Roman" w:eastAsia="Times New Roman" w:hAnsi="Times New Roman" w:cs="Times New Roman"/>
                <w:b/>
                <w:bCs/>
                <w:sz w:val="20"/>
                <w:szCs w:val="20"/>
                <w:lang w:eastAsia="es-GT"/>
              </w:rPr>
              <w:t>Cumplido</w:t>
            </w:r>
          </w:p>
        </w:tc>
      </w:tr>
      <w:tr w:rsidR="00B60499" w:rsidRPr="00B60499" w14:paraId="649818AF" w14:textId="77777777" w:rsidTr="004A4C21">
        <w:trPr>
          <w:trHeight w:val="510"/>
          <w:jc w:val="center"/>
        </w:trPr>
        <w:tc>
          <w:tcPr>
            <w:tcW w:w="4900" w:type="dxa"/>
            <w:tcBorders>
              <w:top w:val="single" w:sz="4" w:space="0" w:color="auto"/>
              <w:left w:val="single" w:sz="8" w:space="0" w:color="auto"/>
              <w:bottom w:val="single" w:sz="4" w:space="0" w:color="auto"/>
              <w:right w:val="single" w:sz="4" w:space="0" w:color="auto"/>
            </w:tcBorders>
            <w:vAlign w:val="center"/>
            <w:hideMark/>
          </w:tcPr>
          <w:p w14:paraId="4039322D" w14:textId="77777777" w:rsidR="00B60499" w:rsidRPr="00B60499" w:rsidRDefault="00B60499" w:rsidP="00B60499">
            <w:pPr>
              <w:spacing w:line="276" w:lineRule="auto"/>
              <w:contextualSpacing/>
              <w:rPr>
                <w:rFonts w:ascii="Times New Roman" w:eastAsia="Times New Roman" w:hAnsi="Times New Roman" w:cs="Times New Roman"/>
                <w:sz w:val="20"/>
                <w:szCs w:val="20"/>
                <w:lang w:eastAsia="es-GT"/>
              </w:rPr>
            </w:pPr>
            <w:r w:rsidRPr="00B60499">
              <w:rPr>
                <w:rFonts w:ascii="Times New Roman" w:eastAsia="Times New Roman" w:hAnsi="Times New Roman" w:cs="Times New Roman"/>
                <w:sz w:val="20"/>
                <w:szCs w:val="20"/>
                <w:lang w:eastAsia="es-GT"/>
              </w:rPr>
              <w:t>Asegurar que el gasto social (educación, salud y vivienda) sea igual o mayor al 5% del PIB</w:t>
            </w:r>
          </w:p>
        </w:tc>
        <w:tc>
          <w:tcPr>
            <w:tcW w:w="2178" w:type="dxa"/>
            <w:tcBorders>
              <w:top w:val="single" w:sz="4" w:space="0" w:color="auto"/>
              <w:left w:val="nil"/>
              <w:bottom w:val="single" w:sz="4" w:space="0" w:color="auto"/>
              <w:right w:val="single" w:sz="4" w:space="0" w:color="auto"/>
            </w:tcBorders>
            <w:noWrap/>
            <w:vAlign w:val="center"/>
            <w:hideMark/>
          </w:tcPr>
          <w:p w14:paraId="6D46C901" w14:textId="77777777" w:rsidR="00B60499" w:rsidRPr="00B60499" w:rsidRDefault="00B60499" w:rsidP="00B60499">
            <w:pPr>
              <w:spacing w:line="276" w:lineRule="auto"/>
              <w:contextualSpacing/>
              <w:jc w:val="center"/>
              <w:rPr>
                <w:rFonts w:ascii="Times New Roman" w:eastAsia="Times New Roman" w:hAnsi="Times New Roman" w:cs="Times New Roman"/>
                <w:sz w:val="20"/>
                <w:szCs w:val="20"/>
                <w:lang w:eastAsia="es-GT"/>
              </w:rPr>
            </w:pPr>
            <w:r w:rsidRPr="00B60499">
              <w:rPr>
                <w:rFonts w:ascii="Times New Roman" w:eastAsia="Times New Roman" w:hAnsi="Times New Roman" w:cs="Times New Roman"/>
                <w:sz w:val="20"/>
                <w:szCs w:val="20"/>
                <w:lang w:eastAsia="es-GT"/>
              </w:rPr>
              <w:t>5.6%</w:t>
            </w:r>
          </w:p>
        </w:tc>
        <w:tc>
          <w:tcPr>
            <w:tcW w:w="1559" w:type="dxa"/>
            <w:tcBorders>
              <w:top w:val="single" w:sz="4" w:space="0" w:color="auto"/>
              <w:left w:val="nil"/>
              <w:bottom w:val="single" w:sz="4" w:space="0" w:color="auto"/>
              <w:right w:val="single" w:sz="8" w:space="0" w:color="auto"/>
            </w:tcBorders>
            <w:noWrap/>
            <w:vAlign w:val="center"/>
            <w:hideMark/>
          </w:tcPr>
          <w:p w14:paraId="4F9A1157" w14:textId="77777777" w:rsidR="00B60499" w:rsidRPr="005F5C75" w:rsidRDefault="00B60499" w:rsidP="00B60499">
            <w:pPr>
              <w:spacing w:line="276" w:lineRule="auto"/>
              <w:contextualSpacing/>
              <w:jc w:val="center"/>
              <w:rPr>
                <w:rFonts w:ascii="Times New Roman" w:eastAsia="Times New Roman" w:hAnsi="Times New Roman" w:cs="Times New Roman"/>
                <w:b/>
                <w:bCs/>
                <w:sz w:val="20"/>
                <w:szCs w:val="20"/>
                <w:lang w:eastAsia="es-GT"/>
              </w:rPr>
            </w:pPr>
            <w:r w:rsidRPr="005F5C75">
              <w:rPr>
                <w:rFonts w:ascii="Times New Roman" w:eastAsia="Times New Roman" w:hAnsi="Times New Roman" w:cs="Times New Roman"/>
                <w:b/>
                <w:bCs/>
                <w:sz w:val="20"/>
                <w:szCs w:val="20"/>
                <w:lang w:eastAsia="es-GT"/>
              </w:rPr>
              <w:t>Cumplido</w:t>
            </w:r>
          </w:p>
        </w:tc>
      </w:tr>
      <w:tr w:rsidR="00B60499" w:rsidRPr="00B60499" w14:paraId="3F742482" w14:textId="77777777" w:rsidTr="004A4C21">
        <w:trPr>
          <w:trHeight w:val="600"/>
          <w:jc w:val="center"/>
        </w:trPr>
        <w:tc>
          <w:tcPr>
            <w:tcW w:w="4900" w:type="dxa"/>
            <w:tcBorders>
              <w:top w:val="single" w:sz="4" w:space="0" w:color="auto"/>
              <w:left w:val="single" w:sz="8" w:space="0" w:color="auto"/>
              <w:bottom w:val="single" w:sz="4" w:space="0" w:color="auto"/>
              <w:right w:val="single" w:sz="4" w:space="0" w:color="auto"/>
            </w:tcBorders>
            <w:vAlign w:val="center"/>
            <w:hideMark/>
          </w:tcPr>
          <w:p w14:paraId="39F7E8DC" w14:textId="717A1514" w:rsidR="00B60499" w:rsidRPr="00B60499" w:rsidRDefault="00B60499" w:rsidP="00B60499">
            <w:pPr>
              <w:spacing w:line="276" w:lineRule="auto"/>
              <w:contextualSpacing/>
              <w:rPr>
                <w:rFonts w:ascii="Times New Roman" w:eastAsia="Times New Roman" w:hAnsi="Times New Roman" w:cs="Times New Roman"/>
                <w:sz w:val="20"/>
                <w:szCs w:val="20"/>
                <w:lang w:eastAsia="es-GT"/>
              </w:rPr>
            </w:pPr>
            <w:r w:rsidRPr="00B60499">
              <w:rPr>
                <w:rFonts w:ascii="Times New Roman" w:eastAsia="Times New Roman" w:hAnsi="Times New Roman" w:cs="Times New Roman"/>
                <w:sz w:val="20"/>
                <w:szCs w:val="20"/>
                <w:lang w:eastAsia="es-GT"/>
              </w:rPr>
              <w:t>Alcanzar un nivel de gasto de capital promedio no menor al 2.</w:t>
            </w:r>
            <w:r w:rsidR="00871B1F">
              <w:rPr>
                <w:rFonts w:ascii="Times New Roman" w:eastAsia="Times New Roman" w:hAnsi="Times New Roman" w:cs="Times New Roman"/>
                <w:sz w:val="20"/>
                <w:szCs w:val="20"/>
                <w:lang w:eastAsia="es-GT"/>
              </w:rPr>
              <w:t>6</w:t>
            </w:r>
            <w:r w:rsidRPr="00B60499">
              <w:rPr>
                <w:rFonts w:ascii="Times New Roman" w:eastAsia="Times New Roman" w:hAnsi="Times New Roman" w:cs="Times New Roman"/>
                <w:sz w:val="20"/>
                <w:szCs w:val="20"/>
                <w:lang w:eastAsia="es-GT"/>
              </w:rPr>
              <w:t>% del PIB</w:t>
            </w:r>
          </w:p>
        </w:tc>
        <w:tc>
          <w:tcPr>
            <w:tcW w:w="2178" w:type="dxa"/>
            <w:tcBorders>
              <w:top w:val="single" w:sz="4" w:space="0" w:color="auto"/>
              <w:left w:val="nil"/>
              <w:bottom w:val="single" w:sz="4" w:space="0" w:color="auto"/>
              <w:right w:val="single" w:sz="4" w:space="0" w:color="auto"/>
            </w:tcBorders>
            <w:noWrap/>
            <w:vAlign w:val="center"/>
            <w:hideMark/>
          </w:tcPr>
          <w:p w14:paraId="76AD205A" w14:textId="32DB07A7" w:rsidR="00B60499" w:rsidRPr="00B60499" w:rsidRDefault="00B60499" w:rsidP="00B60499">
            <w:pPr>
              <w:spacing w:line="276" w:lineRule="auto"/>
              <w:contextualSpacing/>
              <w:jc w:val="center"/>
              <w:rPr>
                <w:rFonts w:ascii="Times New Roman" w:eastAsia="Times New Roman" w:hAnsi="Times New Roman" w:cs="Times New Roman"/>
                <w:sz w:val="20"/>
                <w:szCs w:val="20"/>
                <w:lang w:eastAsia="es-GT"/>
              </w:rPr>
            </w:pPr>
            <w:r w:rsidRPr="00B60499">
              <w:rPr>
                <w:rFonts w:ascii="Times New Roman" w:eastAsia="Times New Roman" w:hAnsi="Times New Roman" w:cs="Times New Roman"/>
                <w:sz w:val="20"/>
                <w:szCs w:val="20"/>
                <w:lang w:eastAsia="es-GT"/>
              </w:rPr>
              <w:t>2.</w:t>
            </w:r>
            <w:r w:rsidR="00871B1F">
              <w:rPr>
                <w:rFonts w:ascii="Times New Roman" w:eastAsia="Times New Roman" w:hAnsi="Times New Roman" w:cs="Times New Roman"/>
                <w:sz w:val="20"/>
                <w:szCs w:val="20"/>
                <w:lang w:eastAsia="es-GT"/>
              </w:rPr>
              <w:t>6</w:t>
            </w:r>
            <w:r w:rsidRPr="00B60499">
              <w:rPr>
                <w:rFonts w:ascii="Times New Roman" w:eastAsia="Times New Roman" w:hAnsi="Times New Roman" w:cs="Times New Roman"/>
                <w:sz w:val="20"/>
                <w:szCs w:val="20"/>
                <w:lang w:eastAsia="es-GT"/>
              </w:rPr>
              <w:t>%</w:t>
            </w:r>
          </w:p>
        </w:tc>
        <w:tc>
          <w:tcPr>
            <w:tcW w:w="1559" w:type="dxa"/>
            <w:tcBorders>
              <w:top w:val="single" w:sz="4" w:space="0" w:color="auto"/>
              <w:left w:val="nil"/>
              <w:bottom w:val="single" w:sz="4" w:space="0" w:color="auto"/>
              <w:right w:val="single" w:sz="8" w:space="0" w:color="auto"/>
            </w:tcBorders>
            <w:noWrap/>
            <w:vAlign w:val="center"/>
            <w:hideMark/>
          </w:tcPr>
          <w:p w14:paraId="6ABF1421" w14:textId="77777777" w:rsidR="00B60499" w:rsidRPr="005F5C75" w:rsidRDefault="00B60499" w:rsidP="00B60499">
            <w:pPr>
              <w:spacing w:line="276" w:lineRule="auto"/>
              <w:contextualSpacing/>
              <w:jc w:val="center"/>
              <w:rPr>
                <w:rFonts w:ascii="Times New Roman" w:eastAsia="Times New Roman" w:hAnsi="Times New Roman" w:cs="Times New Roman"/>
                <w:b/>
                <w:bCs/>
                <w:sz w:val="20"/>
                <w:szCs w:val="20"/>
                <w:lang w:eastAsia="es-GT"/>
              </w:rPr>
            </w:pPr>
            <w:r w:rsidRPr="005F5C75">
              <w:rPr>
                <w:rFonts w:ascii="Times New Roman" w:eastAsia="Times New Roman" w:hAnsi="Times New Roman" w:cs="Times New Roman"/>
                <w:b/>
                <w:bCs/>
                <w:sz w:val="20"/>
                <w:szCs w:val="20"/>
                <w:lang w:eastAsia="es-GT"/>
              </w:rPr>
              <w:t>Cumplido</w:t>
            </w:r>
          </w:p>
        </w:tc>
      </w:tr>
      <w:tr w:rsidR="00B60499" w:rsidRPr="00B60499" w14:paraId="0A5BB89F" w14:textId="77777777" w:rsidTr="004A4C21">
        <w:trPr>
          <w:trHeight w:val="510"/>
          <w:jc w:val="center"/>
        </w:trPr>
        <w:tc>
          <w:tcPr>
            <w:tcW w:w="4900" w:type="dxa"/>
            <w:tcBorders>
              <w:top w:val="single" w:sz="4" w:space="0" w:color="auto"/>
              <w:left w:val="single" w:sz="8" w:space="0" w:color="auto"/>
              <w:bottom w:val="single" w:sz="4" w:space="0" w:color="auto"/>
              <w:right w:val="single" w:sz="4" w:space="0" w:color="auto"/>
            </w:tcBorders>
            <w:vAlign w:val="center"/>
            <w:hideMark/>
          </w:tcPr>
          <w:p w14:paraId="65A965FE" w14:textId="0540B2B9" w:rsidR="00B60499" w:rsidRPr="00B60499" w:rsidRDefault="00B60499" w:rsidP="00871B1F">
            <w:pPr>
              <w:spacing w:line="276" w:lineRule="auto"/>
              <w:contextualSpacing/>
              <w:rPr>
                <w:rFonts w:ascii="Times New Roman" w:eastAsia="Times New Roman" w:hAnsi="Times New Roman" w:cs="Times New Roman"/>
                <w:sz w:val="20"/>
                <w:szCs w:val="20"/>
                <w:lang w:eastAsia="es-GT"/>
              </w:rPr>
            </w:pPr>
            <w:r w:rsidRPr="00B60499">
              <w:rPr>
                <w:rFonts w:ascii="Times New Roman" w:eastAsia="Times New Roman" w:hAnsi="Times New Roman" w:cs="Times New Roman"/>
                <w:sz w:val="20"/>
                <w:szCs w:val="20"/>
                <w:lang w:eastAsia="es-GT"/>
              </w:rPr>
              <w:t xml:space="preserve">Lograr que el déficit fiscal en promedio se ubique en </w:t>
            </w:r>
            <w:r w:rsidR="00871B1F">
              <w:rPr>
                <w:rFonts w:ascii="Times New Roman" w:eastAsia="Times New Roman" w:hAnsi="Times New Roman" w:cs="Times New Roman"/>
                <w:sz w:val="20"/>
                <w:szCs w:val="20"/>
                <w:lang w:eastAsia="es-GT"/>
              </w:rPr>
              <w:t>1</w:t>
            </w:r>
            <w:r w:rsidRPr="00B60499">
              <w:rPr>
                <w:rFonts w:ascii="Times New Roman" w:eastAsia="Times New Roman" w:hAnsi="Times New Roman" w:cs="Times New Roman"/>
                <w:sz w:val="20"/>
                <w:szCs w:val="20"/>
                <w:lang w:eastAsia="es-GT"/>
              </w:rPr>
              <w:t>.</w:t>
            </w:r>
            <w:r w:rsidR="00871B1F">
              <w:rPr>
                <w:rFonts w:ascii="Times New Roman" w:eastAsia="Times New Roman" w:hAnsi="Times New Roman" w:cs="Times New Roman"/>
                <w:sz w:val="20"/>
                <w:szCs w:val="20"/>
                <w:lang w:eastAsia="es-GT"/>
              </w:rPr>
              <w:t>3</w:t>
            </w:r>
            <w:r w:rsidRPr="00B60499">
              <w:rPr>
                <w:rFonts w:ascii="Times New Roman" w:eastAsia="Times New Roman" w:hAnsi="Times New Roman" w:cs="Times New Roman"/>
                <w:sz w:val="20"/>
                <w:szCs w:val="20"/>
                <w:lang w:eastAsia="es-GT"/>
              </w:rPr>
              <w:t xml:space="preserve">% del PIB </w:t>
            </w:r>
          </w:p>
        </w:tc>
        <w:tc>
          <w:tcPr>
            <w:tcW w:w="2178" w:type="dxa"/>
            <w:tcBorders>
              <w:top w:val="single" w:sz="4" w:space="0" w:color="auto"/>
              <w:left w:val="nil"/>
              <w:bottom w:val="single" w:sz="4" w:space="0" w:color="auto"/>
              <w:right w:val="single" w:sz="4" w:space="0" w:color="auto"/>
            </w:tcBorders>
            <w:noWrap/>
            <w:vAlign w:val="center"/>
            <w:hideMark/>
          </w:tcPr>
          <w:p w14:paraId="29FE9A1D" w14:textId="327C6B6F" w:rsidR="00B60499" w:rsidRDefault="00B60499" w:rsidP="00B60499">
            <w:pPr>
              <w:spacing w:line="276" w:lineRule="auto"/>
              <w:contextualSpacing/>
              <w:jc w:val="center"/>
              <w:rPr>
                <w:rFonts w:ascii="Times New Roman" w:eastAsia="Times New Roman" w:hAnsi="Times New Roman" w:cs="Times New Roman"/>
                <w:sz w:val="20"/>
                <w:szCs w:val="20"/>
                <w:lang w:eastAsia="es-GT"/>
              </w:rPr>
            </w:pPr>
            <w:r w:rsidRPr="00B60499">
              <w:rPr>
                <w:rFonts w:ascii="Times New Roman" w:eastAsia="Times New Roman" w:hAnsi="Times New Roman" w:cs="Times New Roman"/>
                <w:sz w:val="20"/>
                <w:szCs w:val="20"/>
                <w:lang w:eastAsia="es-GT"/>
              </w:rPr>
              <w:t>1.</w:t>
            </w:r>
            <w:r w:rsidR="00763142">
              <w:rPr>
                <w:rFonts w:ascii="Times New Roman" w:eastAsia="Times New Roman" w:hAnsi="Times New Roman" w:cs="Times New Roman"/>
                <w:sz w:val="20"/>
                <w:szCs w:val="20"/>
                <w:lang w:eastAsia="es-GT"/>
              </w:rPr>
              <w:t>3</w:t>
            </w:r>
            <w:r w:rsidRPr="00B60499">
              <w:rPr>
                <w:rFonts w:ascii="Times New Roman" w:eastAsia="Times New Roman" w:hAnsi="Times New Roman" w:cs="Times New Roman"/>
                <w:sz w:val="20"/>
                <w:szCs w:val="20"/>
                <w:lang w:eastAsia="es-GT"/>
              </w:rPr>
              <w:t>%</w:t>
            </w:r>
            <w:r w:rsidR="00871B1F">
              <w:rPr>
                <w:rFonts w:ascii="Times New Roman" w:eastAsia="Times New Roman" w:hAnsi="Times New Roman" w:cs="Times New Roman"/>
                <w:sz w:val="20"/>
                <w:szCs w:val="20"/>
                <w:lang w:eastAsia="es-GT"/>
              </w:rPr>
              <w:t xml:space="preserve"> en 2023</w:t>
            </w:r>
          </w:p>
          <w:p w14:paraId="518757A1" w14:textId="77777777" w:rsidR="00C431D3" w:rsidRDefault="00C431D3" w:rsidP="00B60499">
            <w:pPr>
              <w:spacing w:line="276" w:lineRule="auto"/>
              <w:contextualSpacing/>
              <w:jc w:val="center"/>
              <w:rPr>
                <w:rFonts w:ascii="Times New Roman" w:eastAsia="Times New Roman" w:hAnsi="Times New Roman" w:cs="Times New Roman"/>
                <w:sz w:val="20"/>
                <w:szCs w:val="20"/>
                <w:lang w:eastAsia="es-GT"/>
              </w:rPr>
            </w:pPr>
          </w:p>
          <w:p w14:paraId="2EBAA827" w14:textId="564FE169" w:rsidR="00871B1F" w:rsidRPr="00B60499" w:rsidRDefault="00871B1F" w:rsidP="00B60499">
            <w:pPr>
              <w:spacing w:line="276" w:lineRule="auto"/>
              <w:contextualSpacing/>
              <w:jc w:val="center"/>
              <w:rPr>
                <w:rFonts w:ascii="Times New Roman" w:eastAsia="Times New Roman" w:hAnsi="Times New Roman" w:cs="Times New Roman"/>
                <w:sz w:val="20"/>
                <w:szCs w:val="20"/>
                <w:lang w:eastAsia="es-GT"/>
              </w:rPr>
            </w:pPr>
            <w:r>
              <w:rPr>
                <w:rFonts w:ascii="Times New Roman" w:eastAsia="Times New Roman" w:hAnsi="Times New Roman" w:cs="Times New Roman"/>
                <w:sz w:val="20"/>
                <w:szCs w:val="20"/>
                <w:lang w:eastAsia="es-GT"/>
              </w:rPr>
              <w:t xml:space="preserve">Promedio 10 años 2.0% </w:t>
            </w:r>
          </w:p>
        </w:tc>
        <w:tc>
          <w:tcPr>
            <w:tcW w:w="1559" w:type="dxa"/>
            <w:tcBorders>
              <w:top w:val="single" w:sz="4" w:space="0" w:color="auto"/>
              <w:left w:val="nil"/>
              <w:bottom w:val="single" w:sz="4" w:space="0" w:color="auto"/>
              <w:right w:val="single" w:sz="8" w:space="0" w:color="auto"/>
            </w:tcBorders>
            <w:noWrap/>
            <w:vAlign w:val="center"/>
            <w:hideMark/>
          </w:tcPr>
          <w:p w14:paraId="49D1A2B4" w14:textId="1BF8A2E1" w:rsidR="00B60499" w:rsidRPr="005F5C75" w:rsidRDefault="00134C5C" w:rsidP="00B60499">
            <w:pPr>
              <w:spacing w:line="276" w:lineRule="auto"/>
              <w:contextualSpacing/>
              <w:jc w:val="center"/>
              <w:rPr>
                <w:rFonts w:ascii="Times New Roman" w:eastAsia="Times New Roman" w:hAnsi="Times New Roman" w:cs="Times New Roman"/>
                <w:b/>
                <w:bCs/>
                <w:sz w:val="18"/>
                <w:szCs w:val="18"/>
                <w:lang w:eastAsia="es-GT"/>
              </w:rPr>
            </w:pPr>
            <w:r>
              <w:rPr>
                <w:rFonts w:ascii="Times New Roman" w:eastAsia="Times New Roman" w:hAnsi="Times New Roman" w:cs="Times New Roman"/>
                <w:b/>
                <w:bCs/>
                <w:sz w:val="18"/>
                <w:szCs w:val="18"/>
                <w:lang w:eastAsia="es-GT"/>
              </w:rPr>
              <w:t>Cumplido, la estimación de 2023 fue 2.4%</w:t>
            </w:r>
          </w:p>
        </w:tc>
      </w:tr>
      <w:tr w:rsidR="00B60499" w:rsidRPr="00B60499" w14:paraId="344238D3" w14:textId="77777777" w:rsidTr="004A4C21">
        <w:trPr>
          <w:trHeight w:val="510"/>
          <w:jc w:val="center"/>
        </w:trPr>
        <w:tc>
          <w:tcPr>
            <w:tcW w:w="4900" w:type="dxa"/>
            <w:tcBorders>
              <w:top w:val="single" w:sz="4" w:space="0" w:color="auto"/>
              <w:left w:val="single" w:sz="8" w:space="0" w:color="auto"/>
              <w:bottom w:val="single" w:sz="8" w:space="0" w:color="auto"/>
              <w:right w:val="single" w:sz="4" w:space="0" w:color="auto"/>
            </w:tcBorders>
            <w:vAlign w:val="center"/>
            <w:hideMark/>
          </w:tcPr>
          <w:p w14:paraId="7BC66E72" w14:textId="37F3EB31" w:rsidR="00B60499" w:rsidRPr="00B60499" w:rsidRDefault="00B60499" w:rsidP="00B60499">
            <w:pPr>
              <w:spacing w:line="276" w:lineRule="auto"/>
              <w:contextualSpacing/>
              <w:rPr>
                <w:rFonts w:ascii="Times New Roman" w:eastAsia="Times New Roman" w:hAnsi="Times New Roman" w:cs="Times New Roman"/>
                <w:sz w:val="20"/>
                <w:szCs w:val="20"/>
                <w:lang w:eastAsia="es-GT"/>
              </w:rPr>
            </w:pPr>
            <w:r w:rsidRPr="00B60499">
              <w:rPr>
                <w:rFonts w:ascii="Times New Roman" w:eastAsia="Times New Roman" w:hAnsi="Times New Roman" w:cs="Times New Roman"/>
                <w:sz w:val="20"/>
                <w:szCs w:val="20"/>
                <w:lang w:eastAsia="es-GT"/>
              </w:rPr>
              <w:t xml:space="preserve">Lograr un nivel de deuda pública </w:t>
            </w:r>
            <w:r w:rsidR="00871B1F">
              <w:rPr>
                <w:rFonts w:ascii="Times New Roman" w:eastAsia="Times New Roman" w:hAnsi="Times New Roman" w:cs="Times New Roman"/>
                <w:sz w:val="20"/>
                <w:szCs w:val="20"/>
                <w:lang w:eastAsia="es-GT"/>
              </w:rPr>
              <w:t>menor</w:t>
            </w:r>
            <w:r w:rsidRPr="00B60499">
              <w:rPr>
                <w:rFonts w:ascii="Times New Roman" w:eastAsia="Times New Roman" w:hAnsi="Times New Roman" w:cs="Times New Roman"/>
                <w:sz w:val="20"/>
                <w:szCs w:val="20"/>
                <w:lang w:eastAsia="es-GT"/>
              </w:rPr>
              <w:t xml:space="preserve"> al 40% del PIB</w:t>
            </w:r>
            <w:r w:rsidR="00871B1F">
              <w:rPr>
                <w:rFonts w:ascii="Times New Roman" w:eastAsia="Times New Roman" w:hAnsi="Times New Roman" w:cs="Times New Roman"/>
                <w:sz w:val="20"/>
                <w:szCs w:val="20"/>
                <w:lang w:eastAsia="es-GT"/>
              </w:rPr>
              <w:t>, considerando choques exógenos</w:t>
            </w:r>
            <w:r w:rsidRPr="00B60499">
              <w:rPr>
                <w:rFonts w:ascii="Times New Roman" w:eastAsia="Times New Roman" w:hAnsi="Times New Roman" w:cs="Times New Roman"/>
                <w:sz w:val="20"/>
                <w:szCs w:val="20"/>
                <w:lang w:eastAsia="es-GT"/>
              </w:rPr>
              <w:t xml:space="preserve"> </w:t>
            </w:r>
          </w:p>
        </w:tc>
        <w:tc>
          <w:tcPr>
            <w:tcW w:w="2178" w:type="dxa"/>
            <w:tcBorders>
              <w:top w:val="single" w:sz="4" w:space="0" w:color="auto"/>
              <w:left w:val="nil"/>
              <w:bottom w:val="single" w:sz="8" w:space="0" w:color="auto"/>
              <w:right w:val="single" w:sz="4" w:space="0" w:color="auto"/>
            </w:tcBorders>
            <w:noWrap/>
            <w:vAlign w:val="center"/>
            <w:hideMark/>
          </w:tcPr>
          <w:p w14:paraId="0687FE95" w14:textId="1754F1FF" w:rsidR="00B60499" w:rsidRPr="00B60499" w:rsidRDefault="00B60499" w:rsidP="00B60499">
            <w:pPr>
              <w:spacing w:line="276" w:lineRule="auto"/>
              <w:contextualSpacing/>
              <w:jc w:val="center"/>
              <w:rPr>
                <w:rFonts w:ascii="Times New Roman" w:eastAsia="Times New Roman" w:hAnsi="Times New Roman" w:cs="Times New Roman"/>
                <w:sz w:val="20"/>
                <w:szCs w:val="20"/>
                <w:lang w:eastAsia="es-GT"/>
              </w:rPr>
            </w:pPr>
            <w:r w:rsidRPr="00B60499">
              <w:rPr>
                <w:rFonts w:ascii="Times New Roman" w:eastAsia="Times New Roman" w:hAnsi="Times New Roman" w:cs="Times New Roman"/>
                <w:sz w:val="20"/>
                <w:szCs w:val="20"/>
                <w:lang w:eastAsia="es-GT"/>
              </w:rPr>
              <w:t>2</w:t>
            </w:r>
            <w:r w:rsidR="00871B1F">
              <w:rPr>
                <w:rFonts w:ascii="Times New Roman" w:eastAsia="Times New Roman" w:hAnsi="Times New Roman" w:cs="Times New Roman"/>
                <w:sz w:val="20"/>
                <w:szCs w:val="20"/>
                <w:lang w:eastAsia="es-GT"/>
              </w:rPr>
              <w:t>7</w:t>
            </w:r>
            <w:r w:rsidRPr="00B60499">
              <w:rPr>
                <w:rFonts w:ascii="Times New Roman" w:eastAsia="Times New Roman" w:hAnsi="Times New Roman" w:cs="Times New Roman"/>
                <w:sz w:val="20"/>
                <w:szCs w:val="20"/>
                <w:lang w:eastAsia="es-GT"/>
              </w:rPr>
              <w:t>.</w:t>
            </w:r>
            <w:r w:rsidR="00871B1F">
              <w:rPr>
                <w:rFonts w:ascii="Times New Roman" w:eastAsia="Times New Roman" w:hAnsi="Times New Roman" w:cs="Times New Roman"/>
                <w:sz w:val="20"/>
                <w:szCs w:val="20"/>
                <w:lang w:eastAsia="es-GT"/>
              </w:rPr>
              <w:t>8</w:t>
            </w:r>
            <w:r w:rsidRPr="00B60499">
              <w:rPr>
                <w:rFonts w:ascii="Times New Roman" w:eastAsia="Times New Roman" w:hAnsi="Times New Roman" w:cs="Times New Roman"/>
                <w:sz w:val="20"/>
                <w:szCs w:val="20"/>
                <w:lang w:eastAsia="es-GT"/>
              </w:rPr>
              <w:t>%</w:t>
            </w:r>
          </w:p>
        </w:tc>
        <w:tc>
          <w:tcPr>
            <w:tcW w:w="1559" w:type="dxa"/>
            <w:tcBorders>
              <w:top w:val="single" w:sz="4" w:space="0" w:color="auto"/>
              <w:left w:val="nil"/>
              <w:bottom w:val="single" w:sz="8" w:space="0" w:color="auto"/>
              <w:right w:val="single" w:sz="8" w:space="0" w:color="auto"/>
            </w:tcBorders>
            <w:noWrap/>
            <w:vAlign w:val="center"/>
            <w:hideMark/>
          </w:tcPr>
          <w:p w14:paraId="2A3E54A6" w14:textId="77777777" w:rsidR="00B60499" w:rsidRPr="00B60499" w:rsidRDefault="00B60499" w:rsidP="00B60499">
            <w:pPr>
              <w:spacing w:line="276" w:lineRule="auto"/>
              <w:contextualSpacing/>
              <w:jc w:val="center"/>
              <w:rPr>
                <w:rFonts w:ascii="Times New Roman" w:eastAsia="Times New Roman" w:hAnsi="Times New Roman" w:cs="Times New Roman"/>
                <w:b/>
                <w:bCs/>
                <w:color w:val="00B0F0"/>
                <w:sz w:val="20"/>
                <w:szCs w:val="20"/>
                <w:lang w:eastAsia="es-GT"/>
              </w:rPr>
            </w:pPr>
            <w:r w:rsidRPr="005F5C75">
              <w:rPr>
                <w:rFonts w:ascii="Times New Roman" w:eastAsia="Times New Roman" w:hAnsi="Times New Roman" w:cs="Times New Roman"/>
                <w:b/>
                <w:bCs/>
                <w:sz w:val="20"/>
                <w:szCs w:val="20"/>
                <w:lang w:eastAsia="es-GT"/>
              </w:rPr>
              <w:t>Cumplido</w:t>
            </w:r>
          </w:p>
        </w:tc>
      </w:tr>
    </w:tbl>
    <w:p w14:paraId="46CC4AB0" w14:textId="4BBF4314" w:rsidR="00B60499" w:rsidRPr="004A4C21" w:rsidRDefault="00B60499" w:rsidP="004A4C21">
      <w:pPr>
        <w:spacing w:line="276" w:lineRule="auto"/>
        <w:ind w:firstLine="708"/>
        <w:contextualSpacing/>
        <w:rPr>
          <w:rFonts w:ascii="Times New Roman" w:eastAsia="Times New Roman" w:hAnsi="Times New Roman" w:cs="Times New Roman"/>
          <w:sz w:val="18"/>
          <w:szCs w:val="18"/>
        </w:rPr>
      </w:pPr>
      <w:r w:rsidRPr="00B60499">
        <w:rPr>
          <w:rFonts w:ascii="Times New Roman" w:eastAsia="Times New Roman" w:hAnsi="Times New Roman" w:cs="Times New Roman"/>
          <w:sz w:val="18"/>
          <w:szCs w:val="18"/>
        </w:rPr>
        <w:t>Fuente: Dirección de Análisis y Política Fiscal</w:t>
      </w:r>
      <w:r w:rsidR="004A4C21">
        <w:rPr>
          <w:rFonts w:ascii="Times New Roman" w:eastAsia="Times New Roman" w:hAnsi="Times New Roman" w:cs="Times New Roman"/>
          <w:sz w:val="18"/>
          <w:szCs w:val="18"/>
        </w:rPr>
        <w:t>.</w:t>
      </w:r>
    </w:p>
    <w:p w14:paraId="0A290065" w14:textId="175EA3CC" w:rsidR="00C431D3" w:rsidRDefault="00B60499" w:rsidP="004245AE">
      <w:pPr>
        <w:contextualSpacing/>
        <w:jc w:val="both"/>
        <w:rPr>
          <w:rFonts w:ascii="Times New Roman" w:eastAsia="Times New Roman" w:hAnsi="Times New Roman" w:cs="Times New Roman"/>
          <w:sz w:val="22"/>
          <w:szCs w:val="22"/>
        </w:rPr>
      </w:pPr>
      <w:r w:rsidRPr="00B60499">
        <w:rPr>
          <w:rFonts w:ascii="Times New Roman" w:eastAsia="Times New Roman" w:hAnsi="Times New Roman" w:cs="Times New Roman"/>
          <w:sz w:val="22"/>
          <w:szCs w:val="22"/>
        </w:rPr>
        <w:lastRenderedPageBreak/>
        <w:t>En ese sentido, al analizar los resultados de 202</w:t>
      </w:r>
      <w:r w:rsidR="00C431D3">
        <w:rPr>
          <w:rFonts w:ascii="Times New Roman" w:eastAsia="Times New Roman" w:hAnsi="Times New Roman" w:cs="Times New Roman"/>
          <w:sz w:val="22"/>
          <w:szCs w:val="22"/>
        </w:rPr>
        <w:t>3</w:t>
      </w:r>
      <w:r w:rsidRPr="00B60499">
        <w:rPr>
          <w:rFonts w:ascii="Times New Roman" w:eastAsia="Times New Roman" w:hAnsi="Times New Roman" w:cs="Times New Roman"/>
          <w:sz w:val="22"/>
          <w:szCs w:val="22"/>
        </w:rPr>
        <w:t xml:space="preserve">, se observa que </w:t>
      </w:r>
      <w:r w:rsidR="00C431D3">
        <w:rPr>
          <w:rFonts w:ascii="Times New Roman" w:eastAsia="Times New Roman" w:hAnsi="Times New Roman" w:cs="Times New Roman"/>
          <w:sz w:val="22"/>
          <w:szCs w:val="22"/>
        </w:rPr>
        <w:t xml:space="preserve">casi </w:t>
      </w:r>
      <w:r w:rsidRPr="00B60499">
        <w:rPr>
          <w:rFonts w:ascii="Times New Roman" w:eastAsia="Times New Roman" w:hAnsi="Times New Roman" w:cs="Times New Roman"/>
          <w:sz w:val="22"/>
          <w:szCs w:val="22"/>
        </w:rPr>
        <w:t>todas las Metas de Política Fiscal fijadas en el Marco Fiscal de Mediano Plazo 202</w:t>
      </w:r>
      <w:r w:rsidR="00C431D3">
        <w:rPr>
          <w:rFonts w:ascii="Times New Roman" w:eastAsia="Times New Roman" w:hAnsi="Times New Roman" w:cs="Times New Roman"/>
          <w:sz w:val="22"/>
          <w:szCs w:val="22"/>
        </w:rPr>
        <w:t>3</w:t>
      </w:r>
      <w:r w:rsidRPr="00B60499">
        <w:rPr>
          <w:rFonts w:ascii="Times New Roman" w:eastAsia="Times New Roman" w:hAnsi="Times New Roman" w:cs="Times New Roman"/>
          <w:sz w:val="22"/>
          <w:szCs w:val="22"/>
        </w:rPr>
        <w:t>-202</w:t>
      </w:r>
      <w:r w:rsidR="00C431D3">
        <w:rPr>
          <w:rFonts w:ascii="Times New Roman" w:eastAsia="Times New Roman" w:hAnsi="Times New Roman" w:cs="Times New Roman"/>
          <w:sz w:val="22"/>
          <w:szCs w:val="22"/>
        </w:rPr>
        <w:t>7</w:t>
      </w:r>
      <w:r w:rsidRPr="00B60499">
        <w:rPr>
          <w:rFonts w:ascii="Times New Roman" w:eastAsia="Times New Roman" w:hAnsi="Times New Roman" w:cs="Times New Roman"/>
          <w:sz w:val="22"/>
          <w:szCs w:val="22"/>
        </w:rPr>
        <w:t>, para los indicadores fiscales se encuentran con estado “cumplido”</w:t>
      </w:r>
      <w:r w:rsidR="009F0FA0">
        <w:rPr>
          <w:rFonts w:ascii="Times New Roman" w:eastAsia="Times New Roman" w:hAnsi="Times New Roman" w:cs="Times New Roman"/>
          <w:sz w:val="22"/>
          <w:szCs w:val="22"/>
        </w:rPr>
        <w:t>.</w:t>
      </w:r>
      <w:r w:rsidR="00C431D3">
        <w:rPr>
          <w:rFonts w:ascii="Times New Roman" w:eastAsia="Times New Roman" w:hAnsi="Times New Roman" w:cs="Times New Roman"/>
          <w:sz w:val="22"/>
          <w:szCs w:val="22"/>
        </w:rPr>
        <w:t xml:space="preserve"> </w:t>
      </w:r>
      <w:r w:rsidR="009F0FA0">
        <w:rPr>
          <w:rFonts w:ascii="Times New Roman" w:eastAsia="Times New Roman" w:hAnsi="Times New Roman" w:cs="Times New Roman"/>
          <w:sz w:val="22"/>
          <w:szCs w:val="22"/>
        </w:rPr>
        <w:t>E</w:t>
      </w:r>
      <w:r w:rsidR="00110309">
        <w:rPr>
          <w:rFonts w:ascii="Times New Roman" w:eastAsia="Times New Roman" w:hAnsi="Times New Roman" w:cs="Times New Roman"/>
          <w:sz w:val="22"/>
          <w:szCs w:val="22"/>
        </w:rPr>
        <w:t xml:space="preserve">n el caso </w:t>
      </w:r>
      <w:r w:rsidR="00C431D3">
        <w:rPr>
          <w:rFonts w:ascii="Times New Roman" w:eastAsia="Times New Roman" w:hAnsi="Times New Roman" w:cs="Times New Roman"/>
          <w:sz w:val="22"/>
          <w:szCs w:val="22"/>
        </w:rPr>
        <w:t>del déficit fiscal en 2023</w:t>
      </w:r>
      <w:r w:rsidR="00110309">
        <w:rPr>
          <w:rFonts w:ascii="Times New Roman" w:eastAsia="Times New Roman" w:hAnsi="Times New Roman" w:cs="Times New Roman"/>
          <w:sz w:val="22"/>
          <w:szCs w:val="22"/>
        </w:rPr>
        <w:t xml:space="preserve">, la meta indica </w:t>
      </w:r>
      <w:r w:rsidR="009F0FA0">
        <w:rPr>
          <w:rFonts w:ascii="Times New Roman" w:eastAsia="Times New Roman" w:hAnsi="Times New Roman" w:cs="Times New Roman"/>
          <w:sz w:val="22"/>
          <w:szCs w:val="22"/>
        </w:rPr>
        <w:t xml:space="preserve">el </w:t>
      </w:r>
      <w:r w:rsidR="00110309">
        <w:rPr>
          <w:rFonts w:ascii="Times New Roman" w:eastAsia="Times New Roman" w:hAnsi="Times New Roman" w:cs="Times New Roman"/>
          <w:sz w:val="22"/>
          <w:szCs w:val="22"/>
        </w:rPr>
        <w:t xml:space="preserve">promedio para el período 2023-2027 de 1.3% del PIB, sin embargo, </w:t>
      </w:r>
      <w:r w:rsidR="00E35C2A">
        <w:rPr>
          <w:rFonts w:ascii="Times New Roman" w:eastAsia="Times New Roman" w:hAnsi="Times New Roman" w:cs="Times New Roman"/>
          <w:sz w:val="22"/>
          <w:szCs w:val="22"/>
        </w:rPr>
        <w:t xml:space="preserve">para dicha meta según las proyecciones del presupuesto multianual y del MFMFP para 2023 la estimación </w:t>
      </w:r>
      <w:r w:rsidR="00D44B5A">
        <w:rPr>
          <w:rFonts w:ascii="Times New Roman" w:eastAsia="Times New Roman" w:hAnsi="Times New Roman" w:cs="Times New Roman"/>
          <w:sz w:val="22"/>
          <w:szCs w:val="22"/>
        </w:rPr>
        <w:t xml:space="preserve">de déficit </w:t>
      </w:r>
      <w:r w:rsidR="009F0FA0">
        <w:rPr>
          <w:rFonts w:ascii="Times New Roman" w:eastAsia="Times New Roman" w:hAnsi="Times New Roman" w:cs="Times New Roman"/>
          <w:sz w:val="22"/>
          <w:szCs w:val="22"/>
        </w:rPr>
        <w:t>era</w:t>
      </w:r>
      <w:r w:rsidR="00D44B5A">
        <w:rPr>
          <w:rFonts w:ascii="Times New Roman" w:eastAsia="Times New Roman" w:hAnsi="Times New Roman" w:cs="Times New Roman"/>
          <w:sz w:val="22"/>
          <w:szCs w:val="22"/>
        </w:rPr>
        <w:t xml:space="preserve"> de 2.4%, la cual es consiste con el promedio del período</w:t>
      </w:r>
      <w:r w:rsidR="002A7761">
        <w:rPr>
          <w:rFonts w:ascii="Times New Roman" w:eastAsia="Times New Roman" w:hAnsi="Times New Roman" w:cs="Times New Roman"/>
          <w:sz w:val="22"/>
          <w:szCs w:val="22"/>
        </w:rPr>
        <w:t xml:space="preserve">, por lo que se considera cumplida la meta para dicho año. </w:t>
      </w:r>
      <w:r w:rsidR="00C431D3">
        <w:rPr>
          <w:rFonts w:ascii="Times New Roman" w:eastAsia="Times New Roman" w:hAnsi="Times New Roman" w:cs="Times New Roman"/>
          <w:sz w:val="22"/>
          <w:szCs w:val="22"/>
        </w:rPr>
        <w:t xml:space="preserve"> </w:t>
      </w:r>
    </w:p>
    <w:p w14:paraId="77E9C40D" w14:textId="77777777" w:rsidR="00846949" w:rsidRDefault="00846949" w:rsidP="004245AE">
      <w:pPr>
        <w:contextualSpacing/>
        <w:jc w:val="both"/>
        <w:rPr>
          <w:rFonts w:ascii="Times New Roman" w:eastAsia="Times New Roman" w:hAnsi="Times New Roman" w:cs="Times New Roman"/>
          <w:sz w:val="22"/>
          <w:szCs w:val="22"/>
        </w:rPr>
      </w:pPr>
    </w:p>
    <w:p w14:paraId="04F7E969" w14:textId="3A84DAC0" w:rsidR="00C431D3" w:rsidRDefault="00165572" w:rsidP="004245AE">
      <w:pPr>
        <w:contextualSpacing/>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Es importante indicar que</w:t>
      </w:r>
      <w:r w:rsidR="00C431D3">
        <w:rPr>
          <w:rFonts w:ascii="Times New Roman" w:eastAsia="Times New Roman" w:hAnsi="Times New Roman" w:cs="Times New Roman"/>
          <w:sz w:val="22"/>
          <w:szCs w:val="22"/>
        </w:rPr>
        <w:t>, haber alcanzado las metas es una señal positiva del buen desempeño de la</w:t>
      </w:r>
      <w:r>
        <w:rPr>
          <w:rFonts w:ascii="Times New Roman" w:eastAsia="Times New Roman" w:hAnsi="Times New Roman" w:cs="Times New Roman"/>
          <w:sz w:val="22"/>
          <w:szCs w:val="22"/>
        </w:rPr>
        <w:t>s finanzas públicas y de la</w:t>
      </w:r>
      <w:r w:rsidR="00C431D3">
        <w:rPr>
          <w:rFonts w:ascii="Times New Roman" w:eastAsia="Times New Roman" w:hAnsi="Times New Roman" w:cs="Times New Roman"/>
          <w:sz w:val="22"/>
          <w:szCs w:val="22"/>
        </w:rPr>
        <w:t xml:space="preserve"> política fiscal, principalmente en </w:t>
      </w:r>
      <w:r w:rsidR="00E82D81">
        <w:rPr>
          <w:rFonts w:ascii="Times New Roman" w:eastAsia="Times New Roman" w:hAnsi="Times New Roman" w:cs="Times New Roman"/>
          <w:sz w:val="22"/>
          <w:szCs w:val="22"/>
        </w:rPr>
        <w:t xml:space="preserve">suavizar shocks externos y manteniendo </w:t>
      </w:r>
      <w:r w:rsidR="009F0FA0">
        <w:rPr>
          <w:rFonts w:ascii="Times New Roman" w:eastAsia="Times New Roman" w:hAnsi="Times New Roman" w:cs="Times New Roman"/>
          <w:sz w:val="22"/>
          <w:szCs w:val="22"/>
        </w:rPr>
        <w:t>l</w:t>
      </w:r>
      <w:r w:rsidR="00E82D81">
        <w:rPr>
          <w:rFonts w:ascii="Times New Roman" w:eastAsia="Times New Roman" w:hAnsi="Times New Roman" w:cs="Times New Roman"/>
          <w:sz w:val="22"/>
          <w:szCs w:val="22"/>
        </w:rPr>
        <w:t xml:space="preserve">a ejecución del gasto público moderada a pesar de la mejora sustancial en materia de recaudación tributaria post COVID-19. Esto al mismo tiempo coadyuva a mantener un déficit fiscal modesto, inferior a los establecidos en presupuesto, teniendo la deuda pública catalogada como sostenible y con espacio suficiente de credibilidad para seguir colocando títulos de deuda tanto en el mercado local como externo. </w:t>
      </w:r>
    </w:p>
    <w:p w14:paraId="6F36C51B" w14:textId="77777777" w:rsidR="00C431D3" w:rsidRDefault="00C431D3" w:rsidP="00B60499">
      <w:pPr>
        <w:spacing w:line="276" w:lineRule="auto"/>
        <w:contextualSpacing/>
        <w:jc w:val="both"/>
        <w:rPr>
          <w:rFonts w:ascii="Times New Roman" w:eastAsia="Times New Roman" w:hAnsi="Times New Roman" w:cs="Times New Roman"/>
          <w:sz w:val="22"/>
          <w:szCs w:val="22"/>
        </w:rPr>
      </w:pPr>
    </w:p>
    <w:p w14:paraId="4EA8EEAF" w14:textId="3C9643C9" w:rsidR="00B60499" w:rsidRPr="00F22DD8" w:rsidRDefault="00D77F0D" w:rsidP="004245AE">
      <w:pPr>
        <w:pStyle w:val="Ttulo1"/>
        <w:spacing w:before="0"/>
        <w:rPr>
          <w:rFonts w:ascii="Times New Roman" w:hAnsi="Times New Roman"/>
          <w:b/>
          <w:bCs/>
          <w:color w:val="auto"/>
          <w:sz w:val="26"/>
          <w:szCs w:val="26"/>
        </w:rPr>
      </w:pPr>
      <w:bookmarkStart w:id="120" w:name="_Toc125723293"/>
      <w:bookmarkStart w:id="121" w:name="_Toc160196857"/>
      <w:r w:rsidRPr="00F22DD8">
        <w:rPr>
          <w:rFonts w:ascii="Times New Roman" w:hAnsi="Times New Roman"/>
          <w:b/>
          <w:bCs/>
          <w:color w:val="auto"/>
          <w:sz w:val="26"/>
          <w:szCs w:val="26"/>
        </w:rPr>
        <w:t xml:space="preserve">VI. </w:t>
      </w:r>
      <w:r w:rsidR="00B60499" w:rsidRPr="00F22DD8">
        <w:rPr>
          <w:rFonts w:ascii="Times New Roman" w:hAnsi="Times New Roman"/>
          <w:b/>
          <w:bCs/>
          <w:color w:val="auto"/>
          <w:sz w:val="26"/>
          <w:szCs w:val="26"/>
        </w:rPr>
        <w:t>Orientación de la política fiscal en 202</w:t>
      </w:r>
      <w:bookmarkEnd w:id="120"/>
      <w:r w:rsidR="00B60499" w:rsidRPr="00F22DD8">
        <w:rPr>
          <w:rFonts w:ascii="Times New Roman" w:hAnsi="Times New Roman"/>
          <w:b/>
          <w:bCs/>
          <w:color w:val="auto"/>
          <w:sz w:val="26"/>
          <w:szCs w:val="26"/>
        </w:rPr>
        <w:t>3</w:t>
      </w:r>
      <w:bookmarkEnd w:id="121"/>
    </w:p>
    <w:p w14:paraId="41D97F4C" w14:textId="01F14DA5" w:rsidR="00B60499" w:rsidRDefault="00B60499" w:rsidP="004245AE">
      <w:pPr>
        <w:contextualSpacing/>
        <w:rPr>
          <w:rFonts w:ascii="Calibri" w:eastAsia="Times New Roman" w:hAnsi="Calibri" w:cs="Times New Roman"/>
          <w:sz w:val="22"/>
          <w:lang w:val="es-ES_tradnl" w:eastAsia="es-ES"/>
        </w:rPr>
      </w:pPr>
    </w:p>
    <w:p w14:paraId="4F61F1BA" w14:textId="612A39BE" w:rsidR="00B60499" w:rsidRPr="00B60499" w:rsidRDefault="00B60499" w:rsidP="004245AE">
      <w:pPr>
        <w:contextualSpacing/>
        <w:jc w:val="both"/>
        <w:rPr>
          <w:rFonts w:ascii="Times New Roman" w:hAnsi="Times New Roman" w:cs="Times New Roman"/>
          <w:sz w:val="22"/>
          <w:szCs w:val="22"/>
          <w:lang w:eastAsia="es-ES"/>
        </w:rPr>
      </w:pPr>
      <w:r w:rsidRPr="00B60499">
        <w:rPr>
          <w:rFonts w:ascii="Times New Roman" w:hAnsi="Times New Roman" w:cs="Times New Roman"/>
          <w:sz w:val="22"/>
          <w:szCs w:val="22"/>
          <w:lang w:eastAsia="es-ES"/>
        </w:rPr>
        <w:t xml:space="preserve">La orientación de la política fiscal en 2023 tuvo un giro diferente. Después de mostrar en los años 2020-2022 una política claramente </w:t>
      </w:r>
      <w:proofErr w:type="spellStart"/>
      <w:r w:rsidRPr="00B60499">
        <w:rPr>
          <w:rFonts w:ascii="Times New Roman" w:hAnsi="Times New Roman" w:cs="Times New Roman"/>
          <w:sz w:val="22"/>
          <w:szCs w:val="22"/>
          <w:lang w:eastAsia="es-ES"/>
        </w:rPr>
        <w:t>cont</w:t>
      </w:r>
      <w:r w:rsidR="00AB6108">
        <w:rPr>
          <w:rFonts w:ascii="Times New Roman" w:hAnsi="Times New Roman" w:cs="Times New Roman"/>
          <w:sz w:val="22"/>
          <w:szCs w:val="22"/>
          <w:lang w:eastAsia="es-ES"/>
        </w:rPr>
        <w:t>r</w:t>
      </w:r>
      <w:r w:rsidRPr="00B60499">
        <w:rPr>
          <w:rFonts w:ascii="Times New Roman" w:hAnsi="Times New Roman" w:cs="Times New Roman"/>
          <w:sz w:val="22"/>
          <w:szCs w:val="22"/>
          <w:lang w:eastAsia="es-ES"/>
        </w:rPr>
        <w:t>acíclica</w:t>
      </w:r>
      <w:proofErr w:type="spellEnd"/>
      <w:r w:rsidRPr="00B60499">
        <w:rPr>
          <w:rFonts w:ascii="Times New Roman" w:hAnsi="Times New Roman" w:cs="Times New Roman"/>
          <w:sz w:val="22"/>
          <w:szCs w:val="22"/>
          <w:lang w:eastAsia="es-ES"/>
        </w:rPr>
        <w:t>, que fue necesaria principalmente en los primeros dos años para paliar la crisis económica provocada por la Pandemia del COVID-19, en donde en 2020 la economía se contrajo fuertemente y fue necesari</w:t>
      </w:r>
      <w:r w:rsidR="00AB6108">
        <w:rPr>
          <w:rFonts w:ascii="Times New Roman" w:hAnsi="Times New Roman" w:cs="Times New Roman"/>
          <w:sz w:val="22"/>
          <w:szCs w:val="22"/>
          <w:lang w:eastAsia="es-ES"/>
        </w:rPr>
        <w:t>a</w:t>
      </w:r>
      <w:r w:rsidRPr="00B60499">
        <w:rPr>
          <w:rFonts w:ascii="Times New Roman" w:hAnsi="Times New Roman" w:cs="Times New Roman"/>
          <w:sz w:val="22"/>
          <w:szCs w:val="22"/>
          <w:lang w:eastAsia="es-ES"/>
        </w:rPr>
        <w:t xml:space="preserve"> la aplicación de estímulos fiscales para dinamizar el aparato productivo y apoyar a los segmentos más necesitados de la población. Asimismo, en 2021 el gobierno procedió a reducir y eliminar los estímulos fiscales, sin dejar de coadyuvar al crecimiento económico y al resguardo de la salud de la población en el momento de la recuperación económica que fue resultado también de un efecto rebote. No obstante, en 2022 la economía empezó a desacelerarse</w:t>
      </w:r>
      <w:r w:rsidR="00AB6108">
        <w:rPr>
          <w:rFonts w:ascii="Times New Roman" w:hAnsi="Times New Roman" w:cs="Times New Roman"/>
          <w:sz w:val="22"/>
          <w:szCs w:val="22"/>
          <w:lang w:eastAsia="es-ES"/>
        </w:rPr>
        <w:t>,</w:t>
      </w:r>
      <w:r w:rsidRPr="00B60499">
        <w:rPr>
          <w:rFonts w:ascii="Times New Roman" w:hAnsi="Times New Roman" w:cs="Times New Roman"/>
          <w:sz w:val="22"/>
          <w:szCs w:val="22"/>
          <w:lang w:eastAsia="es-ES"/>
        </w:rPr>
        <w:t xml:space="preserve"> en parte por el efecto económico que causó, en dicho año, la guerra entre Rusia y Ucrania que tuvo efectos principalmente sobre los precios de las materias primas especialmente los combustibles, en donde fue necesario nuevamente la participación del gobierno para mitigar el alza súbita de los</w:t>
      </w:r>
      <w:r w:rsidR="00AB6108">
        <w:rPr>
          <w:rFonts w:ascii="Times New Roman" w:hAnsi="Times New Roman" w:cs="Times New Roman"/>
          <w:sz w:val="22"/>
          <w:szCs w:val="22"/>
          <w:lang w:eastAsia="es-ES"/>
        </w:rPr>
        <w:t xml:space="preserve"> precios de los</w:t>
      </w:r>
      <w:r w:rsidRPr="00B60499">
        <w:rPr>
          <w:rFonts w:ascii="Times New Roman" w:hAnsi="Times New Roman" w:cs="Times New Roman"/>
          <w:sz w:val="22"/>
          <w:szCs w:val="22"/>
          <w:lang w:eastAsia="es-ES"/>
        </w:rPr>
        <w:t xml:space="preserve"> combustibles y el efecto que esto tiene sobre la población.  De esa cuenta, el crecimiento económico de Guatemala en 2022 se desaceleró acercándose nuevamente a su nivel potencial, cuya reducción fue menor gracias a la participación del gobierno mediante el aumento del gasto público.</w:t>
      </w:r>
    </w:p>
    <w:p w14:paraId="7B834189" w14:textId="77777777" w:rsidR="00B60499" w:rsidRPr="00B60499" w:rsidRDefault="00B60499" w:rsidP="004245AE">
      <w:pPr>
        <w:contextualSpacing/>
        <w:jc w:val="both"/>
        <w:rPr>
          <w:rFonts w:ascii="Times New Roman" w:hAnsi="Times New Roman" w:cs="Times New Roman"/>
          <w:sz w:val="22"/>
          <w:szCs w:val="22"/>
          <w:lang w:eastAsia="es-ES"/>
        </w:rPr>
      </w:pPr>
    </w:p>
    <w:p w14:paraId="75762438" w14:textId="3A958498" w:rsidR="00B60499" w:rsidRPr="00B60499" w:rsidRDefault="00B60499" w:rsidP="004245AE">
      <w:pPr>
        <w:contextualSpacing/>
        <w:jc w:val="both"/>
        <w:rPr>
          <w:rFonts w:ascii="Times New Roman" w:hAnsi="Times New Roman" w:cs="Times New Roman"/>
          <w:sz w:val="22"/>
          <w:szCs w:val="22"/>
          <w:lang w:eastAsia="es-ES"/>
        </w:rPr>
      </w:pPr>
      <w:r w:rsidRPr="00B60499">
        <w:rPr>
          <w:rFonts w:ascii="Times New Roman" w:hAnsi="Times New Roman" w:cs="Times New Roman"/>
          <w:sz w:val="22"/>
          <w:szCs w:val="22"/>
          <w:lang w:eastAsia="es-ES"/>
        </w:rPr>
        <w:t>En 2023 por su parte, derivado de un entorno internacional relativamente adverso por la desaceleración económica de los principales socios comerciales y el endurecimiento de la política monetaria en muchos países del mundo incluyendo Guatemala, condujeron a que el crecimiento económico nuevamente disminuyera ubicándose exactamente en el nivel potencial de 3.5%, mientras que la política fiscal</w:t>
      </w:r>
      <w:r w:rsidR="00D71E21">
        <w:rPr>
          <w:rFonts w:ascii="Times New Roman" w:hAnsi="Times New Roman" w:cs="Times New Roman"/>
          <w:sz w:val="22"/>
          <w:szCs w:val="22"/>
          <w:lang w:eastAsia="es-ES"/>
        </w:rPr>
        <w:t xml:space="preserve"> fue contractiva,</w:t>
      </w:r>
      <w:r w:rsidRPr="00B60499">
        <w:rPr>
          <w:rFonts w:ascii="Times New Roman" w:hAnsi="Times New Roman" w:cs="Times New Roman"/>
          <w:sz w:val="22"/>
          <w:szCs w:val="22"/>
          <w:lang w:eastAsia="es-ES"/>
        </w:rPr>
        <w:t xml:space="preserve"> dadas las características de una coyuntura política especial </w:t>
      </w:r>
      <w:r w:rsidR="00B970AF" w:rsidRPr="00B60499">
        <w:rPr>
          <w:rFonts w:ascii="Times New Roman" w:hAnsi="Times New Roman" w:cs="Times New Roman"/>
          <w:sz w:val="22"/>
          <w:szCs w:val="22"/>
          <w:lang w:eastAsia="es-ES"/>
        </w:rPr>
        <w:t>porque</w:t>
      </w:r>
      <w:r w:rsidRPr="00B60499">
        <w:rPr>
          <w:rFonts w:ascii="Times New Roman" w:hAnsi="Times New Roman" w:cs="Times New Roman"/>
          <w:sz w:val="22"/>
          <w:szCs w:val="22"/>
          <w:lang w:eastAsia="es-ES"/>
        </w:rPr>
        <w:t xml:space="preserve"> se llevaron a cabo las Elecciones Generales, debido a la reducción considerable de los estímulos creados en 2022, mientras que la inversión y el gasto recurrente del Estado no varió lo suficiente para dinamizar la economía.  Además, la carga tributaria se mantuvo </w:t>
      </w:r>
      <w:r w:rsidR="00D71E21">
        <w:rPr>
          <w:rFonts w:ascii="Times New Roman" w:hAnsi="Times New Roman" w:cs="Times New Roman"/>
          <w:sz w:val="22"/>
          <w:szCs w:val="22"/>
          <w:lang w:eastAsia="es-ES"/>
        </w:rPr>
        <w:t xml:space="preserve">estable </w:t>
      </w:r>
      <w:r w:rsidRPr="00B60499">
        <w:rPr>
          <w:rFonts w:ascii="Times New Roman" w:hAnsi="Times New Roman" w:cs="Times New Roman"/>
          <w:sz w:val="22"/>
          <w:szCs w:val="22"/>
          <w:lang w:eastAsia="es-ES"/>
        </w:rPr>
        <w:t>en términos del PIB con respecto a 2022, situación que dio origen a que en 2023 la política fiscal fuera levemente procíclica.</w:t>
      </w:r>
    </w:p>
    <w:p w14:paraId="5058777F" w14:textId="513EE65A" w:rsidR="00B60499" w:rsidRDefault="00B60499" w:rsidP="004245AE">
      <w:pPr>
        <w:contextualSpacing/>
        <w:jc w:val="both"/>
        <w:rPr>
          <w:rFonts w:ascii="Times New Roman" w:hAnsi="Times New Roman" w:cs="Times New Roman"/>
          <w:sz w:val="22"/>
          <w:szCs w:val="22"/>
          <w:lang w:val="es-ES_tradnl" w:eastAsia="es-ES"/>
        </w:rPr>
      </w:pPr>
    </w:p>
    <w:p w14:paraId="7517EFC5" w14:textId="01D1B8B2" w:rsidR="004245AE" w:rsidRDefault="004245AE" w:rsidP="004245AE">
      <w:pPr>
        <w:contextualSpacing/>
        <w:jc w:val="both"/>
        <w:rPr>
          <w:rFonts w:ascii="Times New Roman" w:hAnsi="Times New Roman" w:cs="Times New Roman"/>
          <w:sz w:val="22"/>
          <w:szCs w:val="22"/>
          <w:lang w:val="es-ES_tradnl" w:eastAsia="es-ES"/>
        </w:rPr>
      </w:pPr>
    </w:p>
    <w:p w14:paraId="65A732E5" w14:textId="088DFE69" w:rsidR="004245AE" w:rsidRDefault="004245AE" w:rsidP="004245AE">
      <w:pPr>
        <w:contextualSpacing/>
        <w:jc w:val="both"/>
        <w:rPr>
          <w:rFonts w:ascii="Times New Roman" w:hAnsi="Times New Roman" w:cs="Times New Roman"/>
          <w:sz w:val="22"/>
          <w:szCs w:val="22"/>
          <w:lang w:val="es-ES_tradnl" w:eastAsia="es-ES"/>
        </w:rPr>
      </w:pPr>
    </w:p>
    <w:p w14:paraId="4A65B8B1" w14:textId="6D53D804" w:rsidR="004245AE" w:rsidRDefault="004245AE" w:rsidP="004245AE">
      <w:pPr>
        <w:contextualSpacing/>
        <w:jc w:val="both"/>
        <w:rPr>
          <w:rFonts w:ascii="Times New Roman" w:hAnsi="Times New Roman" w:cs="Times New Roman"/>
          <w:sz w:val="22"/>
          <w:szCs w:val="22"/>
          <w:lang w:val="es-ES_tradnl" w:eastAsia="es-ES"/>
        </w:rPr>
      </w:pPr>
    </w:p>
    <w:p w14:paraId="44930CA3" w14:textId="2356D64C" w:rsidR="004245AE" w:rsidRDefault="004245AE" w:rsidP="004245AE">
      <w:pPr>
        <w:contextualSpacing/>
        <w:jc w:val="both"/>
        <w:rPr>
          <w:rFonts w:ascii="Times New Roman" w:hAnsi="Times New Roman" w:cs="Times New Roman"/>
          <w:sz w:val="22"/>
          <w:szCs w:val="22"/>
          <w:lang w:val="es-ES_tradnl" w:eastAsia="es-ES"/>
        </w:rPr>
      </w:pPr>
    </w:p>
    <w:p w14:paraId="5567F321" w14:textId="73593656" w:rsidR="004245AE" w:rsidRDefault="004245AE" w:rsidP="004245AE">
      <w:pPr>
        <w:contextualSpacing/>
        <w:jc w:val="both"/>
        <w:rPr>
          <w:rFonts w:ascii="Times New Roman" w:hAnsi="Times New Roman" w:cs="Times New Roman"/>
          <w:sz w:val="22"/>
          <w:szCs w:val="22"/>
          <w:lang w:val="es-ES_tradnl" w:eastAsia="es-ES"/>
        </w:rPr>
      </w:pPr>
    </w:p>
    <w:p w14:paraId="40867AA0" w14:textId="0AC45062" w:rsidR="004245AE" w:rsidRDefault="004245AE" w:rsidP="004245AE">
      <w:pPr>
        <w:contextualSpacing/>
        <w:jc w:val="both"/>
        <w:rPr>
          <w:rFonts w:ascii="Times New Roman" w:hAnsi="Times New Roman" w:cs="Times New Roman"/>
          <w:sz w:val="22"/>
          <w:szCs w:val="22"/>
          <w:lang w:val="es-ES_tradnl" w:eastAsia="es-ES"/>
        </w:rPr>
      </w:pPr>
    </w:p>
    <w:p w14:paraId="284C6332" w14:textId="77777777" w:rsidR="004245AE" w:rsidRPr="00B60499" w:rsidRDefault="004245AE" w:rsidP="004245AE">
      <w:pPr>
        <w:contextualSpacing/>
        <w:jc w:val="both"/>
        <w:rPr>
          <w:rFonts w:ascii="Times New Roman" w:hAnsi="Times New Roman" w:cs="Times New Roman"/>
          <w:sz w:val="22"/>
          <w:szCs w:val="22"/>
          <w:lang w:val="es-ES_tradnl" w:eastAsia="es-ES"/>
        </w:rPr>
      </w:pPr>
    </w:p>
    <w:tbl>
      <w:tblPr>
        <w:tblStyle w:val="Tablaconcuadrcula2"/>
        <w:tblW w:w="814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7"/>
        <w:gridCol w:w="4333"/>
      </w:tblGrid>
      <w:tr w:rsidR="00B60499" w:rsidRPr="00B60499" w14:paraId="3192FD63" w14:textId="77777777" w:rsidTr="00413ED8">
        <w:trPr>
          <w:trHeight w:val="225"/>
        </w:trPr>
        <w:tc>
          <w:tcPr>
            <w:tcW w:w="4033" w:type="dxa"/>
          </w:tcPr>
          <w:p w14:paraId="6CED266A" w14:textId="2C2D9CDB" w:rsidR="00B60499" w:rsidRPr="004245AE" w:rsidRDefault="004245AE" w:rsidP="004245AE">
            <w:pPr>
              <w:pStyle w:val="Descripcin"/>
              <w:keepNext/>
              <w:spacing w:after="0"/>
              <w:jc w:val="center"/>
              <w:rPr>
                <w:sz w:val="22"/>
                <w:szCs w:val="22"/>
              </w:rPr>
            </w:pPr>
            <w:bookmarkStart w:id="122" w:name="_Toc125722954"/>
            <w:bookmarkStart w:id="123" w:name="_Toc158103864"/>
            <w:r w:rsidRPr="004245AE">
              <w:rPr>
                <w:sz w:val="22"/>
                <w:szCs w:val="22"/>
              </w:rPr>
              <w:lastRenderedPageBreak/>
              <w:t xml:space="preserve">Gráfico </w:t>
            </w:r>
            <w:r w:rsidRPr="004245AE">
              <w:rPr>
                <w:sz w:val="22"/>
                <w:szCs w:val="22"/>
              </w:rPr>
              <w:fldChar w:fldCharType="begin"/>
            </w:r>
            <w:r w:rsidRPr="004245AE">
              <w:rPr>
                <w:sz w:val="22"/>
                <w:szCs w:val="22"/>
              </w:rPr>
              <w:instrText xml:space="preserve"> SEQ Gráfico \* ARABIC </w:instrText>
            </w:r>
            <w:r w:rsidRPr="004245AE">
              <w:rPr>
                <w:sz w:val="22"/>
                <w:szCs w:val="22"/>
              </w:rPr>
              <w:fldChar w:fldCharType="separate"/>
            </w:r>
            <w:r w:rsidR="00C015DC">
              <w:rPr>
                <w:noProof/>
                <w:sz w:val="22"/>
                <w:szCs w:val="22"/>
              </w:rPr>
              <w:t>19</w:t>
            </w:r>
            <w:r w:rsidRPr="004245AE">
              <w:rPr>
                <w:sz w:val="22"/>
                <w:szCs w:val="22"/>
              </w:rPr>
              <w:fldChar w:fldCharType="end"/>
            </w:r>
            <w:r w:rsidRPr="004245AE">
              <w:rPr>
                <w:sz w:val="22"/>
                <w:szCs w:val="22"/>
              </w:rPr>
              <w:t xml:space="preserve">.  </w:t>
            </w:r>
            <w:r w:rsidR="00B60499" w:rsidRPr="004245AE">
              <w:rPr>
                <w:bCs/>
                <w:sz w:val="22"/>
                <w:szCs w:val="22"/>
                <w:lang w:val="es-ES_tradnl" w:eastAsia="es-ES"/>
              </w:rPr>
              <w:t>Impulso Fiscal</w:t>
            </w:r>
            <w:bookmarkEnd w:id="122"/>
            <w:bookmarkEnd w:id="123"/>
          </w:p>
        </w:tc>
        <w:tc>
          <w:tcPr>
            <w:tcW w:w="4109" w:type="dxa"/>
          </w:tcPr>
          <w:p w14:paraId="60E7A432" w14:textId="2EB78E60" w:rsidR="00B60499" w:rsidRPr="004245AE" w:rsidRDefault="004245AE" w:rsidP="004245AE">
            <w:pPr>
              <w:pStyle w:val="Descripcin"/>
              <w:keepNext/>
              <w:spacing w:after="0"/>
              <w:jc w:val="center"/>
              <w:rPr>
                <w:sz w:val="22"/>
                <w:szCs w:val="22"/>
              </w:rPr>
            </w:pPr>
            <w:bookmarkStart w:id="124" w:name="_Toc125722955"/>
            <w:bookmarkStart w:id="125" w:name="_Toc158103865"/>
            <w:r w:rsidRPr="004245AE">
              <w:rPr>
                <w:sz w:val="22"/>
                <w:szCs w:val="22"/>
              </w:rPr>
              <w:t xml:space="preserve">Gráfico </w:t>
            </w:r>
            <w:r w:rsidRPr="004245AE">
              <w:rPr>
                <w:sz w:val="22"/>
                <w:szCs w:val="22"/>
              </w:rPr>
              <w:fldChar w:fldCharType="begin"/>
            </w:r>
            <w:r w:rsidRPr="004245AE">
              <w:rPr>
                <w:sz w:val="22"/>
                <w:szCs w:val="22"/>
              </w:rPr>
              <w:instrText xml:space="preserve"> SEQ Gráfico \* ARABIC </w:instrText>
            </w:r>
            <w:r w:rsidRPr="004245AE">
              <w:rPr>
                <w:sz w:val="22"/>
                <w:szCs w:val="22"/>
              </w:rPr>
              <w:fldChar w:fldCharType="separate"/>
            </w:r>
            <w:r w:rsidR="00C015DC">
              <w:rPr>
                <w:noProof/>
                <w:sz w:val="22"/>
                <w:szCs w:val="22"/>
              </w:rPr>
              <w:t>20</w:t>
            </w:r>
            <w:r w:rsidRPr="004245AE">
              <w:rPr>
                <w:sz w:val="22"/>
                <w:szCs w:val="22"/>
              </w:rPr>
              <w:fldChar w:fldCharType="end"/>
            </w:r>
            <w:r w:rsidRPr="004245AE">
              <w:rPr>
                <w:sz w:val="22"/>
                <w:szCs w:val="22"/>
              </w:rPr>
              <w:t xml:space="preserve">.  </w:t>
            </w:r>
            <w:r w:rsidR="00B60499" w:rsidRPr="004245AE">
              <w:rPr>
                <w:bCs/>
                <w:sz w:val="22"/>
                <w:szCs w:val="22"/>
                <w:lang w:val="es-ES_tradnl" w:eastAsia="es-ES"/>
              </w:rPr>
              <w:t>Orientación de la Política Fiscal</w:t>
            </w:r>
            <w:bookmarkEnd w:id="124"/>
            <w:bookmarkEnd w:id="125"/>
          </w:p>
        </w:tc>
      </w:tr>
      <w:tr w:rsidR="00B60499" w:rsidRPr="00B60499" w14:paraId="24684EBD" w14:textId="77777777" w:rsidTr="00413ED8">
        <w:trPr>
          <w:trHeight w:val="2671"/>
        </w:trPr>
        <w:tc>
          <w:tcPr>
            <w:tcW w:w="4033" w:type="dxa"/>
          </w:tcPr>
          <w:p w14:paraId="6F0F9607" w14:textId="77777777" w:rsidR="00B60499" w:rsidRPr="00B60499" w:rsidRDefault="00B60499" w:rsidP="00B60499">
            <w:pPr>
              <w:spacing w:line="276" w:lineRule="auto"/>
              <w:contextualSpacing/>
              <w:jc w:val="both"/>
              <w:rPr>
                <w:rFonts w:ascii="Times New Roman" w:hAnsi="Times New Roman"/>
                <w:sz w:val="22"/>
                <w:szCs w:val="22"/>
                <w:lang w:val="es-ES_tradnl" w:eastAsia="es-ES"/>
              </w:rPr>
            </w:pPr>
            <w:r w:rsidRPr="00B60499">
              <w:rPr>
                <w:rFonts w:ascii="Times New Roman" w:hAnsi="Times New Roman"/>
                <w:noProof/>
                <w:sz w:val="22"/>
                <w:szCs w:val="22"/>
                <w:lang w:val="es-ES_tradnl" w:eastAsia="es-ES"/>
              </w:rPr>
              <w:drawing>
                <wp:inline distT="0" distB="0" distL="0" distR="0" wp14:anchorId="5C523A1D" wp14:editId="47E3E72A">
                  <wp:extent cx="2786731" cy="178109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51980" cy="1822796"/>
                          </a:xfrm>
                          <a:prstGeom prst="rect">
                            <a:avLst/>
                          </a:prstGeom>
                          <a:noFill/>
                        </pic:spPr>
                      </pic:pic>
                    </a:graphicData>
                  </a:graphic>
                </wp:inline>
              </w:drawing>
            </w:r>
          </w:p>
        </w:tc>
        <w:tc>
          <w:tcPr>
            <w:tcW w:w="4109" w:type="dxa"/>
          </w:tcPr>
          <w:p w14:paraId="43FB8D4B" w14:textId="77777777" w:rsidR="00B60499" w:rsidRPr="00B60499" w:rsidRDefault="00B60499" w:rsidP="00B60499">
            <w:pPr>
              <w:spacing w:line="276" w:lineRule="auto"/>
              <w:contextualSpacing/>
              <w:jc w:val="both"/>
              <w:rPr>
                <w:rFonts w:ascii="Times New Roman" w:hAnsi="Times New Roman"/>
                <w:sz w:val="22"/>
                <w:szCs w:val="22"/>
                <w:lang w:val="es-ES_tradnl" w:eastAsia="es-ES"/>
              </w:rPr>
            </w:pPr>
            <w:r w:rsidRPr="00B60499">
              <w:rPr>
                <w:rFonts w:ascii="Times New Roman" w:hAnsi="Times New Roman"/>
                <w:noProof/>
                <w:sz w:val="22"/>
                <w:szCs w:val="22"/>
                <w:lang w:val="es-ES_tradnl" w:eastAsia="es-ES"/>
              </w:rPr>
              <w:drawing>
                <wp:inline distT="0" distB="0" distL="0" distR="0" wp14:anchorId="78276604" wp14:editId="46E8286F">
                  <wp:extent cx="2743834" cy="1693628"/>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67813" cy="1708429"/>
                          </a:xfrm>
                          <a:prstGeom prst="rect">
                            <a:avLst/>
                          </a:prstGeom>
                          <a:noFill/>
                        </pic:spPr>
                      </pic:pic>
                    </a:graphicData>
                  </a:graphic>
                </wp:inline>
              </w:drawing>
            </w:r>
          </w:p>
        </w:tc>
      </w:tr>
    </w:tbl>
    <w:p w14:paraId="50A16FFE" w14:textId="2D18C61B" w:rsidR="00B60499" w:rsidRPr="00B60499" w:rsidRDefault="00B60499" w:rsidP="00B60499">
      <w:r w:rsidRPr="00B60499">
        <w:rPr>
          <w:rFonts w:ascii="Times New Roman" w:eastAsia="Times New Roman" w:hAnsi="Times New Roman" w:cs="Times New Roman"/>
          <w:sz w:val="18"/>
          <w:szCs w:val="22"/>
        </w:rPr>
        <w:t xml:space="preserve">  Fuente: Dirección de Análisis y Política Fiscal</w:t>
      </w:r>
      <w:r w:rsidR="00F22DD8">
        <w:rPr>
          <w:rFonts w:ascii="Times New Roman" w:eastAsia="Times New Roman" w:hAnsi="Times New Roman" w:cs="Times New Roman"/>
          <w:sz w:val="18"/>
          <w:szCs w:val="22"/>
        </w:rPr>
        <w:t>.</w:t>
      </w:r>
    </w:p>
    <w:p w14:paraId="213C76E7" w14:textId="77777777" w:rsidR="00B60499" w:rsidRDefault="00B60499" w:rsidP="00B60499">
      <w:pPr>
        <w:spacing w:line="276" w:lineRule="auto"/>
        <w:contextualSpacing/>
        <w:rPr>
          <w:rFonts w:ascii="Calibri" w:eastAsia="Times New Roman" w:hAnsi="Calibri" w:cs="Times New Roman"/>
          <w:sz w:val="22"/>
          <w:lang w:eastAsia="es-ES"/>
        </w:rPr>
      </w:pPr>
    </w:p>
    <w:p w14:paraId="0F008DBE" w14:textId="5F163E34" w:rsidR="00975EDA" w:rsidRPr="00F22DD8" w:rsidRDefault="00D77F0D" w:rsidP="004245AE">
      <w:pPr>
        <w:pStyle w:val="Ttulo1"/>
        <w:spacing w:before="0"/>
        <w:rPr>
          <w:rFonts w:ascii="Times New Roman" w:hAnsi="Times New Roman"/>
          <w:b/>
          <w:bCs/>
          <w:color w:val="auto"/>
          <w:sz w:val="26"/>
          <w:szCs w:val="26"/>
        </w:rPr>
      </w:pPr>
      <w:bookmarkStart w:id="126" w:name="_Toc160196858"/>
      <w:r w:rsidRPr="00F22DD8">
        <w:rPr>
          <w:rFonts w:ascii="Times New Roman" w:hAnsi="Times New Roman"/>
          <w:b/>
          <w:bCs/>
          <w:color w:val="auto"/>
          <w:sz w:val="26"/>
          <w:szCs w:val="26"/>
        </w:rPr>
        <w:t>VII.</w:t>
      </w:r>
      <w:r w:rsidR="00975EDA" w:rsidRPr="00F22DD8">
        <w:rPr>
          <w:rFonts w:ascii="Calibri" w:eastAsia="Times New Roman" w:hAnsi="Calibri"/>
          <w:color w:val="auto"/>
          <w:sz w:val="26"/>
          <w:szCs w:val="26"/>
          <w:lang w:eastAsia="es-ES"/>
        </w:rPr>
        <w:t xml:space="preserve"> </w:t>
      </w:r>
      <w:r w:rsidR="00975EDA" w:rsidRPr="00F22DD8">
        <w:rPr>
          <w:rFonts w:ascii="Times New Roman" w:hAnsi="Times New Roman"/>
          <w:b/>
          <w:bCs/>
          <w:color w:val="auto"/>
          <w:sz w:val="26"/>
          <w:szCs w:val="26"/>
        </w:rPr>
        <w:t>Resultado de las finanzas públicas 2023 según el estándar de las MEFP 2014</w:t>
      </w:r>
      <w:bookmarkEnd w:id="126"/>
      <w:r w:rsidR="00975EDA" w:rsidRPr="00F22DD8">
        <w:rPr>
          <w:rFonts w:ascii="Times New Roman" w:hAnsi="Times New Roman"/>
          <w:b/>
          <w:bCs/>
          <w:color w:val="auto"/>
          <w:sz w:val="26"/>
          <w:szCs w:val="26"/>
        </w:rPr>
        <w:t xml:space="preserve"> </w:t>
      </w:r>
    </w:p>
    <w:p w14:paraId="5B8E5FE3" w14:textId="77777777" w:rsidR="00975EDA" w:rsidRPr="004245AE" w:rsidRDefault="00975EDA" w:rsidP="004245AE">
      <w:pPr>
        <w:contextualSpacing/>
        <w:rPr>
          <w:rFonts w:ascii="Times New Roman" w:hAnsi="Times New Roman" w:cs="Times New Roman"/>
          <w:b/>
          <w:bCs/>
          <w:sz w:val="22"/>
          <w:szCs w:val="22"/>
        </w:rPr>
      </w:pPr>
    </w:p>
    <w:p w14:paraId="234A594A" w14:textId="2256B21C" w:rsidR="00975EDA" w:rsidRPr="004245AE" w:rsidRDefault="00975EDA" w:rsidP="004245AE">
      <w:pPr>
        <w:jc w:val="both"/>
        <w:rPr>
          <w:rFonts w:ascii="Times New Roman" w:hAnsi="Times New Roman" w:cs="Times New Roman"/>
          <w:sz w:val="22"/>
          <w:szCs w:val="22"/>
          <w:lang w:val="es-MX"/>
        </w:rPr>
      </w:pPr>
      <w:r w:rsidRPr="004245AE">
        <w:rPr>
          <w:rFonts w:ascii="Times New Roman" w:hAnsi="Times New Roman" w:cs="Times New Roman"/>
          <w:sz w:val="22"/>
          <w:szCs w:val="22"/>
          <w:lang w:val="es-MX"/>
        </w:rPr>
        <w:t xml:space="preserve">A </w:t>
      </w:r>
      <w:r w:rsidR="009C1035" w:rsidRPr="004245AE">
        <w:rPr>
          <w:rFonts w:ascii="Times New Roman" w:hAnsi="Times New Roman" w:cs="Times New Roman"/>
          <w:sz w:val="22"/>
          <w:szCs w:val="22"/>
          <w:lang w:val="es-MX"/>
        </w:rPr>
        <w:t>continuación,</w:t>
      </w:r>
      <w:r w:rsidRPr="004245AE">
        <w:rPr>
          <w:rFonts w:ascii="Times New Roman" w:hAnsi="Times New Roman" w:cs="Times New Roman"/>
          <w:sz w:val="22"/>
          <w:szCs w:val="22"/>
          <w:lang w:val="es-MX"/>
        </w:rPr>
        <w:t xml:space="preserve"> se presenta la información de las Estadísticas de Finanzas Publicas (EFP) siguiendo la metodología internacional que es establecida por el Fondo Monetario Internacional (FMI) en su Manual de Estadísticas de Finanzas Públicas (MEFP) 2014. </w:t>
      </w:r>
    </w:p>
    <w:p w14:paraId="52CD5EAD" w14:textId="77777777" w:rsidR="00975EDA" w:rsidRPr="004245AE" w:rsidRDefault="00975EDA" w:rsidP="004245AE">
      <w:pPr>
        <w:jc w:val="both"/>
        <w:rPr>
          <w:rFonts w:ascii="Times New Roman" w:hAnsi="Times New Roman" w:cs="Times New Roman"/>
          <w:sz w:val="22"/>
          <w:szCs w:val="22"/>
          <w:lang w:val="es-MX"/>
        </w:rPr>
      </w:pPr>
    </w:p>
    <w:p w14:paraId="76502640" w14:textId="1DAB3E8A" w:rsidR="00975EDA" w:rsidRPr="004245AE" w:rsidRDefault="00975EDA" w:rsidP="004245AE">
      <w:pPr>
        <w:jc w:val="both"/>
        <w:rPr>
          <w:rFonts w:ascii="Times New Roman" w:hAnsi="Times New Roman" w:cs="Times New Roman"/>
          <w:sz w:val="22"/>
          <w:szCs w:val="22"/>
          <w:lang w:val="es-MX"/>
        </w:rPr>
      </w:pPr>
      <w:r w:rsidRPr="004245AE">
        <w:rPr>
          <w:rFonts w:ascii="Times New Roman" w:hAnsi="Times New Roman" w:cs="Times New Roman"/>
          <w:sz w:val="22"/>
          <w:szCs w:val="22"/>
          <w:lang w:val="es-MX"/>
        </w:rPr>
        <w:t xml:space="preserve">La información corresponde a tres niveles distintos de cobertura del sector público, siendo el primero de estos </w:t>
      </w:r>
      <w:r w:rsidR="007E7285" w:rsidRPr="004245AE">
        <w:rPr>
          <w:rFonts w:ascii="Times New Roman" w:hAnsi="Times New Roman" w:cs="Times New Roman"/>
          <w:sz w:val="22"/>
          <w:szCs w:val="22"/>
          <w:lang w:val="es-MX"/>
        </w:rPr>
        <w:t>e</w:t>
      </w:r>
      <w:r w:rsidRPr="004245AE">
        <w:rPr>
          <w:rFonts w:ascii="Times New Roman" w:hAnsi="Times New Roman" w:cs="Times New Roman"/>
          <w:sz w:val="22"/>
          <w:szCs w:val="22"/>
          <w:lang w:val="es-MX"/>
        </w:rPr>
        <w:t>l que se conoce como el Gobierno Central Presupuestario (conformado por las entidades que dependen de la aprobación de un Presupuesto General de la nación) seguido del Gobierno General consolidado (que se conforma por las entidades contenidas en el Gobierno Central, los Fondos de Seguridad Social y los Gobiernos Locales, sin tomar en cuenta las transacciones recíprocas entre estas entidades) y por último, se incluye al Sector Público No Financiero Consolidado (que agrupa a las entidades del Gobierno General y las Sociedades Públicas No Financieras).</w:t>
      </w:r>
    </w:p>
    <w:p w14:paraId="413B9212" w14:textId="77777777" w:rsidR="00586D46" w:rsidRPr="004245AE" w:rsidRDefault="00586D46" w:rsidP="004245AE">
      <w:pPr>
        <w:jc w:val="both"/>
        <w:rPr>
          <w:rFonts w:ascii="Times New Roman" w:hAnsi="Times New Roman" w:cs="Times New Roman"/>
          <w:sz w:val="22"/>
          <w:szCs w:val="22"/>
          <w:lang w:val="es-MX"/>
        </w:rPr>
      </w:pPr>
    </w:p>
    <w:p w14:paraId="7BD85231" w14:textId="1806D040" w:rsidR="00975EDA" w:rsidRPr="004245AE" w:rsidRDefault="004245AE" w:rsidP="00CF4F63">
      <w:pPr>
        <w:pStyle w:val="Descripcin"/>
        <w:keepNext/>
        <w:jc w:val="center"/>
      </w:pPr>
      <w:bookmarkStart w:id="127" w:name="_Toc158103866"/>
      <w:r w:rsidRPr="004245AE">
        <w:rPr>
          <w:sz w:val="22"/>
          <w:szCs w:val="22"/>
        </w:rPr>
        <w:t xml:space="preserve">Gráfico </w:t>
      </w:r>
      <w:r w:rsidRPr="004245AE">
        <w:rPr>
          <w:sz w:val="22"/>
          <w:szCs w:val="22"/>
        </w:rPr>
        <w:fldChar w:fldCharType="begin"/>
      </w:r>
      <w:r w:rsidRPr="004245AE">
        <w:rPr>
          <w:sz w:val="22"/>
          <w:szCs w:val="22"/>
        </w:rPr>
        <w:instrText xml:space="preserve"> SEQ Gráfico \* ARABIC </w:instrText>
      </w:r>
      <w:r w:rsidRPr="004245AE">
        <w:rPr>
          <w:sz w:val="22"/>
          <w:szCs w:val="22"/>
        </w:rPr>
        <w:fldChar w:fldCharType="separate"/>
      </w:r>
      <w:r w:rsidR="00C015DC">
        <w:rPr>
          <w:noProof/>
          <w:sz w:val="22"/>
          <w:szCs w:val="22"/>
        </w:rPr>
        <w:t>21</w:t>
      </w:r>
      <w:r w:rsidRPr="004245AE">
        <w:rPr>
          <w:sz w:val="22"/>
          <w:szCs w:val="22"/>
        </w:rPr>
        <w:fldChar w:fldCharType="end"/>
      </w:r>
      <w:r w:rsidRPr="004245AE">
        <w:rPr>
          <w:sz w:val="22"/>
          <w:szCs w:val="22"/>
        </w:rPr>
        <w:t xml:space="preserve">.  </w:t>
      </w:r>
      <w:r w:rsidR="00975EDA" w:rsidRPr="004245AE">
        <w:rPr>
          <w:rFonts w:cs="Times New Roman"/>
          <w:bCs/>
          <w:sz w:val="22"/>
          <w:szCs w:val="22"/>
          <w:lang w:val="es-MX"/>
        </w:rPr>
        <w:t>Cobertura de los estados de operaciones conforme al MEFP 2014</w:t>
      </w:r>
      <w:r w:rsidR="00975EDA" w:rsidRPr="006A6ACD">
        <w:rPr>
          <w:rFonts w:cs="Times New Roman"/>
          <w:noProof/>
        </w:rPr>
        <w:drawing>
          <wp:inline distT="0" distB="0" distL="0" distR="0" wp14:anchorId="7BFF5A9A" wp14:editId="0516ECC3">
            <wp:extent cx="5263763" cy="2404607"/>
            <wp:effectExtent l="0" t="76200" r="0" b="53340"/>
            <wp:docPr id="965" name="Diagrama 965">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bookmarkEnd w:id="127"/>
    </w:p>
    <w:p w14:paraId="34D62633" w14:textId="77777777" w:rsidR="00975EDA" w:rsidRPr="006A6ACD" w:rsidRDefault="00975EDA" w:rsidP="00975EDA">
      <w:pPr>
        <w:rPr>
          <w:rFonts w:ascii="Times New Roman" w:hAnsi="Times New Roman" w:cs="Times New Roman"/>
          <w:lang w:val="es-MX"/>
        </w:rPr>
      </w:pPr>
      <w:r w:rsidRPr="006A6ACD">
        <w:rPr>
          <w:rFonts w:ascii="Times New Roman" w:hAnsi="Times New Roman" w:cs="Times New Roman"/>
          <w:lang w:val="es-MX"/>
        </w:rPr>
        <w:t>Fuente: MINFIN</w:t>
      </w:r>
    </w:p>
    <w:p w14:paraId="16844ADF" w14:textId="55BC49A1" w:rsidR="00975EDA" w:rsidRPr="00F22DD8" w:rsidRDefault="00DB4D58" w:rsidP="004245AE">
      <w:pPr>
        <w:pStyle w:val="Ttulo2"/>
        <w:ind w:left="567" w:hanging="283"/>
        <w:rPr>
          <w:rFonts w:ascii="Times New Roman" w:hAnsi="Times New Roman" w:cs="Times New Roman"/>
          <w:color w:val="auto"/>
          <w:sz w:val="24"/>
          <w:szCs w:val="24"/>
          <w:lang w:val="es-MX"/>
        </w:rPr>
      </w:pPr>
      <w:bookmarkStart w:id="128" w:name="_Toc160196859"/>
      <w:r w:rsidRPr="00F22DD8">
        <w:rPr>
          <w:rFonts w:ascii="Times New Roman" w:hAnsi="Times New Roman" w:cs="Times New Roman"/>
          <w:b/>
          <w:bCs/>
          <w:color w:val="auto"/>
          <w:sz w:val="24"/>
          <w:szCs w:val="24"/>
          <w:lang w:val="es-MX"/>
        </w:rPr>
        <w:lastRenderedPageBreak/>
        <w:t xml:space="preserve">7.1 </w:t>
      </w:r>
      <w:r w:rsidR="00975EDA" w:rsidRPr="00F22DD8">
        <w:rPr>
          <w:rFonts w:ascii="Times New Roman" w:hAnsi="Times New Roman" w:cs="Times New Roman"/>
          <w:b/>
          <w:bCs/>
          <w:color w:val="auto"/>
          <w:sz w:val="24"/>
          <w:szCs w:val="24"/>
          <w:lang w:val="es-MX"/>
        </w:rPr>
        <w:t>Estado de operaciones del Gobierno Central Presupuestario</w:t>
      </w:r>
      <w:bookmarkEnd w:id="128"/>
    </w:p>
    <w:p w14:paraId="7390881B" w14:textId="77777777" w:rsidR="00B65FA3" w:rsidRDefault="00B65FA3" w:rsidP="00975EDA">
      <w:pPr>
        <w:jc w:val="both"/>
        <w:rPr>
          <w:rFonts w:ascii="Times New Roman" w:hAnsi="Times New Roman" w:cs="Times New Roman"/>
          <w:lang w:val="es-MX"/>
        </w:rPr>
      </w:pPr>
    </w:p>
    <w:p w14:paraId="6C390668" w14:textId="43190F6C" w:rsidR="00975EDA" w:rsidRDefault="00975EDA" w:rsidP="00975EDA">
      <w:pPr>
        <w:jc w:val="both"/>
        <w:rPr>
          <w:rFonts w:ascii="Times New Roman" w:hAnsi="Times New Roman" w:cs="Times New Roman"/>
          <w:lang w:val="es-MX"/>
        </w:rPr>
      </w:pPr>
      <w:r>
        <w:rPr>
          <w:rFonts w:ascii="Times New Roman" w:hAnsi="Times New Roman" w:cs="Times New Roman"/>
          <w:lang w:val="es-MX"/>
        </w:rPr>
        <w:t xml:space="preserve">A nivel del </w:t>
      </w:r>
      <w:r w:rsidRPr="006A6ACD">
        <w:rPr>
          <w:rFonts w:ascii="Times New Roman" w:hAnsi="Times New Roman" w:cs="Times New Roman"/>
          <w:lang w:val="es-MX"/>
        </w:rPr>
        <w:t>Gobierno Central Presupuestario</w:t>
      </w:r>
      <w:r>
        <w:rPr>
          <w:rFonts w:ascii="Times New Roman" w:hAnsi="Times New Roman" w:cs="Times New Roman"/>
          <w:lang w:val="es-MX"/>
        </w:rPr>
        <w:t xml:space="preserve">, se observan ingresos preliminares en 2023 equivalentes al </w:t>
      </w:r>
      <w:r w:rsidRPr="006A6ACD">
        <w:rPr>
          <w:rFonts w:ascii="Times New Roman" w:hAnsi="Times New Roman" w:cs="Times New Roman"/>
          <w:lang w:val="es-MX"/>
        </w:rPr>
        <w:t>1</w:t>
      </w:r>
      <w:r>
        <w:rPr>
          <w:rFonts w:ascii="Times New Roman" w:hAnsi="Times New Roman" w:cs="Times New Roman"/>
          <w:lang w:val="es-MX"/>
        </w:rPr>
        <w:t>3.1</w:t>
      </w:r>
      <w:r w:rsidRPr="006A6ACD">
        <w:rPr>
          <w:rFonts w:ascii="Times New Roman" w:hAnsi="Times New Roman" w:cs="Times New Roman"/>
          <w:lang w:val="es-MX"/>
        </w:rPr>
        <w:t xml:space="preserve">% del PIB </w:t>
      </w:r>
      <w:r>
        <w:rPr>
          <w:rFonts w:ascii="Times New Roman" w:hAnsi="Times New Roman" w:cs="Times New Roman"/>
          <w:lang w:val="es-MX"/>
        </w:rPr>
        <w:t>(</w:t>
      </w:r>
      <w:r w:rsidRPr="006A6ACD">
        <w:rPr>
          <w:rFonts w:ascii="Times New Roman" w:hAnsi="Times New Roman" w:cs="Times New Roman"/>
          <w:lang w:val="es-MX"/>
        </w:rPr>
        <w:t>Q</w:t>
      </w:r>
      <w:r w:rsidRPr="00363826">
        <w:rPr>
          <w:rFonts w:ascii="Times New Roman" w:hAnsi="Times New Roman" w:cs="Times New Roman"/>
          <w:lang w:val="es-MX"/>
        </w:rPr>
        <w:t>104,</w:t>
      </w:r>
      <w:r w:rsidR="00C34F76">
        <w:rPr>
          <w:rFonts w:ascii="Times New Roman" w:hAnsi="Times New Roman" w:cs="Times New Roman"/>
          <w:lang w:val="es-MX"/>
        </w:rPr>
        <w:t>959</w:t>
      </w:r>
      <w:r>
        <w:rPr>
          <w:rFonts w:ascii="Times New Roman" w:hAnsi="Times New Roman" w:cs="Times New Roman"/>
          <w:lang w:val="es-MX"/>
        </w:rPr>
        <w:t>.</w:t>
      </w:r>
      <w:r w:rsidR="00C34F76">
        <w:rPr>
          <w:rFonts w:ascii="Times New Roman" w:hAnsi="Times New Roman" w:cs="Times New Roman"/>
          <w:lang w:val="es-MX"/>
        </w:rPr>
        <w:t>1</w:t>
      </w:r>
      <w:r w:rsidRPr="00363826">
        <w:rPr>
          <w:rFonts w:ascii="Times New Roman" w:hAnsi="Times New Roman" w:cs="Times New Roman"/>
          <w:lang w:val="es-MX"/>
        </w:rPr>
        <w:t xml:space="preserve"> </w:t>
      </w:r>
      <w:r w:rsidRPr="006A6ACD">
        <w:rPr>
          <w:rFonts w:ascii="Times New Roman" w:hAnsi="Times New Roman" w:cs="Times New Roman"/>
          <w:lang w:val="es-MX"/>
        </w:rPr>
        <w:t>millones</w:t>
      </w:r>
      <w:r>
        <w:rPr>
          <w:rFonts w:ascii="Times New Roman" w:hAnsi="Times New Roman" w:cs="Times New Roman"/>
          <w:lang w:val="es-MX"/>
        </w:rPr>
        <w:t>)</w:t>
      </w:r>
      <w:r w:rsidR="0089421B">
        <w:rPr>
          <w:rFonts w:ascii="Times New Roman" w:hAnsi="Times New Roman" w:cs="Times New Roman"/>
          <w:lang w:val="es-MX"/>
        </w:rPr>
        <w:t>,</w:t>
      </w:r>
      <w:r>
        <w:rPr>
          <w:rFonts w:ascii="Times New Roman" w:hAnsi="Times New Roman" w:cs="Times New Roman"/>
          <w:lang w:val="es-MX"/>
        </w:rPr>
        <w:t xml:space="preserve"> cabe mencionar que este es un crecimiento de</w:t>
      </w:r>
      <w:r w:rsidRPr="006A6ACD">
        <w:rPr>
          <w:rFonts w:ascii="Times New Roman" w:hAnsi="Times New Roman" w:cs="Times New Roman"/>
          <w:lang w:val="es-MX"/>
        </w:rPr>
        <w:t xml:space="preserve"> </w:t>
      </w:r>
      <w:r>
        <w:rPr>
          <w:rFonts w:ascii="Times New Roman" w:hAnsi="Times New Roman" w:cs="Times New Roman"/>
          <w:lang w:val="es-MX"/>
        </w:rPr>
        <w:t>0.1</w:t>
      </w:r>
      <w:r w:rsidRPr="006A6ACD">
        <w:rPr>
          <w:rFonts w:ascii="Times New Roman" w:hAnsi="Times New Roman" w:cs="Times New Roman"/>
          <w:lang w:val="es-MX"/>
        </w:rPr>
        <w:t xml:space="preserve"> puntos porcentuales del PIB respecto </w:t>
      </w:r>
      <w:r>
        <w:rPr>
          <w:rFonts w:ascii="Times New Roman" w:hAnsi="Times New Roman" w:cs="Times New Roman"/>
          <w:lang w:val="es-MX"/>
        </w:rPr>
        <w:t>al año previo</w:t>
      </w:r>
      <w:r w:rsidRPr="006A6ACD">
        <w:rPr>
          <w:rFonts w:ascii="Times New Roman" w:hAnsi="Times New Roman" w:cs="Times New Roman"/>
          <w:lang w:val="es-MX"/>
        </w:rPr>
        <w:t xml:space="preserve">. </w:t>
      </w:r>
    </w:p>
    <w:p w14:paraId="7E0972AC" w14:textId="77777777" w:rsidR="00975EDA" w:rsidRDefault="00975EDA" w:rsidP="00975EDA">
      <w:pPr>
        <w:jc w:val="both"/>
        <w:rPr>
          <w:rFonts w:ascii="Times New Roman" w:hAnsi="Times New Roman" w:cs="Times New Roman"/>
          <w:lang w:val="es-MX"/>
        </w:rPr>
      </w:pPr>
    </w:p>
    <w:p w14:paraId="62B7A2DD" w14:textId="5A0B15E5" w:rsidR="00975EDA" w:rsidRDefault="00975EDA" w:rsidP="00975EDA">
      <w:pPr>
        <w:jc w:val="both"/>
        <w:rPr>
          <w:rFonts w:ascii="Times New Roman" w:hAnsi="Times New Roman" w:cs="Times New Roman"/>
          <w:lang w:val="es-MX"/>
        </w:rPr>
      </w:pPr>
      <w:r>
        <w:rPr>
          <w:rFonts w:ascii="Times New Roman" w:hAnsi="Times New Roman" w:cs="Times New Roman"/>
          <w:lang w:val="es-MX"/>
        </w:rPr>
        <w:t xml:space="preserve">La carga tributaria se situó en </w:t>
      </w:r>
      <w:r w:rsidRPr="006A6ACD">
        <w:rPr>
          <w:rFonts w:ascii="Times New Roman" w:hAnsi="Times New Roman" w:cs="Times New Roman"/>
          <w:lang w:val="es-MX"/>
        </w:rPr>
        <w:t>11.</w:t>
      </w:r>
      <w:r>
        <w:rPr>
          <w:rFonts w:ascii="Times New Roman" w:hAnsi="Times New Roman" w:cs="Times New Roman"/>
          <w:lang w:val="es-MX"/>
        </w:rPr>
        <w:t>8</w:t>
      </w:r>
      <w:r w:rsidRPr="006A6ACD">
        <w:rPr>
          <w:rFonts w:ascii="Times New Roman" w:hAnsi="Times New Roman" w:cs="Times New Roman"/>
          <w:lang w:val="es-MX"/>
        </w:rPr>
        <w:t>% PIB (Q</w:t>
      </w:r>
      <w:r w:rsidRPr="00C8302D">
        <w:rPr>
          <w:rFonts w:ascii="Times New Roman" w:hAnsi="Times New Roman" w:cs="Times New Roman"/>
          <w:lang w:val="es-MX"/>
        </w:rPr>
        <w:t>94,557.</w:t>
      </w:r>
      <w:r>
        <w:rPr>
          <w:rFonts w:ascii="Times New Roman" w:hAnsi="Times New Roman" w:cs="Times New Roman"/>
          <w:lang w:val="es-MX"/>
        </w:rPr>
        <w:t xml:space="preserve">3 </w:t>
      </w:r>
      <w:r w:rsidRPr="006A6ACD">
        <w:rPr>
          <w:rFonts w:ascii="Times New Roman" w:hAnsi="Times New Roman" w:cs="Times New Roman"/>
          <w:lang w:val="es-MX"/>
        </w:rPr>
        <w:t xml:space="preserve">millones) </w:t>
      </w:r>
      <w:r>
        <w:rPr>
          <w:rFonts w:ascii="Times New Roman" w:hAnsi="Times New Roman" w:cs="Times New Roman"/>
          <w:lang w:val="es-MX"/>
        </w:rPr>
        <w:t>quedando por debajo en 0.1 puntos porcentuales de lo observado en 2022. L</w:t>
      </w:r>
      <w:r w:rsidRPr="006A6ACD">
        <w:rPr>
          <w:rFonts w:ascii="Times New Roman" w:hAnsi="Times New Roman" w:cs="Times New Roman"/>
          <w:lang w:val="es-MX"/>
        </w:rPr>
        <w:t>os</w:t>
      </w:r>
      <w:r>
        <w:rPr>
          <w:rFonts w:ascii="Times New Roman" w:hAnsi="Times New Roman" w:cs="Times New Roman"/>
          <w:lang w:val="es-MX"/>
        </w:rPr>
        <w:t xml:space="preserve"> impuestos</w:t>
      </w:r>
      <w:r w:rsidRPr="006A6ACD">
        <w:rPr>
          <w:rFonts w:ascii="Times New Roman" w:hAnsi="Times New Roman" w:cs="Times New Roman"/>
          <w:lang w:val="es-MX"/>
        </w:rPr>
        <w:t xml:space="preserve"> más destacables fueron los impuestos sobres los bienes y servicios</w:t>
      </w:r>
      <w:r w:rsidR="0089421B">
        <w:rPr>
          <w:rFonts w:ascii="Times New Roman" w:hAnsi="Times New Roman" w:cs="Times New Roman"/>
          <w:lang w:val="es-MX"/>
        </w:rPr>
        <w:t>,</w:t>
      </w:r>
      <w:r w:rsidRPr="006A6ACD">
        <w:rPr>
          <w:rFonts w:ascii="Times New Roman" w:hAnsi="Times New Roman" w:cs="Times New Roman"/>
          <w:lang w:val="es-MX"/>
        </w:rPr>
        <w:t xml:space="preserve"> que equivalen al </w:t>
      </w:r>
      <w:r>
        <w:rPr>
          <w:rFonts w:ascii="Times New Roman" w:hAnsi="Times New Roman" w:cs="Times New Roman"/>
          <w:lang w:val="es-MX"/>
        </w:rPr>
        <w:t>6.8</w:t>
      </w:r>
      <w:r w:rsidRPr="006A6ACD">
        <w:rPr>
          <w:rFonts w:ascii="Times New Roman" w:hAnsi="Times New Roman" w:cs="Times New Roman"/>
          <w:lang w:val="es-MX"/>
        </w:rPr>
        <w:t>% del PIB</w:t>
      </w:r>
      <w:r>
        <w:rPr>
          <w:rFonts w:ascii="Times New Roman" w:hAnsi="Times New Roman" w:cs="Times New Roman"/>
          <w:lang w:val="es-MX"/>
        </w:rPr>
        <w:t xml:space="preserve"> (Q</w:t>
      </w:r>
      <w:r w:rsidRPr="003F192F">
        <w:rPr>
          <w:rFonts w:ascii="Times New Roman" w:hAnsi="Times New Roman" w:cs="Times New Roman"/>
          <w:lang w:val="es-MX"/>
        </w:rPr>
        <w:t>54,146.9</w:t>
      </w:r>
      <w:r w:rsidRPr="0097117F">
        <w:rPr>
          <w:rFonts w:ascii="Times New Roman" w:hAnsi="Times New Roman" w:cs="Times New Roman"/>
          <w:lang w:val="es-MX"/>
        </w:rPr>
        <w:t xml:space="preserve"> </w:t>
      </w:r>
      <w:r>
        <w:rPr>
          <w:rFonts w:ascii="Times New Roman" w:hAnsi="Times New Roman" w:cs="Times New Roman"/>
          <w:lang w:val="es-MX"/>
        </w:rPr>
        <w:t>millones)</w:t>
      </w:r>
      <w:r w:rsidRPr="006A6ACD">
        <w:rPr>
          <w:rFonts w:ascii="Times New Roman" w:hAnsi="Times New Roman" w:cs="Times New Roman"/>
          <w:lang w:val="es-MX"/>
        </w:rPr>
        <w:t xml:space="preserve"> y los Impuestos sobre el ingreso, las utilidades y las ganancias de capital que ascienden a 4.</w:t>
      </w:r>
      <w:r>
        <w:rPr>
          <w:rFonts w:ascii="Times New Roman" w:hAnsi="Times New Roman" w:cs="Times New Roman"/>
          <w:lang w:val="es-MX"/>
        </w:rPr>
        <w:t>4</w:t>
      </w:r>
      <w:r w:rsidRPr="006A6ACD">
        <w:rPr>
          <w:rFonts w:ascii="Times New Roman" w:hAnsi="Times New Roman" w:cs="Times New Roman"/>
          <w:lang w:val="es-MX"/>
        </w:rPr>
        <w:t>% del PIB</w:t>
      </w:r>
      <w:r>
        <w:rPr>
          <w:rFonts w:ascii="Times New Roman" w:hAnsi="Times New Roman" w:cs="Times New Roman"/>
          <w:lang w:val="es-MX"/>
        </w:rPr>
        <w:t xml:space="preserve"> (Q</w:t>
      </w:r>
      <w:r w:rsidRPr="00B85E39">
        <w:rPr>
          <w:rFonts w:ascii="Times New Roman" w:hAnsi="Times New Roman" w:cs="Times New Roman"/>
          <w:lang w:val="es-MX"/>
        </w:rPr>
        <w:t>35,304.2</w:t>
      </w:r>
      <w:r w:rsidRPr="00E3337E">
        <w:rPr>
          <w:rFonts w:ascii="Times New Roman" w:hAnsi="Times New Roman" w:cs="Times New Roman"/>
          <w:lang w:val="es-MX"/>
        </w:rPr>
        <w:t xml:space="preserve"> </w:t>
      </w:r>
      <w:r>
        <w:rPr>
          <w:rFonts w:ascii="Times New Roman" w:hAnsi="Times New Roman" w:cs="Times New Roman"/>
          <w:lang w:val="es-MX"/>
        </w:rPr>
        <w:t>millones)</w:t>
      </w:r>
      <w:r w:rsidRPr="006A6ACD">
        <w:rPr>
          <w:rFonts w:ascii="Times New Roman" w:hAnsi="Times New Roman" w:cs="Times New Roman"/>
          <w:lang w:val="es-MX"/>
        </w:rPr>
        <w:t>.</w:t>
      </w:r>
    </w:p>
    <w:p w14:paraId="37DC2EC0" w14:textId="77777777" w:rsidR="00975EDA" w:rsidRPr="006A6ACD" w:rsidRDefault="00975EDA" w:rsidP="00975EDA">
      <w:pPr>
        <w:jc w:val="both"/>
        <w:rPr>
          <w:rFonts w:ascii="Times New Roman" w:hAnsi="Times New Roman" w:cs="Times New Roman"/>
          <w:lang w:val="es-MX"/>
        </w:rPr>
      </w:pPr>
    </w:p>
    <w:p w14:paraId="39EFE575" w14:textId="6D40052D" w:rsidR="00975EDA" w:rsidRDefault="00975EDA" w:rsidP="00975EDA">
      <w:pPr>
        <w:jc w:val="both"/>
        <w:rPr>
          <w:rFonts w:ascii="Times New Roman" w:hAnsi="Times New Roman" w:cs="Times New Roman"/>
          <w:lang w:val="es-MX"/>
        </w:rPr>
      </w:pPr>
      <w:r>
        <w:rPr>
          <w:rFonts w:ascii="Times New Roman" w:hAnsi="Times New Roman" w:cs="Times New Roman"/>
          <w:lang w:val="es-MX"/>
        </w:rPr>
        <w:t xml:space="preserve">En cuanto a las contribuciones sociales, </w:t>
      </w:r>
      <w:r w:rsidR="0089421B">
        <w:rPr>
          <w:rFonts w:ascii="Times New Roman" w:hAnsi="Times New Roman" w:cs="Times New Roman"/>
          <w:lang w:val="es-MX"/>
        </w:rPr>
        <w:t>é</w:t>
      </w:r>
      <w:r>
        <w:rPr>
          <w:rFonts w:ascii="Times New Roman" w:hAnsi="Times New Roman" w:cs="Times New Roman"/>
          <w:lang w:val="es-MX"/>
        </w:rPr>
        <w:t>stas se situaron en</w:t>
      </w:r>
      <w:r w:rsidR="00A72256">
        <w:rPr>
          <w:rFonts w:ascii="Times New Roman" w:hAnsi="Times New Roman" w:cs="Times New Roman"/>
          <w:lang w:val="es-MX"/>
        </w:rPr>
        <w:t xml:space="preserve"> </w:t>
      </w:r>
      <w:r>
        <w:rPr>
          <w:rFonts w:ascii="Times New Roman" w:hAnsi="Times New Roman" w:cs="Times New Roman"/>
          <w:lang w:val="es-MX"/>
        </w:rPr>
        <w:t>torno al 0.8% del PIB (Q</w:t>
      </w:r>
      <w:r w:rsidR="00ED4D2F" w:rsidRPr="00ED4D2F">
        <w:rPr>
          <w:rFonts w:ascii="Times New Roman" w:hAnsi="Times New Roman" w:cs="Times New Roman"/>
          <w:lang w:val="es-MX"/>
        </w:rPr>
        <w:t>6,276.5</w:t>
      </w:r>
      <w:r>
        <w:rPr>
          <w:rFonts w:ascii="Times New Roman" w:hAnsi="Times New Roman" w:cs="Times New Roman"/>
          <w:lang w:val="es-MX"/>
        </w:rPr>
        <w:t xml:space="preserve"> millones) teniendo leve aumento de 0.1 puntos porcentuales del PIB respecto al año previo, mientras que la categoría de otros ingresos (</w:t>
      </w:r>
      <w:r w:rsidRPr="007656C3">
        <w:rPr>
          <w:rFonts w:ascii="Times New Roman" w:hAnsi="Times New Roman" w:cs="Times New Roman"/>
          <w:lang w:val="es-MX"/>
        </w:rPr>
        <w:t xml:space="preserve">contiene ingresos captados por rentas de la propiedad, venta de bienes y servicios, </w:t>
      </w:r>
      <w:r>
        <w:rPr>
          <w:rFonts w:ascii="Times New Roman" w:hAnsi="Times New Roman" w:cs="Times New Roman"/>
          <w:lang w:val="es-MX"/>
        </w:rPr>
        <w:t>m</w:t>
      </w:r>
      <w:r w:rsidRPr="007656C3">
        <w:rPr>
          <w:rFonts w:ascii="Times New Roman" w:hAnsi="Times New Roman" w:cs="Times New Roman"/>
          <w:lang w:val="es-MX"/>
        </w:rPr>
        <w:t>ultas, sanciones pecuniarias y depósitos en caución transferidos y las transferencias no clasificadas en otra parte</w:t>
      </w:r>
      <w:r>
        <w:rPr>
          <w:rFonts w:ascii="Times New Roman" w:hAnsi="Times New Roman" w:cs="Times New Roman"/>
          <w:lang w:val="es-MX"/>
        </w:rPr>
        <w:t>)</w:t>
      </w:r>
      <w:r w:rsidRPr="007656C3">
        <w:rPr>
          <w:rFonts w:ascii="Times New Roman" w:hAnsi="Times New Roman" w:cs="Times New Roman"/>
          <w:lang w:val="es-MX"/>
        </w:rPr>
        <w:t xml:space="preserve"> </w:t>
      </w:r>
      <w:r>
        <w:rPr>
          <w:rFonts w:ascii="Times New Roman" w:hAnsi="Times New Roman" w:cs="Times New Roman"/>
          <w:lang w:val="es-MX"/>
        </w:rPr>
        <w:t xml:space="preserve">se sitúa en torno al </w:t>
      </w:r>
      <w:r w:rsidRPr="007656C3">
        <w:rPr>
          <w:rFonts w:ascii="Times New Roman" w:hAnsi="Times New Roman" w:cs="Times New Roman"/>
          <w:lang w:val="es-MX"/>
        </w:rPr>
        <w:t>0.</w:t>
      </w:r>
      <w:r>
        <w:rPr>
          <w:rFonts w:ascii="Times New Roman" w:hAnsi="Times New Roman" w:cs="Times New Roman"/>
          <w:lang w:val="es-MX"/>
        </w:rPr>
        <w:t>5</w:t>
      </w:r>
      <w:r w:rsidRPr="007656C3">
        <w:rPr>
          <w:rFonts w:ascii="Times New Roman" w:hAnsi="Times New Roman" w:cs="Times New Roman"/>
          <w:lang w:val="es-MX"/>
        </w:rPr>
        <w:t>% del PIB</w:t>
      </w:r>
      <w:r>
        <w:rPr>
          <w:rFonts w:ascii="Times New Roman" w:hAnsi="Times New Roman" w:cs="Times New Roman"/>
          <w:lang w:val="es-MX"/>
        </w:rPr>
        <w:t xml:space="preserve"> (Q</w:t>
      </w:r>
      <w:r w:rsidR="009D26D8" w:rsidRPr="009D26D8">
        <w:rPr>
          <w:rFonts w:ascii="Times New Roman" w:hAnsi="Times New Roman" w:cs="Times New Roman"/>
          <w:lang w:val="es-MX"/>
        </w:rPr>
        <w:t>4,061.8</w:t>
      </w:r>
      <w:r>
        <w:rPr>
          <w:rFonts w:ascii="Times New Roman" w:hAnsi="Times New Roman" w:cs="Times New Roman"/>
          <w:lang w:val="es-MX"/>
        </w:rPr>
        <w:t xml:space="preserve"> millones) mostrando aumento por 0.1 puntos porcentuales respecto a 2022</w:t>
      </w:r>
      <w:r w:rsidRPr="007656C3">
        <w:rPr>
          <w:rFonts w:ascii="Times New Roman" w:hAnsi="Times New Roman" w:cs="Times New Roman"/>
          <w:lang w:val="es-MX"/>
        </w:rPr>
        <w:t>.</w:t>
      </w:r>
    </w:p>
    <w:p w14:paraId="602B90A0" w14:textId="77777777" w:rsidR="00975EDA" w:rsidRDefault="00975EDA" w:rsidP="00975EDA">
      <w:pPr>
        <w:jc w:val="both"/>
        <w:rPr>
          <w:rFonts w:ascii="Times New Roman" w:hAnsi="Times New Roman" w:cs="Times New Roman"/>
          <w:lang w:val="es-MX"/>
        </w:rPr>
      </w:pPr>
    </w:p>
    <w:p w14:paraId="434285EE" w14:textId="1CBB2E16" w:rsidR="00975EDA" w:rsidRPr="004245AE" w:rsidRDefault="004245AE" w:rsidP="004245AE">
      <w:pPr>
        <w:pStyle w:val="Descripcin"/>
        <w:keepNext/>
        <w:spacing w:after="0"/>
        <w:jc w:val="center"/>
      </w:pPr>
      <w:bookmarkStart w:id="129" w:name="_Toc160196924"/>
      <w:r w:rsidRPr="004245AE">
        <w:rPr>
          <w:sz w:val="22"/>
          <w:szCs w:val="22"/>
        </w:rPr>
        <w:t xml:space="preserve">Tabla </w:t>
      </w:r>
      <w:r w:rsidRPr="004245AE">
        <w:rPr>
          <w:sz w:val="22"/>
          <w:szCs w:val="22"/>
        </w:rPr>
        <w:fldChar w:fldCharType="begin"/>
      </w:r>
      <w:r w:rsidRPr="004245AE">
        <w:rPr>
          <w:sz w:val="22"/>
          <w:szCs w:val="22"/>
        </w:rPr>
        <w:instrText xml:space="preserve"> SEQ Tabla \* ARABIC </w:instrText>
      </w:r>
      <w:r w:rsidRPr="004245AE">
        <w:rPr>
          <w:sz w:val="22"/>
          <w:szCs w:val="22"/>
        </w:rPr>
        <w:fldChar w:fldCharType="separate"/>
      </w:r>
      <w:r w:rsidR="00C015DC">
        <w:rPr>
          <w:noProof/>
          <w:sz w:val="22"/>
          <w:szCs w:val="22"/>
        </w:rPr>
        <w:t>9</w:t>
      </w:r>
      <w:r w:rsidRPr="004245AE">
        <w:rPr>
          <w:sz w:val="22"/>
          <w:szCs w:val="22"/>
        </w:rPr>
        <w:fldChar w:fldCharType="end"/>
      </w:r>
      <w:r w:rsidRPr="004245AE">
        <w:rPr>
          <w:sz w:val="22"/>
          <w:szCs w:val="22"/>
        </w:rPr>
        <w:t xml:space="preserve">.  </w:t>
      </w:r>
      <w:r w:rsidR="00975EDA" w:rsidRPr="004245AE">
        <w:rPr>
          <w:rFonts w:cs="Times New Roman"/>
          <w:bCs/>
          <w:sz w:val="22"/>
          <w:szCs w:val="22"/>
        </w:rPr>
        <w:t>Estado de operaciones del Gobierno Central Presupuestario</w:t>
      </w:r>
      <w:bookmarkEnd w:id="129"/>
    </w:p>
    <w:p w14:paraId="6A18DFCA" w14:textId="77777777" w:rsidR="00975EDA" w:rsidRPr="004245AE" w:rsidRDefault="00975EDA" w:rsidP="00975EDA">
      <w:pPr>
        <w:jc w:val="center"/>
        <w:rPr>
          <w:rFonts w:ascii="Times New Roman" w:hAnsi="Times New Roman" w:cs="Times New Roman"/>
          <w:sz w:val="22"/>
          <w:szCs w:val="22"/>
        </w:rPr>
      </w:pPr>
      <w:r w:rsidRPr="004245AE">
        <w:rPr>
          <w:rFonts w:ascii="Times New Roman" w:hAnsi="Times New Roman" w:cs="Times New Roman"/>
          <w:sz w:val="22"/>
          <w:szCs w:val="22"/>
        </w:rPr>
        <w:t>Cifras en Millones de Quetzales</w:t>
      </w:r>
    </w:p>
    <w:tbl>
      <w:tblPr>
        <w:tblW w:w="9112" w:type="dxa"/>
        <w:jc w:val="center"/>
        <w:tblCellMar>
          <w:left w:w="70" w:type="dxa"/>
          <w:right w:w="70" w:type="dxa"/>
        </w:tblCellMar>
        <w:tblLook w:val="04A0" w:firstRow="1" w:lastRow="0" w:firstColumn="1" w:lastColumn="0" w:noHBand="0" w:noVBand="1"/>
      </w:tblPr>
      <w:tblGrid>
        <w:gridCol w:w="4174"/>
        <w:gridCol w:w="1296"/>
        <w:gridCol w:w="1298"/>
        <w:gridCol w:w="1170"/>
        <w:gridCol w:w="1174"/>
      </w:tblGrid>
      <w:tr w:rsidR="00975EDA" w:rsidRPr="004A4C21" w14:paraId="64823538" w14:textId="77777777" w:rsidTr="004245AE">
        <w:trPr>
          <w:trHeight w:val="255"/>
          <w:jc w:val="center"/>
        </w:trPr>
        <w:tc>
          <w:tcPr>
            <w:tcW w:w="4174" w:type="dxa"/>
            <w:vMerge w:val="restart"/>
            <w:tcBorders>
              <w:top w:val="single" w:sz="8" w:space="0" w:color="auto"/>
              <w:left w:val="single" w:sz="8" w:space="0" w:color="auto"/>
              <w:bottom w:val="single" w:sz="8" w:space="0" w:color="000000"/>
              <w:right w:val="nil"/>
            </w:tcBorders>
            <w:shd w:val="clear" w:color="000000" w:fill="44546A"/>
            <w:noWrap/>
            <w:vAlign w:val="center"/>
            <w:hideMark/>
          </w:tcPr>
          <w:p w14:paraId="574E2A8A" w14:textId="77777777" w:rsidR="00975EDA" w:rsidRPr="004A4C21" w:rsidRDefault="00975EDA" w:rsidP="00B341EB">
            <w:pPr>
              <w:jc w:val="center"/>
              <w:rPr>
                <w:rFonts w:ascii="Times New Roman" w:eastAsia="Times New Roman" w:hAnsi="Times New Roman" w:cs="Times New Roman"/>
                <w:b/>
                <w:bCs/>
                <w:color w:val="FFFFFF"/>
                <w:sz w:val="18"/>
                <w:szCs w:val="18"/>
                <w:lang w:eastAsia="es-GT"/>
              </w:rPr>
            </w:pPr>
            <w:r w:rsidRPr="004A4C21">
              <w:rPr>
                <w:rFonts w:ascii="Times New Roman" w:eastAsia="Times New Roman" w:hAnsi="Times New Roman" w:cs="Times New Roman"/>
                <w:b/>
                <w:bCs/>
                <w:color w:val="FFFFFF"/>
                <w:sz w:val="18"/>
                <w:szCs w:val="18"/>
                <w:lang w:eastAsia="es-GT"/>
              </w:rPr>
              <w:t>Descripción</w:t>
            </w:r>
          </w:p>
        </w:tc>
        <w:tc>
          <w:tcPr>
            <w:tcW w:w="2594" w:type="dxa"/>
            <w:gridSpan w:val="2"/>
            <w:tcBorders>
              <w:top w:val="single" w:sz="8" w:space="0" w:color="auto"/>
              <w:left w:val="single" w:sz="8" w:space="0" w:color="auto"/>
              <w:bottom w:val="single" w:sz="8" w:space="0" w:color="auto"/>
              <w:right w:val="single" w:sz="8" w:space="0" w:color="000000"/>
            </w:tcBorders>
            <w:shd w:val="clear" w:color="000000" w:fill="44546A"/>
            <w:vAlign w:val="center"/>
            <w:hideMark/>
          </w:tcPr>
          <w:p w14:paraId="6CC2C805" w14:textId="77777777" w:rsidR="00975EDA" w:rsidRPr="004A4C21" w:rsidRDefault="00975EDA" w:rsidP="00B341EB">
            <w:pPr>
              <w:jc w:val="center"/>
              <w:rPr>
                <w:rFonts w:ascii="Times New Roman" w:eastAsia="Times New Roman" w:hAnsi="Times New Roman" w:cs="Times New Roman"/>
                <w:b/>
                <w:bCs/>
                <w:color w:val="FFFFFF"/>
                <w:sz w:val="18"/>
                <w:szCs w:val="18"/>
                <w:lang w:eastAsia="es-GT"/>
              </w:rPr>
            </w:pPr>
            <w:r w:rsidRPr="004A4C21">
              <w:rPr>
                <w:rFonts w:ascii="Times New Roman" w:eastAsia="Times New Roman" w:hAnsi="Times New Roman" w:cs="Times New Roman"/>
                <w:b/>
                <w:bCs/>
                <w:color w:val="FFFFFF"/>
                <w:sz w:val="18"/>
                <w:szCs w:val="18"/>
                <w:lang w:eastAsia="es-GT"/>
              </w:rPr>
              <w:t>En millones de Q</w:t>
            </w:r>
          </w:p>
        </w:tc>
        <w:tc>
          <w:tcPr>
            <w:tcW w:w="2344" w:type="dxa"/>
            <w:gridSpan w:val="2"/>
            <w:tcBorders>
              <w:top w:val="single" w:sz="8" w:space="0" w:color="auto"/>
              <w:left w:val="nil"/>
              <w:bottom w:val="single" w:sz="8" w:space="0" w:color="auto"/>
              <w:right w:val="single" w:sz="8" w:space="0" w:color="000000"/>
            </w:tcBorders>
            <w:shd w:val="clear" w:color="000000" w:fill="44546A"/>
            <w:vAlign w:val="center"/>
            <w:hideMark/>
          </w:tcPr>
          <w:p w14:paraId="07806A7F" w14:textId="77777777" w:rsidR="00975EDA" w:rsidRPr="004A4C21" w:rsidRDefault="00975EDA" w:rsidP="00B341EB">
            <w:pPr>
              <w:jc w:val="center"/>
              <w:rPr>
                <w:rFonts w:ascii="Times New Roman" w:eastAsia="Times New Roman" w:hAnsi="Times New Roman" w:cs="Times New Roman"/>
                <w:b/>
                <w:bCs/>
                <w:color w:val="FFFFFF"/>
                <w:sz w:val="18"/>
                <w:szCs w:val="18"/>
                <w:lang w:eastAsia="es-GT"/>
              </w:rPr>
            </w:pPr>
            <w:r w:rsidRPr="004A4C21">
              <w:rPr>
                <w:rFonts w:ascii="Times New Roman" w:eastAsia="Times New Roman" w:hAnsi="Times New Roman" w:cs="Times New Roman"/>
                <w:b/>
                <w:bCs/>
                <w:color w:val="FFFFFF"/>
                <w:sz w:val="18"/>
                <w:szCs w:val="18"/>
                <w:lang w:eastAsia="es-GT"/>
              </w:rPr>
              <w:t>Como porcentaje del PIB</w:t>
            </w:r>
          </w:p>
        </w:tc>
      </w:tr>
      <w:tr w:rsidR="00975EDA" w:rsidRPr="004A4C21" w14:paraId="1763DB7C" w14:textId="77777777" w:rsidTr="004245AE">
        <w:trPr>
          <w:trHeight w:val="188"/>
          <w:jc w:val="center"/>
        </w:trPr>
        <w:tc>
          <w:tcPr>
            <w:tcW w:w="4174" w:type="dxa"/>
            <w:vMerge/>
            <w:tcBorders>
              <w:top w:val="single" w:sz="8" w:space="0" w:color="auto"/>
              <w:left w:val="single" w:sz="8" w:space="0" w:color="auto"/>
              <w:bottom w:val="single" w:sz="8" w:space="0" w:color="000000"/>
              <w:right w:val="nil"/>
            </w:tcBorders>
            <w:vAlign w:val="center"/>
            <w:hideMark/>
          </w:tcPr>
          <w:p w14:paraId="72409030" w14:textId="77777777" w:rsidR="00975EDA" w:rsidRPr="004A4C21" w:rsidRDefault="00975EDA" w:rsidP="00B341EB">
            <w:pPr>
              <w:rPr>
                <w:rFonts w:ascii="Times New Roman" w:eastAsia="Times New Roman" w:hAnsi="Times New Roman" w:cs="Times New Roman"/>
                <w:b/>
                <w:bCs/>
                <w:color w:val="FFFFFF"/>
                <w:sz w:val="18"/>
                <w:szCs w:val="18"/>
                <w:lang w:eastAsia="es-GT"/>
              </w:rPr>
            </w:pPr>
          </w:p>
        </w:tc>
        <w:tc>
          <w:tcPr>
            <w:tcW w:w="1296" w:type="dxa"/>
            <w:tcBorders>
              <w:top w:val="nil"/>
              <w:left w:val="single" w:sz="8" w:space="0" w:color="auto"/>
              <w:bottom w:val="single" w:sz="8" w:space="0" w:color="auto"/>
              <w:right w:val="nil"/>
            </w:tcBorders>
            <w:shd w:val="clear" w:color="000000" w:fill="808080"/>
            <w:vAlign w:val="center"/>
            <w:hideMark/>
          </w:tcPr>
          <w:p w14:paraId="31E88264" w14:textId="77777777" w:rsidR="00975EDA" w:rsidRPr="004A4C21" w:rsidRDefault="00975EDA" w:rsidP="00B341EB">
            <w:pPr>
              <w:jc w:val="center"/>
              <w:rPr>
                <w:rFonts w:ascii="Times New Roman" w:eastAsia="Times New Roman" w:hAnsi="Times New Roman" w:cs="Times New Roman"/>
                <w:b/>
                <w:bCs/>
                <w:color w:val="FFFFFF"/>
                <w:sz w:val="18"/>
                <w:szCs w:val="18"/>
                <w:lang w:eastAsia="es-GT"/>
              </w:rPr>
            </w:pPr>
            <w:r w:rsidRPr="004A4C21">
              <w:rPr>
                <w:rFonts w:ascii="Times New Roman" w:eastAsia="Times New Roman" w:hAnsi="Times New Roman" w:cs="Times New Roman"/>
                <w:b/>
                <w:bCs/>
                <w:color w:val="FFFFFF"/>
                <w:sz w:val="18"/>
                <w:szCs w:val="18"/>
                <w:lang w:eastAsia="es-GT"/>
              </w:rPr>
              <w:t>2022</w:t>
            </w:r>
          </w:p>
        </w:tc>
        <w:tc>
          <w:tcPr>
            <w:tcW w:w="1297" w:type="dxa"/>
            <w:tcBorders>
              <w:top w:val="nil"/>
              <w:left w:val="nil"/>
              <w:bottom w:val="single" w:sz="8" w:space="0" w:color="auto"/>
              <w:right w:val="single" w:sz="8" w:space="0" w:color="auto"/>
            </w:tcBorders>
            <w:shd w:val="clear" w:color="000000" w:fill="808080"/>
            <w:vAlign w:val="center"/>
            <w:hideMark/>
          </w:tcPr>
          <w:p w14:paraId="3FDF0108" w14:textId="77777777" w:rsidR="00975EDA" w:rsidRPr="004A4C21" w:rsidRDefault="00975EDA" w:rsidP="00B341EB">
            <w:pPr>
              <w:jc w:val="center"/>
              <w:rPr>
                <w:rFonts w:ascii="Times New Roman" w:eastAsia="Times New Roman" w:hAnsi="Times New Roman" w:cs="Times New Roman"/>
                <w:b/>
                <w:bCs/>
                <w:color w:val="FFFFFF"/>
                <w:sz w:val="18"/>
                <w:szCs w:val="18"/>
                <w:lang w:eastAsia="es-GT"/>
              </w:rPr>
            </w:pPr>
            <w:r w:rsidRPr="004A4C21">
              <w:rPr>
                <w:rFonts w:ascii="Times New Roman" w:eastAsia="Times New Roman" w:hAnsi="Times New Roman" w:cs="Times New Roman"/>
                <w:b/>
                <w:bCs/>
                <w:color w:val="FFFFFF"/>
                <w:sz w:val="18"/>
                <w:szCs w:val="18"/>
                <w:lang w:eastAsia="es-GT"/>
              </w:rPr>
              <w:t>2023*</w:t>
            </w:r>
          </w:p>
        </w:tc>
        <w:tc>
          <w:tcPr>
            <w:tcW w:w="1170" w:type="dxa"/>
            <w:tcBorders>
              <w:top w:val="nil"/>
              <w:left w:val="nil"/>
              <w:bottom w:val="single" w:sz="8" w:space="0" w:color="auto"/>
              <w:right w:val="nil"/>
            </w:tcBorders>
            <w:shd w:val="clear" w:color="000000" w:fill="808080"/>
            <w:vAlign w:val="center"/>
            <w:hideMark/>
          </w:tcPr>
          <w:p w14:paraId="69376D6A" w14:textId="77777777" w:rsidR="00975EDA" w:rsidRPr="004A4C21" w:rsidRDefault="00975EDA" w:rsidP="00B341EB">
            <w:pPr>
              <w:jc w:val="center"/>
              <w:rPr>
                <w:rFonts w:ascii="Times New Roman" w:eastAsia="Times New Roman" w:hAnsi="Times New Roman" w:cs="Times New Roman"/>
                <w:b/>
                <w:bCs/>
                <w:color w:val="FFFFFF"/>
                <w:sz w:val="18"/>
                <w:szCs w:val="18"/>
                <w:lang w:eastAsia="es-GT"/>
              </w:rPr>
            </w:pPr>
            <w:r w:rsidRPr="004A4C21">
              <w:rPr>
                <w:rFonts w:ascii="Times New Roman" w:eastAsia="Times New Roman" w:hAnsi="Times New Roman" w:cs="Times New Roman"/>
                <w:b/>
                <w:bCs/>
                <w:color w:val="FFFFFF"/>
                <w:sz w:val="18"/>
                <w:szCs w:val="18"/>
                <w:lang w:eastAsia="es-GT"/>
              </w:rPr>
              <w:t>2022</w:t>
            </w:r>
          </w:p>
        </w:tc>
        <w:tc>
          <w:tcPr>
            <w:tcW w:w="1173" w:type="dxa"/>
            <w:tcBorders>
              <w:top w:val="nil"/>
              <w:left w:val="nil"/>
              <w:bottom w:val="single" w:sz="8" w:space="0" w:color="auto"/>
              <w:right w:val="single" w:sz="8" w:space="0" w:color="auto"/>
            </w:tcBorders>
            <w:shd w:val="clear" w:color="000000" w:fill="808080"/>
            <w:vAlign w:val="center"/>
            <w:hideMark/>
          </w:tcPr>
          <w:p w14:paraId="0E6D6FBA" w14:textId="77777777" w:rsidR="00975EDA" w:rsidRPr="004A4C21" w:rsidRDefault="00975EDA" w:rsidP="00B341EB">
            <w:pPr>
              <w:jc w:val="center"/>
              <w:rPr>
                <w:rFonts w:ascii="Times New Roman" w:eastAsia="Times New Roman" w:hAnsi="Times New Roman" w:cs="Times New Roman"/>
                <w:b/>
                <w:bCs/>
                <w:color w:val="FFFFFF"/>
                <w:sz w:val="18"/>
                <w:szCs w:val="18"/>
                <w:lang w:eastAsia="es-GT"/>
              </w:rPr>
            </w:pPr>
            <w:r w:rsidRPr="004A4C21">
              <w:rPr>
                <w:rFonts w:ascii="Times New Roman" w:eastAsia="Times New Roman" w:hAnsi="Times New Roman" w:cs="Times New Roman"/>
                <w:b/>
                <w:bCs/>
                <w:color w:val="FFFFFF"/>
                <w:sz w:val="18"/>
                <w:szCs w:val="18"/>
                <w:lang w:eastAsia="es-GT"/>
              </w:rPr>
              <w:t>2023*</w:t>
            </w:r>
          </w:p>
        </w:tc>
      </w:tr>
      <w:tr w:rsidR="00DC2C33" w:rsidRPr="004A4C21" w14:paraId="694C69A3" w14:textId="77777777" w:rsidTr="004245AE">
        <w:trPr>
          <w:trHeight w:val="188"/>
          <w:jc w:val="center"/>
        </w:trPr>
        <w:tc>
          <w:tcPr>
            <w:tcW w:w="4174" w:type="dxa"/>
            <w:tcBorders>
              <w:top w:val="nil"/>
              <w:left w:val="nil"/>
              <w:bottom w:val="nil"/>
              <w:right w:val="nil"/>
            </w:tcBorders>
            <w:shd w:val="clear" w:color="auto" w:fill="auto"/>
            <w:noWrap/>
            <w:vAlign w:val="center"/>
            <w:hideMark/>
          </w:tcPr>
          <w:p w14:paraId="6CE7DE44" w14:textId="77777777" w:rsidR="00DC2C33" w:rsidRPr="004A4C21" w:rsidRDefault="00DC2C33" w:rsidP="00DC2C33">
            <w:pPr>
              <w:jc w:val="both"/>
              <w:rPr>
                <w:rFonts w:ascii="Times New Roman" w:eastAsia="Times New Roman" w:hAnsi="Times New Roman" w:cs="Times New Roman"/>
                <w:b/>
                <w:bCs/>
                <w:color w:val="000000"/>
                <w:sz w:val="18"/>
                <w:szCs w:val="18"/>
                <w:lang w:eastAsia="es-GT"/>
              </w:rPr>
            </w:pPr>
            <w:r w:rsidRPr="004A4C21">
              <w:rPr>
                <w:rFonts w:ascii="Times New Roman" w:eastAsia="Times New Roman" w:hAnsi="Times New Roman" w:cs="Times New Roman"/>
                <w:b/>
                <w:bCs/>
                <w:color w:val="000000"/>
                <w:sz w:val="18"/>
                <w:szCs w:val="18"/>
                <w:lang w:eastAsia="es-GT"/>
              </w:rPr>
              <w:t>INGRESO</w:t>
            </w:r>
          </w:p>
        </w:tc>
        <w:tc>
          <w:tcPr>
            <w:tcW w:w="1296" w:type="dxa"/>
            <w:tcBorders>
              <w:top w:val="nil"/>
              <w:left w:val="nil"/>
              <w:bottom w:val="nil"/>
              <w:right w:val="nil"/>
            </w:tcBorders>
            <w:shd w:val="clear" w:color="auto" w:fill="auto"/>
            <w:noWrap/>
            <w:vAlign w:val="center"/>
            <w:hideMark/>
          </w:tcPr>
          <w:p w14:paraId="1646B5B7" w14:textId="2F41DD99" w:rsidR="00DC2C33" w:rsidRPr="004A4C21" w:rsidRDefault="00DC2C33" w:rsidP="00DC2C33">
            <w:pPr>
              <w:jc w:val="center"/>
              <w:rPr>
                <w:rFonts w:ascii="Times New Roman" w:eastAsia="Times New Roman" w:hAnsi="Times New Roman" w:cs="Times New Roman"/>
                <w:b/>
                <w:bCs/>
                <w:color w:val="000000"/>
                <w:sz w:val="18"/>
                <w:szCs w:val="18"/>
                <w:lang w:eastAsia="es-GT"/>
              </w:rPr>
            </w:pPr>
            <w:r w:rsidRPr="004A4C21">
              <w:rPr>
                <w:rFonts w:ascii="Times New Roman" w:hAnsi="Times New Roman" w:cs="Times New Roman"/>
                <w:b/>
                <w:bCs/>
                <w:color w:val="000000"/>
                <w:sz w:val="18"/>
                <w:szCs w:val="18"/>
              </w:rPr>
              <w:t>95,663.9</w:t>
            </w:r>
          </w:p>
        </w:tc>
        <w:tc>
          <w:tcPr>
            <w:tcW w:w="1297" w:type="dxa"/>
            <w:tcBorders>
              <w:top w:val="nil"/>
              <w:left w:val="nil"/>
              <w:bottom w:val="nil"/>
              <w:right w:val="nil"/>
            </w:tcBorders>
            <w:shd w:val="clear" w:color="auto" w:fill="auto"/>
            <w:noWrap/>
            <w:vAlign w:val="center"/>
            <w:hideMark/>
          </w:tcPr>
          <w:p w14:paraId="31B5ED3F" w14:textId="642CB4EA" w:rsidR="00DC2C33" w:rsidRPr="004A4C21" w:rsidRDefault="00DC2C33" w:rsidP="00DC2C33">
            <w:pPr>
              <w:jc w:val="center"/>
              <w:rPr>
                <w:rFonts w:ascii="Times New Roman" w:eastAsia="Times New Roman" w:hAnsi="Times New Roman" w:cs="Times New Roman"/>
                <w:b/>
                <w:bCs/>
                <w:color w:val="000000"/>
                <w:sz w:val="18"/>
                <w:szCs w:val="18"/>
                <w:lang w:eastAsia="es-GT"/>
              </w:rPr>
            </w:pPr>
            <w:r w:rsidRPr="004A4C21">
              <w:rPr>
                <w:rFonts w:ascii="Times New Roman" w:hAnsi="Times New Roman" w:cs="Times New Roman"/>
                <w:b/>
                <w:bCs/>
                <w:color w:val="000000"/>
                <w:sz w:val="18"/>
                <w:szCs w:val="18"/>
              </w:rPr>
              <w:t>104,959.1</w:t>
            </w:r>
          </w:p>
        </w:tc>
        <w:tc>
          <w:tcPr>
            <w:tcW w:w="1170" w:type="dxa"/>
            <w:tcBorders>
              <w:top w:val="nil"/>
              <w:left w:val="dotDash" w:sz="4" w:space="0" w:color="auto"/>
              <w:bottom w:val="nil"/>
              <w:right w:val="nil"/>
            </w:tcBorders>
            <w:shd w:val="clear" w:color="auto" w:fill="auto"/>
            <w:noWrap/>
            <w:vAlign w:val="center"/>
            <w:hideMark/>
          </w:tcPr>
          <w:p w14:paraId="2B5B5378" w14:textId="0E23376D" w:rsidR="00DC2C33" w:rsidRPr="004A4C21" w:rsidRDefault="00DC2C33" w:rsidP="00DC2C33">
            <w:pPr>
              <w:jc w:val="center"/>
              <w:rPr>
                <w:rFonts w:ascii="Times New Roman" w:eastAsia="Times New Roman" w:hAnsi="Times New Roman" w:cs="Times New Roman"/>
                <w:b/>
                <w:bCs/>
                <w:color w:val="000000"/>
                <w:sz w:val="18"/>
                <w:szCs w:val="18"/>
                <w:lang w:eastAsia="es-GT"/>
              </w:rPr>
            </w:pPr>
            <w:r w:rsidRPr="004A4C21">
              <w:rPr>
                <w:rFonts w:ascii="Times New Roman" w:hAnsi="Times New Roman" w:cs="Times New Roman"/>
                <w:b/>
                <w:bCs/>
                <w:color w:val="000000"/>
                <w:sz w:val="18"/>
                <w:szCs w:val="18"/>
              </w:rPr>
              <w:t>13.0</w:t>
            </w:r>
          </w:p>
        </w:tc>
        <w:tc>
          <w:tcPr>
            <w:tcW w:w="1173" w:type="dxa"/>
            <w:tcBorders>
              <w:top w:val="nil"/>
              <w:left w:val="nil"/>
              <w:bottom w:val="nil"/>
              <w:right w:val="nil"/>
            </w:tcBorders>
            <w:shd w:val="clear" w:color="auto" w:fill="auto"/>
            <w:noWrap/>
            <w:vAlign w:val="center"/>
            <w:hideMark/>
          </w:tcPr>
          <w:p w14:paraId="699DE44E" w14:textId="68F35EE3" w:rsidR="00DC2C33" w:rsidRPr="004A4C21" w:rsidRDefault="00DC2C33" w:rsidP="00DC2C33">
            <w:pPr>
              <w:jc w:val="center"/>
              <w:rPr>
                <w:rFonts w:ascii="Times New Roman" w:eastAsia="Times New Roman" w:hAnsi="Times New Roman" w:cs="Times New Roman"/>
                <w:b/>
                <w:bCs/>
                <w:color w:val="000000"/>
                <w:sz w:val="18"/>
                <w:szCs w:val="18"/>
                <w:lang w:eastAsia="es-GT"/>
              </w:rPr>
            </w:pPr>
            <w:r w:rsidRPr="004A4C21">
              <w:rPr>
                <w:rFonts w:ascii="Times New Roman" w:hAnsi="Times New Roman" w:cs="Times New Roman"/>
                <w:b/>
                <w:bCs/>
                <w:color w:val="000000"/>
                <w:sz w:val="18"/>
                <w:szCs w:val="18"/>
              </w:rPr>
              <w:t>13.1</w:t>
            </w:r>
          </w:p>
        </w:tc>
      </w:tr>
      <w:tr w:rsidR="00DC2C33" w:rsidRPr="004A4C21" w14:paraId="47DB0C2A" w14:textId="77777777" w:rsidTr="004245AE">
        <w:trPr>
          <w:trHeight w:val="188"/>
          <w:jc w:val="center"/>
        </w:trPr>
        <w:tc>
          <w:tcPr>
            <w:tcW w:w="4174" w:type="dxa"/>
            <w:tcBorders>
              <w:top w:val="nil"/>
              <w:left w:val="nil"/>
              <w:bottom w:val="nil"/>
              <w:right w:val="nil"/>
            </w:tcBorders>
            <w:shd w:val="clear" w:color="auto" w:fill="auto"/>
            <w:noWrap/>
            <w:vAlign w:val="center"/>
            <w:hideMark/>
          </w:tcPr>
          <w:p w14:paraId="337D823C" w14:textId="77777777" w:rsidR="00DC2C33" w:rsidRPr="004A4C21" w:rsidRDefault="00DC2C33" w:rsidP="00DC2C33">
            <w:pPr>
              <w:ind w:firstLineChars="100" w:firstLine="180"/>
              <w:rPr>
                <w:rFonts w:ascii="Times New Roman" w:eastAsia="Times New Roman" w:hAnsi="Times New Roman" w:cs="Times New Roman"/>
                <w:color w:val="000000"/>
                <w:sz w:val="18"/>
                <w:szCs w:val="18"/>
                <w:lang w:eastAsia="es-GT"/>
              </w:rPr>
            </w:pPr>
            <w:r w:rsidRPr="004A4C21">
              <w:rPr>
                <w:rFonts w:ascii="Times New Roman" w:eastAsia="Times New Roman" w:hAnsi="Times New Roman" w:cs="Times New Roman"/>
                <w:color w:val="000000"/>
                <w:sz w:val="18"/>
                <w:szCs w:val="18"/>
                <w:lang w:eastAsia="es-GT"/>
              </w:rPr>
              <w:t>Impuestos</w:t>
            </w:r>
          </w:p>
        </w:tc>
        <w:tc>
          <w:tcPr>
            <w:tcW w:w="1296" w:type="dxa"/>
            <w:tcBorders>
              <w:top w:val="nil"/>
              <w:left w:val="nil"/>
              <w:bottom w:val="nil"/>
              <w:right w:val="nil"/>
            </w:tcBorders>
            <w:shd w:val="clear" w:color="auto" w:fill="auto"/>
            <w:noWrap/>
            <w:vAlign w:val="center"/>
            <w:hideMark/>
          </w:tcPr>
          <w:p w14:paraId="70FA007A" w14:textId="296AC985" w:rsidR="00DC2C33" w:rsidRPr="004A4C21" w:rsidRDefault="00DC2C33" w:rsidP="00DC2C33">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87,584.0</w:t>
            </w:r>
          </w:p>
        </w:tc>
        <w:tc>
          <w:tcPr>
            <w:tcW w:w="1297" w:type="dxa"/>
            <w:tcBorders>
              <w:top w:val="nil"/>
              <w:left w:val="nil"/>
              <w:bottom w:val="nil"/>
              <w:right w:val="nil"/>
            </w:tcBorders>
            <w:shd w:val="clear" w:color="auto" w:fill="auto"/>
            <w:noWrap/>
            <w:vAlign w:val="center"/>
            <w:hideMark/>
          </w:tcPr>
          <w:p w14:paraId="41F12981" w14:textId="261C06E1" w:rsidR="00DC2C33" w:rsidRPr="004A4C21" w:rsidRDefault="00DC2C33" w:rsidP="00DC2C33">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94,557.3</w:t>
            </w:r>
          </w:p>
        </w:tc>
        <w:tc>
          <w:tcPr>
            <w:tcW w:w="1170" w:type="dxa"/>
            <w:tcBorders>
              <w:top w:val="nil"/>
              <w:left w:val="dotDash" w:sz="4" w:space="0" w:color="auto"/>
              <w:bottom w:val="nil"/>
              <w:right w:val="nil"/>
            </w:tcBorders>
            <w:shd w:val="clear" w:color="auto" w:fill="auto"/>
            <w:noWrap/>
            <w:vAlign w:val="center"/>
            <w:hideMark/>
          </w:tcPr>
          <w:p w14:paraId="5BD203F7" w14:textId="75932C88" w:rsidR="00DC2C33" w:rsidRPr="004A4C21" w:rsidRDefault="00DC2C33" w:rsidP="00DC2C33">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11.9</w:t>
            </w:r>
          </w:p>
        </w:tc>
        <w:tc>
          <w:tcPr>
            <w:tcW w:w="1173" w:type="dxa"/>
            <w:tcBorders>
              <w:top w:val="nil"/>
              <w:left w:val="nil"/>
              <w:bottom w:val="nil"/>
              <w:right w:val="nil"/>
            </w:tcBorders>
            <w:shd w:val="clear" w:color="auto" w:fill="auto"/>
            <w:noWrap/>
            <w:vAlign w:val="center"/>
            <w:hideMark/>
          </w:tcPr>
          <w:p w14:paraId="22EF0D39" w14:textId="330975AF" w:rsidR="00DC2C33" w:rsidRPr="004A4C21" w:rsidRDefault="00DC2C33" w:rsidP="00DC2C33">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11.8</w:t>
            </w:r>
          </w:p>
        </w:tc>
      </w:tr>
      <w:tr w:rsidR="00DC2C33" w:rsidRPr="004A4C21" w14:paraId="17288716" w14:textId="77777777" w:rsidTr="004245AE">
        <w:trPr>
          <w:trHeight w:val="188"/>
          <w:jc w:val="center"/>
        </w:trPr>
        <w:tc>
          <w:tcPr>
            <w:tcW w:w="4174" w:type="dxa"/>
            <w:tcBorders>
              <w:top w:val="nil"/>
              <w:left w:val="nil"/>
              <w:bottom w:val="nil"/>
              <w:right w:val="nil"/>
            </w:tcBorders>
            <w:shd w:val="clear" w:color="auto" w:fill="auto"/>
            <w:noWrap/>
            <w:vAlign w:val="center"/>
            <w:hideMark/>
          </w:tcPr>
          <w:p w14:paraId="396E7389" w14:textId="77777777" w:rsidR="00DC2C33" w:rsidRPr="004A4C21" w:rsidRDefault="00DC2C33" w:rsidP="00DC2C33">
            <w:pPr>
              <w:ind w:firstLineChars="100" w:firstLine="180"/>
              <w:rPr>
                <w:rFonts w:ascii="Times New Roman" w:eastAsia="Times New Roman" w:hAnsi="Times New Roman" w:cs="Times New Roman"/>
                <w:color w:val="000000"/>
                <w:sz w:val="18"/>
                <w:szCs w:val="18"/>
                <w:lang w:eastAsia="es-GT"/>
              </w:rPr>
            </w:pPr>
            <w:r w:rsidRPr="004A4C21">
              <w:rPr>
                <w:rFonts w:ascii="Times New Roman" w:eastAsia="Times New Roman" w:hAnsi="Times New Roman" w:cs="Times New Roman"/>
                <w:color w:val="000000"/>
                <w:sz w:val="18"/>
                <w:szCs w:val="18"/>
                <w:lang w:eastAsia="es-GT"/>
              </w:rPr>
              <w:t xml:space="preserve">Contribuciones sociales </w:t>
            </w:r>
          </w:p>
        </w:tc>
        <w:tc>
          <w:tcPr>
            <w:tcW w:w="1296" w:type="dxa"/>
            <w:tcBorders>
              <w:top w:val="nil"/>
              <w:left w:val="nil"/>
              <w:bottom w:val="nil"/>
              <w:right w:val="nil"/>
            </w:tcBorders>
            <w:shd w:val="clear" w:color="auto" w:fill="auto"/>
            <w:noWrap/>
            <w:vAlign w:val="center"/>
            <w:hideMark/>
          </w:tcPr>
          <w:p w14:paraId="5D532529" w14:textId="1A1A4448" w:rsidR="00DC2C33" w:rsidRPr="004A4C21" w:rsidRDefault="00DC2C33" w:rsidP="00DC2C33">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5,181.1</w:t>
            </w:r>
          </w:p>
        </w:tc>
        <w:tc>
          <w:tcPr>
            <w:tcW w:w="1297" w:type="dxa"/>
            <w:tcBorders>
              <w:top w:val="nil"/>
              <w:left w:val="nil"/>
              <w:bottom w:val="nil"/>
              <w:right w:val="nil"/>
            </w:tcBorders>
            <w:shd w:val="clear" w:color="auto" w:fill="auto"/>
            <w:noWrap/>
            <w:vAlign w:val="center"/>
            <w:hideMark/>
          </w:tcPr>
          <w:p w14:paraId="59C5804B" w14:textId="119E1C88" w:rsidR="00DC2C33" w:rsidRPr="004A4C21" w:rsidRDefault="00DC2C33" w:rsidP="00DC2C33">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6,276.5</w:t>
            </w:r>
          </w:p>
        </w:tc>
        <w:tc>
          <w:tcPr>
            <w:tcW w:w="1170" w:type="dxa"/>
            <w:tcBorders>
              <w:top w:val="nil"/>
              <w:left w:val="dotDash" w:sz="4" w:space="0" w:color="auto"/>
              <w:bottom w:val="nil"/>
              <w:right w:val="nil"/>
            </w:tcBorders>
            <w:shd w:val="clear" w:color="auto" w:fill="auto"/>
            <w:noWrap/>
            <w:vAlign w:val="center"/>
            <w:hideMark/>
          </w:tcPr>
          <w:p w14:paraId="08D79464" w14:textId="529EF3E9" w:rsidR="00DC2C33" w:rsidRPr="004A4C21" w:rsidRDefault="00DC2C33" w:rsidP="00DC2C33">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0.7</w:t>
            </w:r>
          </w:p>
        </w:tc>
        <w:tc>
          <w:tcPr>
            <w:tcW w:w="1173" w:type="dxa"/>
            <w:tcBorders>
              <w:top w:val="nil"/>
              <w:left w:val="nil"/>
              <w:bottom w:val="nil"/>
              <w:right w:val="nil"/>
            </w:tcBorders>
            <w:shd w:val="clear" w:color="auto" w:fill="auto"/>
            <w:noWrap/>
            <w:vAlign w:val="center"/>
            <w:hideMark/>
          </w:tcPr>
          <w:p w14:paraId="51647D52" w14:textId="1A3DC945" w:rsidR="00DC2C33" w:rsidRPr="004A4C21" w:rsidRDefault="00DC2C33" w:rsidP="00DC2C33">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0.8</w:t>
            </w:r>
          </w:p>
        </w:tc>
      </w:tr>
      <w:tr w:rsidR="00DC2C33" w:rsidRPr="004A4C21" w14:paraId="28B3E87C" w14:textId="77777777" w:rsidTr="004245AE">
        <w:trPr>
          <w:trHeight w:val="188"/>
          <w:jc w:val="center"/>
        </w:trPr>
        <w:tc>
          <w:tcPr>
            <w:tcW w:w="4174" w:type="dxa"/>
            <w:tcBorders>
              <w:top w:val="nil"/>
              <w:left w:val="nil"/>
              <w:bottom w:val="nil"/>
              <w:right w:val="nil"/>
            </w:tcBorders>
            <w:shd w:val="clear" w:color="auto" w:fill="auto"/>
            <w:noWrap/>
            <w:vAlign w:val="center"/>
            <w:hideMark/>
          </w:tcPr>
          <w:p w14:paraId="08D317BC" w14:textId="77777777" w:rsidR="00DC2C33" w:rsidRPr="004A4C21" w:rsidRDefault="00DC2C33" w:rsidP="00DC2C33">
            <w:pPr>
              <w:ind w:firstLineChars="100" w:firstLine="180"/>
              <w:rPr>
                <w:rFonts w:ascii="Times New Roman" w:eastAsia="Times New Roman" w:hAnsi="Times New Roman" w:cs="Times New Roman"/>
                <w:color w:val="000000"/>
                <w:sz w:val="18"/>
                <w:szCs w:val="18"/>
                <w:lang w:eastAsia="es-GT"/>
              </w:rPr>
            </w:pPr>
            <w:r w:rsidRPr="004A4C21">
              <w:rPr>
                <w:rFonts w:ascii="Times New Roman" w:eastAsia="Times New Roman" w:hAnsi="Times New Roman" w:cs="Times New Roman"/>
                <w:color w:val="000000"/>
                <w:sz w:val="18"/>
                <w:szCs w:val="18"/>
                <w:lang w:eastAsia="es-GT"/>
              </w:rPr>
              <w:t>Donaciones</w:t>
            </w:r>
          </w:p>
        </w:tc>
        <w:tc>
          <w:tcPr>
            <w:tcW w:w="1296" w:type="dxa"/>
            <w:tcBorders>
              <w:top w:val="nil"/>
              <w:left w:val="nil"/>
              <w:bottom w:val="nil"/>
              <w:right w:val="nil"/>
            </w:tcBorders>
            <w:shd w:val="clear" w:color="auto" w:fill="auto"/>
            <w:noWrap/>
            <w:vAlign w:val="center"/>
            <w:hideMark/>
          </w:tcPr>
          <w:p w14:paraId="25423860" w14:textId="0EEF41A2" w:rsidR="00DC2C33" w:rsidRPr="004A4C21" w:rsidRDefault="00DC2C33" w:rsidP="00DC2C33">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114.9</w:t>
            </w:r>
          </w:p>
        </w:tc>
        <w:tc>
          <w:tcPr>
            <w:tcW w:w="1297" w:type="dxa"/>
            <w:tcBorders>
              <w:top w:val="nil"/>
              <w:left w:val="nil"/>
              <w:bottom w:val="nil"/>
              <w:right w:val="nil"/>
            </w:tcBorders>
            <w:shd w:val="clear" w:color="auto" w:fill="auto"/>
            <w:noWrap/>
            <w:vAlign w:val="center"/>
            <w:hideMark/>
          </w:tcPr>
          <w:p w14:paraId="787993BD" w14:textId="52FF2638" w:rsidR="00DC2C33" w:rsidRPr="004A4C21" w:rsidRDefault="00DC2C33" w:rsidP="00DC2C33">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63.4</w:t>
            </w:r>
          </w:p>
        </w:tc>
        <w:tc>
          <w:tcPr>
            <w:tcW w:w="1170" w:type="dxa"/>
            <w:tcBorders>
              <w:top w:val="nil"/>
              <w:left w:val="dotDash" w:sz="4" w:space="0" w:color="auto"/>
              <w:bottom w:val="nil"/>
              <w:right w:val="nil"/>
            </w:tcBorders>
            <w:shd w:val="clear" w:color="auto" w:fill="auto"/>
            <w:noWrap/>
            <w:vAlign w:val="center"/>
            <w:hideMark/>
          </w:tcPr>
          <w:p w14:paraId="6B25A3D5" w14:textId="7BF4FDA8" w:rsidR="00DC2C33" w:rsidRPr="004A4C21" w:rsidRDefault="00DC2C33" w:rsidP="00DC2C33">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0.0</w:t>
            </w:r>
          </w:p>
        </w:tc>
        <w:tc>
          <w:tcPr>
            <w:tcW w:w="1173" w:type="dxa"/>
            <w:tcBorders>
              <w:top w:val="nil"/>
              <w:left w:val="nil"/>
              <w:bottom w:val="nil"/>
              <w:right w:val="nil"/>
            </w:tcBorders>
            <w:shd w:val="clear" w:color="auto" w:fill="auto"/>
            <w:noWrap/>
            <w:vAlign w:val="center"/>
            <w:hideMark/>
          </w:tcPr>
          <w:p w14:paraId="1E0B0B0E" w14:textId="182D48E4" w:rsidR="00DC2C33" w:rsidRPr="004A4C21" w:rsidRDefault="00DC2C33" w:rsidP="00DC2C33">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0.0</w:t>
            </w:r>
          </w:p>
        </w:tc>
      </w:tr>
      <w:tr w:rsidR="00DC2C33" w:rsidRPr="004A4C21" w14:paraId="2E6D78B6" w14:textId="77777777" w:rsidTr="004245AE">
        <w:trPr>
          <w:trHeight w:val="188"/>
          <w:jc w:val="center"/>
        </w:trPr>
        <w:tc>
          <w:tcPr>
            <w:tcW w:w="4174" w:type="dxa"/>
            <w:tcBorders>
              <w:top w:val="nil"/>
              <w:left w:val="nil"/>
              <w:bottom w:val="nil"/>
              <w:right w:val="nil"/>
            </w:tcBorders>
            <w:shd w:val="clear" w:color="auto" w:fill="auto"/>
            <w:noWrap/>
            <w:vAlign w:val="center"/>
            <w:hideMark/>
          </w:tcPr>
          <w:p w14:paraId="18EAB311" w14:textId="77777777" w:rsidR="00DC2C33" w:rsidRPr="004A4C21" w:rsidRDefault="00DC2C33" w:rsidP="00DC2C33">
            <w:pPr>
              <w:ind w:firstLineChars="100" w:firstLine="180"/>
              <w:rPr>
                <w:rFonts w:ascii="Times New Roman" w:eastAsia="Times New Roman" w:hAnsi="Times New Roman" w:cs="Times New Roman"/>
                <w:color w:val="000000"/>
                <w:sz w:val="18"/>
                <w:szCs w:val="18"/>
                <w:lang w:eastAsia="es-GT"/>
              </w:rPr>
            </w:pPr>
            <w:r w:rsidRPr="004A4C21">
              <w:rPr>
                <w:rFonts w:ascii="Times New Roman" w:eastAsia="Times New Roman" w:hAnsi="Times New Roman" w:cs="Times New Roman"/>
                <w:color w:val="000000"/>
                <w:sz w:val="18"/>
                <w:szCs w:val="18"/>
                <w:lang w:eastAsia="es-GT"/>
              </w:rPr>
              <w:t xml:space="preserve">Otros ingresos </w:t>
            </w:r>
          </w:p>
        </w:tc>
        <w:tc>
          <w:tcPr>
            <w:tcW w:w="1296" w:type="dxa"/>
            <w:tcBorders>
              <w:top w:val="nil"/>
              <w:left w:val="nil"/>
              <w:bottom w:val="nil"/>
              <w:right w:val="nil"/>
            </w:tcBorders>
            <w:shd w:val="clear" w:color="auto" w:fill="auto"/>
            <w:noWrap/>
            <w:vAlign w:val="center"/>
            <w:hideMark/>
          </w:tcPr>
          <w:p w14:paraId="7EE45ABB" w14:textId="13864778" w:rsidR="00DC2C33" w:rsidRPr="004A4C21" w:rsidRDefault="00DC2C33" w:rsidP="00DC2C33">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2,784.0</w:t>
            </w:r>
          </w:p>
        </w:tc>
        <w:tc>
          <w:tcPr>
            <w:tcW w:w="1297" w:type="dxa"/>
            <w:tcBorders>
              <w:top w:val="nil"/>
              <w:left w:val="nil"/>
              <w:bottom w:val="nil"/>
              <w:right w:val="nil"/>
            </w:tcBorders>
            <w:shd w:val="clear" w:color="auto" w:fill="auto"/>
            <w:noWrap/>
            <w:vAlign w:val="center"/>
            <w:hideMark/>
          </w:tcPr>
          <w:p w14:paraId="1979A3AF" w14:textId="716B58C4" w:rsidR="00DC2C33" w:rsidRPr="004A4C21" w:rsidRDefault="00DC2C33" w:rsidP="00DC2C33">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4,061.8</w:t>
            </w:r>
          </w:p>
        </w:tc>
        <w:tc>
          <w:tcPr>
            <w:tcW w:w="1170" w:type="dxa"/>
            <w:tcBorders>
              <w:top w:val="nil"/>
              <w:left w:val="dotDash" w:sz="4" w:space="0" w:color="auto"/>
              <w:bottom w:val="nil"/>
              <w:right w:val="nil"/>
            </w:tcBorders>
            <w:shd w:val="clear" w:color="auto" w:fill="auto"/>
            <w:noWrap/>
            <w:vAlign w:val="center"/>
            <w:hideMark/>
          </w:tcPr>
          <w:p w14:paraId="6A892BD7" w14:textId="384CB8E5" w:rsidR="00DC2C33" w:rsidRPr="004A4C21" w:rsidRDefault="00DC2C33" w:rsidP="00DC2C33">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0.4</w:t>
            </w:r>
          </w:p>
        </w:tc>
        <w:tc>
          <w:tcPr>
            <w:tcW w:w="1173" w:type="dxa"/>
            <w:tcBorders>
              <w:top w:val="nil"/>
              <w:left w:val="nil"/>
              <w:bottom w:val="nil"/>
              <w:right w:val="nil"/>
            </w:tcBorders>
            <w:shd w:val="clear" w:color="auto" w:fill="auto"/>
            <w:noWrap/>
            <w:vAlign w:val="center"/>
            <w:hideMark/>
          </w:tcPr>
          <w:p w14:paraId="2B63CAF2" w14:textId="182EE38B" w:rsidR="00DC2C33" w:rsidRPr="004A4C21" w:rsidRDefault="00DC2C33" w:rsidP="00DC2C33">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0.5</w:t>
            </w:r>
          </w:p>
        </w:tc>
      </w:tr>
      <w:tr w:rsidR="00DC2C33" w:rsidRPr="004A4C21" w14:paraId="25FAA372" w14:textId="77777777" w:rsidTr="004245AE">
        <w:trPr>
          <w:trHeight w:val="188"/>
          <w:jc w:val="center"/>
        </w:trPr>
        <w:tc>
          <w:tcPr>
            <w:tcW w:w="4174" w:type="dxa"/>
            <w:tcBorders>
              <w:top w:val="nil"/>
              <w:left w:val="nil"/>
              <w:bottom w:val="nil"/>
              <w:right w:val="nil"/>
            </w:tcBorders>
            <w:shd w:val="clear" w:color="auto" w:fill="auto"/>
            <w:noWrap/>
            <w:vAlign w:val="center"/>
            <w:hideMark/>
          </w:tcPr>
          <w:p w14:paraId="38BCACF1" w14:textId="77777777" w:rsidR="00DC2C33" w:rsidRPr="004A4C21" w:rsidRDefault="00DC2C33" w:rsidP="00DC2C33">
            <w:pPr>
              <w:jc w:val="both"/>
              <w:rPr>
                <w:rFonts w:ascii="Times New Roman" w:eastAsia="Times New Roman" w:hAnsi="Times New Roman" w:cs="Times New Roman"/>
                <w:b/>
                <w:bCs/>
                <w:color w:val="000000"/>
                <w:sz w:val="18"/>
                <w:szCs w:val="18"/>
                <w:lang w:eastAsia="es-GT"/>
              </w:rPr>
            </w:pPr>
            <w:r w:rsidRPr="004A4C21">
              <w:rPr>
                <w:rFonts w:ascii="Times New Roman" w:eastAsia="Times New Roman" w:hAnsi="Times New Roman" w:cs="Times New Roman"/>
                <w:b/>
                <w:bCs/>
                <w:color w:val="000000"/>
                <w:sz w:val="18"/>
                <w:szCs w:val="18"/>
                <w:lang w:eastAsia="es-GT"/>
              </w:rPr>
              <w:t>GASTO</w:t>
            </w:r>
          </w:p>
        </w:tc>
        <w:tc>
          <w:tcPr>
            <w:tcW w:w="1296" w:type="dxa"/>
            <w:tcBorders>
              <w:top w:val="nil"/>
              <w:left w:val="nil"/>
              <w:bottom w:val="nil"/>
              <w:right w:val="nil"/>
            </w:tcBorders>
            <w:shd w:val="clear" w:color="auto" w:fill="auto"/>
            <w:noWrap/>
            <w:vAlign w:val="center"/>
            <w:hideMark/>
          </w:tcPr>
          <w:p w14:paraId="394376B0" w14:textId="68DF9BF8" w:rsidR="00DC2C33" w:rsidRPr="004A4C21" w:rsidRDefault="00DC2C33" w:rsidP="00DC2C33">
            <w:pPr>
              <w:jc w:val="center"/>
              <w:rPr>
                <w:rFonts w:ascii="Times New Roman" w:eastAsia="Times New Roman" w:hAnsi="Times New Roman" w:cs="Times New Roman"/>
                <w:b/>
                <w:bCs/>
                <w:color w:val="000000"/>
                <w:sz w:val="18"/>
                <w:szCs w:val="18"/>
                <w:lang w:eastAsia="es-GT"/>
              </w:rPr>
            </w:pPr>
            <w:r w:rsidRPr="004A4C21">
              <w:rPr>
                <w:rFonts w:ascii="Times New Roman" w:hAnsi="Times New Roman" w:cs="Times New Roman"/>
                <w:b/>
                <w:bCs/>
                <w:color w:val="000000"/>
                <w:sz w:val="18"/>
                <w:szCs w:val="18"/>
              </w:rPr>
              <w:t>103,697.4</w:t>
            </w:r>
          </w:p>
        </w:tc>
        <w:tc>
          <w:tcPr>
            <w:tcW w:w="1297" w:type="dxa"/>
            <w:tcBorders>
              <w:top w:val="nil"/>
              <w:left w:val="nil"/>
              <w:bottom w:val="nil"/>
              <w:right w:val="nil"/>
            </w:tcBorders>
            <w:shd w:val="clear" w:color="auto" w:fill="auto"/>
            <w:noWrap/>
            <w:vAlign w:val="center"/>
            <w:hideMark/>
          </w:tcPr>
          <w:p w14:paraId="6C2D0F4F" w14:textId="7FEC3185" w:rsidR="00DC2C33" w:rsidRPr="004A4C21" w:rsidRDefault="00DC2C33" w:rsidP="00DC2C33">
            <w:pPr>
              <w:jc w:val="center"/>
              <w:rPr>
                <w:rFonts w:ascii="Times New Roman" w:eastAsia="Times New Roman" w:hAnsi="Times New Roman" w:cs="Times New Roman"/>
                <w:b/>
                <w:bCs/>
                <w:color w:val="000000"/>
                <w:sz w:val="18"/>
                <w:szCs w:val="18"/>
                <w:lang w:eastAsia="es-GT"/>
              </w:rPr>
            </w:pPr>
            <w:r w:rsidRPr="004A4C21">
              <w:rPr>
                <w:rFonts w:ascii="Times New Roman" w:hAnsi="Times New Roman" w:cs="Times New Roman"/>
                <w:b/>
                <w:bCs/>
                <w:color w:val="000000"/>
                <w:sz w:val="18"/>
                <w:szCs w:val="18"/>
              </w:rPr>
              <w:t>110,601.9</w:t>
            </w:r>
          </w:p>
        </w:tc>
        <w:tc>
          <w:tcPr>
            <w:tcW w:w="1170" w:type="dxa"/>
            <w:tcBorders>
              <w:top w:val="nil"/>
              <w:left w:val="dotDash" w:sz="4" w:space="0" w:color="auto"/>
              <w:bottom w:val="nil"/>
              <w:right w:val="nil"/>
            </w:tcBorders>
            <w:shd w:val="clear" w:color="auto" w:fill="auto"/>
            <w:noWrap/>
            <w:vAlign w:val="center"/>
            <w:hideMark/>
          </w:tcPr>
          <w:p w14:paraId="17B12D95" w14:textId="39106ECE" w:rsidR="00DC2C33" w:rsidRPr="004A4C21" w:rsidRDefault="00DC2C33" w:rsidP="00DC2C33">
            <w:pPr>
              <w:jc w:val="center"/>
              <w:rPr>
                <w:rFonts w:ascii="Times New Roman" w:eastAsia="Times New Roman" w:hAnsi="Times New Roman" w:cs="Times New Roman"/>
                <w:b/>
                <w:bCs/>
                <w:color w:val="000000"/>
                <w:sz w:val="18"/>
                <w:szCs w:val="18"/>
                <w:lang w:eastAsia="es-GT"/>
              </w:rPr>
            </w:pPr>
            <w:r w:rsidRPr="004A4C21">
              <w:rPr>
                <w:rFonts w:ascii="Times New Roman" w:hAnsi="Times New Roman" w:cs="Times New Roman"/>
                <w:b/>
                <w:bCs/>
                <w:color w:val="000000"/>
                <w:sz w:val="18"/>
                <w:szCs w:val="18"/>
              </w:rPr>
              <w:t>14.1</w:t>
            </w:r>
          </w:p>
        </w:tc>
        <w:tc>
          <w:tcPr>
            <w:tcW w:w="1173" w:type="dxa"/>
            <w:tcBorders>
              <w:top w:val="nil"/>
              <w:left w:val="nil"/>
              <w:bottom w:val="nil"/>
              <w:right w:val="nil"/>
            </w:tcBorders>
            <w:shd w:val="clear" w:color="auto" w:fill="auto"/>
            <w:noWrap/>
            <w:vAlign w:val="center"/>
            <w:hideMark/>
          </w:tcPr>
          <w:p w14:paraId="032E658E" w14:textId="7832D77E" w:rsidR="00DC2C33" w:rsidRPr="004A4C21" w:rsidRDefault="00DC2C33" w:rsidP="00DC2C33">
            <w:pPr>
              <w:jc w:val="center"/>
              <w:rPr>
                <w:rFonts w:ascii="Times New Roman" w:eastAsia="Times New Roman" w:hAnsi="Times New Roman" w:cs="Times New Roman"/>
                <w:b/>
                <w:bCs/>
                <w:color w:val="000000"/>
                <w:sz w:val="18"/>
                <w:szCs w:val="18"/>
                <w:lang w:eastAsia="es-GT"/>
              </w:rPr>
            </w:pPr>
            <w:r w:rsidRPr="004A4C21">
              <w:rPr>
                <w:rFonts w:ascii="Times New Roman" w:hAnsi="Times New Roman" w:cs="Times New Roman"/>
                <w:b/>
                <w:bCs/>
                <w:color w:val="000000"/>
                <w:sz w:val="18"/>
                <w:szCs w:val="18"/>
              </w:rPr>
              <w:t>13.8</w:t>
            </w:r>
          </w:p>
        </w:tc>
      </w:tr>
      <w:tr w:rsidR="00DC2C33" w:rsidRPr="004A4C21" w14:paraId="59FACA53" w14:textId="77777777" w:rsidTr="004245AE">
        <w:trPr>
          <w:trHeight w:val="188"/>
          <w:jc w:val="center"/>
        </w:trPr>
        <w:tc>
          <w:tcPr>
            <w:tcW w:w="4174" w:type="dxa"/>
            <w:tcBorders>
              <w:top w:val="nil"/>
              <w:left w:val="nil"/>
              <w:bottom w:val="nil"/>
              <w:right w:val="nil"/>
            </w:tcBorders>
            <w:shd w:val="clear" w:color="auto" w:fill="auto"/>
            <w:noWrap/>
            <w:vAlign w:val="center"/>
            <w:hideMark/>
          </w:tcPr>
          <w:p w14:paraId="1B5D225D" w14:textId="77777777" w:rsidR="00DC2C33" w:rsidRPr="004A4C21" w:rsidRDefault="00DC2C33" w:rsidP="00DC2C33">
            <w:pPr>
              <w:ind w:firstLineChars="100" w:firstLine="180"/>
              <w:rPr>
                <w:rFonts w:ascii="Times New Roman" w:eastAsia="Times New Roman" w:hAnsi="Times New Roman" w:cs="Times New Roman"/>
                <w:color w:val="000000"/>
                <w:sz w:val="18"/>
                <w:szCs w:val="18"/>
                <w:lang w:eastAsia="es-GT"/>
              </w:rPr>
            </w:pPr>
            <w:r w:rsidRPr="004A4C21">
              <w:rPr>
                <w:rFonts w:ascii="Times New Roman" w:eastAsia="Times New Roman" w:hAnsi="Times New Roman" w:cs="Times New Roman"/>
                <w:color w:val="000000"/>
                <w:sz w:val="18"/>
                <w:szCs w:val="18"/>
                <w:lang w:eastAsia="es-GT"/>
              </w:rPr>
              <w:t xml:space="preserve">Remuneración a los empleados </w:t>
            </w:r>
          </w:p>
        </w:tc>
        <w:tc>
          <w:tcPr>
            <w:tcW w:w="1296" w:type="dxa"/>
            <w:tcBorders>
              <w:top w:val="nil"/>
              <w:left w:val="nil"/>
              <w:bottom w:val="nil"/>
              <w:right w:val="nil"/>
            </w:tcBorders>
            <w:shd w:val="clear" w:color="auto" w:fill="auto"/>
            <w:noWrap/>
            <w:vAlign w:val="center"/>
            <w:hideMark/>
          </w:tcPr>
          <w:p w14:paraId="5EFBFB03" w14:textId="7FB69876" w:rsidR="00DC2C33" w:rsidRPr="004A4C21" w:rsidRDefault="00DC2C33" w:rsidP="00DC2C33">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32,267.1</w:t>
            </w:r>
          </w:p>
        </w:tc>
        <w:tc>
          <w:tcPr>
            <w:tcW w:w="1297" w:type="dxa"/>
            <w:tcBorders>
              <w:top w:val="nil"/>
              <w:left w:val="nil"/>
              <w:bottom w:val="nil"/>
              <w:right w:val="nil"/>
            </w:tcBorders>
            <w:shd w:val="clear" w:color="auto" w:fill="auto"/>
            <w:noWrap/>
            <w:vAlign w:val="center"/>
            <w:hideMark/>
          </w:tcPr>
          <w:p w14:paraId="03D988E5" w14:textId="00628841" w:rsidR="00DC2C33" w:rsidRPr="004A4C21" w:rsidRDefault="00DC2C33" w:rsidP="00DC2C33">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35,552.7</w:t>
            </w:r>
          </w:p>
        </w:tc>
        <w:tc>
          <w:tcPr>
            <w:tcW w:w="1170" w:type="dxa"/>
            <w:tcBorders>
              <w:top w:val="nil"/>
              <w:left w:val="dotDash" w:sz="4" w:space="0" w:color="auto"/>
              <w:bottom w:val="nil"/>
              <w:right w:val="nil"/>
            </w:tcBorders>
            <w:shd w:val="clear" w:color="auto" w:fill="auto"/>
            <w:noWrap/>
            <w:vAlign w:val="center"/>
            <w:hideMark/>
          </w:tcPr>
          <w:p w14:paraId="4B6574C2" w14:textId="478EDDE3" w:rsidR="00DC2C33" w:rsidRPr="004A4C21" w:rsidRDefault="00DC2C33" w:rsidP="00DC2C33">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4.4</w:t>
            </w:r>
          </w:p>
        </w:tc>
        <w:tc>
          <w:tcPr>
            <w:tcW w:w="1173" w:type="dxa"/>
            <w:tcBorders>
              <w:top w:val="nil"/>
              <w:left w:val="nil"/>
              <w:bottom w:val="nil"/>
              <w:right w:val="nil"/>
            </w:tcBorders>
            <w:shd w:val="clear" w:color="auto" w:fill="auto"/>
            <w:noWrap/>
            <w:vAlign w:val="center"/>
            <w:hideMark/>
          </w:tcPr>
          <w:p w14:paraId="0E3D1FD4" w14:textId="7B480E6D" w:rsidR="00DC2C33" w:rsidRPr="004A4C21" w:rsidRDefault="00DC2C33" w:rsidP="00DC2C33">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4.4</w:t>
            </w:r>
          </w:p>
        </w:tc>
      </w:tr>
      <w:tr w:rsidR="00DC2C33" w:rsidRPr="004A4C21" w14:paraId="302B3601" w14:textId="77777777" w:rsidTr="004245AE">
        <w:trPr>
          <w:trHeight w:val="188"/>
          <w:jc w:val="center"/>
        </w:trPr>
        <w:tc>
          <w:tcPr>
            <w:tcW w:w="4174" w:type="dxa"/>
            <w:tcBorders>
              <w:top w:val="nil"/>
              <w:left w:val="nil"/>
              <w:bottom w:val="nil"/>
              <w:right w:val="nil"/>
            </w:tcBorders>
            <w:shd w:val="clear" w:color="auto" w:fill="auto"/>
            <w:noWrap/>
            <w:vAlign w:val="center"/>
            <w:hideMark/>
          </w:tcPr>
          <w:p w14:paraId="0530C8D8" w14:textId="77777777" w:rsidR="00DC2C33" w:rsidRPr="004A4C21" w:rsidRDefault="00DC2C33" w:rsidP="00DC2C33">
            <w:pPr>
              <w:ind w:firstLineChars="100" w:firstLine="180"/>
              <w:rPr>
                <w:rFonts w:ascii="Times New Roman" w:eastAsia="Times New Roman" w:hAnsi="Times New Roman" w:cs="Times New Roman"/>
                <w:color w:val="000000"/>
                <w:sz w:val="18"/>
                <w:szCs w:val="18"/>
                <w:lang w:eastAsia="es-GT"/>
              </w:rPr>
            </w:pPr>
            <w:r w:rsidRPr="004A4C21">
              <w:rPr>
                <w:rFonts w:ascii="Times New Roman" w:eastAsia="Times New Roman" w:hAnsi="Times New Roman" w:cs="Times New Roman"/>
                <w:color w:val="000000"/>
                <w:sz w:val="18"/>
                <w:szCs w:val="18"/>
                <w:lang w:eastAsia="es-GT"/>
              </w:rPr>
              <w:t xml:space="preserve">Uso de bienes y servicios  </w:t>
            </w:r>
          </w:p>
        </w:tc>
        <w:tc>
          <w:tcPr>
            <w:tcW w:w="1296" w:type="dxa"/>
            <w:tcBorders>
              <w:top w:val="nil"/>
              <w:left w:val="nil"/>
              <w:bottom w:val="nil"/>
              <w:right w:val="nil"/>
            </w:tcBorders>
            <w:shd w:val="clear" w:color="auto" w:fill="auto"/>
            <w:noWrap/>
            <w:vAlign w:val="center"/>
            <w:hideMark/>
          </w:tcPr>
          <w:p w14:paraId="3B95AF28" w14:textId="40547E0B" w:rsidR="00DC2C33" w:rsidRPr="004A4C21" w:rsidRDefault="00DC2C33" w:rsidP="00DC2C33">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16,657.0</w:t>
            </w:r>
          </w:p>
        </w:tc>
        <w:tc>
          <w:tcPr>
            <w:tcW w:w="1297" w:type="dxa"/>
            <w:tcBorders>
              <w:top w:val="nil"/>
              <w:left w:val="nil"/>
              <w:bottom w:val="nil"/>
              <w:right w:val="nil"/>
            </w:tcBorders>
            <w:shd w:val="clear" w:color="auto" w:fill="auto"/>
            <w:noWrap/>
            <w:vAlign w:val="center"/>
            <w:hideMark/>
          </w:tcPr>
          <w:p w14:paraId="786D5D35" w14:textId="7BB09406" w:rsidR="00DC2C33" w:rsidRPr="004A4C21" w:rsidRDefault="00DC2C33" w:rsidP="00DC2C33">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15,464.0</w:t>
            </w:r>
          </w:p>
        </w:tc>
        <w:tc>
          <w:tcPr>
            <w:tcW w:w="1170" w:type="dxa"/>
            <w:tcBorders>
              <w:top w:val="nil"/>
              <w:left w:val="dotDash" w:sz="4" w:space="0" w:color="auto"/>
              <w:bottom w:val="nil"/>
              <w:right w:val="nil"/>
            </w:tcBorders>
            <w:shd w:val="clear" w:color="auto" w:fill="auto"/>
            <w:noWrap/>
            <w:vAlign w:val="center"/>
            <w:hideMark/>
          </w:tcPr>
          <w:p w14:paraId="169DA5A1" w14:textId="6448B963" w:rsidR="00DC2C33" w:rsidRPr="004A4C21" w:rsidRDefault="00DC2C33" w:rsidP="00DC2C33">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2.3</w:t>
            </w:r>
          </w:p>
        </w:tc>
        <w:tc>
          <w:tcPr>
            <w:tcW w:w="1173" w:type="dxa"/>
            <w:tcBorders>
              <w:top w:val="nil"/>
              <w:left w:val="nil"/>
              <w:bottom w:val="nil"/>
              <w:right w:val="nil"/>
            </w:tcBorders>
            <w:shd w:val="clear" w:color="auto" w:fill="auto"/>
            <w:noWrap/>
            <w:vAlign w:val="center"/>
            <w:hideMark/>
          </w:tcPr>
          <w:p w14:paraId="38E7D034" w14:textId="06F08CD8" w:rsidR="00DC2C33" w:rsidRPr="004A4C21" w:rsidRDefault="00DC2C33" w:rsidP="00DC2C33">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1.9</w:t>
            </w:r>
          </w:p>
        </w:tc>
      </w:tr>
      <w:tr w:rsidR="00DC2C33" w:rsidRPr="004A4C21" w14:paraId="106AE123" w14:textId="77777777" w:rsidTr="004245AE">
        <w:trPr>
          <w:trHeight w:val="188"/>
          <w:jc w:val="center"/>
        </w:trPr>
        <w:tc>
          <w:tcPr>
            <w:tcW w:w="4174" w:type="dxa"/>
            <w:tcBorders>
              <w:top w:val="nil"/>
              <w:left w:val="nil"/>
              <w:bottom w:val="nil"/>
              <w:right w:val="nil"/>
            </w:tcBorders>
            <w:shd w:val="clear" w:color="auto" w:fill="auto"/>
            <w:noWrap/>
            <w:vAlign w:val="center"/>
            <w:hideMark/>
          </w:tcPr>
          <w:p w14:paraId="04C39969" w14:textId="77777777" w:rsidR="00DC2C33" w:rsidRPr="004A4C21" w:rsidRDefault="00DC2C33" w:rsidP="00DC2C33">
            <w:pPr>
              <w:ind w:firstLineChars="100" w:firstLine="180"/>
              <w:rPr>
                <w:rFonts w:ascii="Times New Roman" w:eastAsia="Times New Roman" w:hAnsi="Times New Roman" w:cs="Times New Roman"/>
                <w:color w:val="000000"/>
                <w:sz w:val="18"/>
                <w:szCs w:val="18"/>
                <w:lang w:eastAsia="es-GT"/>
              </w:rPr>
            </w:pPr>
            <w:r w:rsidRPr="004A4C21">
              <w:rPr>
                <w:rFonts w:ascii="Times New Roman" w:eastAsia="Times New Roman" w:hAnsi="Times New Roman" w:cs="Times New Roman"/>
                <w:color w:val="000000"/>
                <w:sz w:val="18"/>
                <w:szCs w:val="18"/>
                <w:lang w:eastAsia="es-GT"/>
              </w:rPr>
              <w:t xml:space="preserve">Intereses </w:t>
            </w:r>
          </w:p>
        </w:tc>
        <w:tc>
          <w:tcPr>
            <w:tcW w:w="1296" w:type="dxa"/>
            <w:tcBorders>
              <w:top w:val="nil"/>
              <w:left w:val="nil"/>
              <w:bottom w:val="nil"/>
              <w:right w:val="nil"/>
            </w:tcBorders>
            <w:shd w:val="clear" w:color="auto" w:fill="auto"/>
            <w:noWrap/>
            <w:vAlign w:val="center"/>
            <w:hideMark/>
          </w:tcPr>
          <w:p w14:paraId="5EE10AD6" w14:textId="2B35F8BB" w:rsidR="00DC2C33" w:rsidRPr="004A4C21" w:rsidRDefault="00DC2C33" w:rsidP="00DC2C33">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12,120.5</w:t>
            </w:r>
          </w:p>
        </w:tc>
        <w:tc>
          <w:tcPr>
            <w:tcW w:w="1297" w:type="dxa"/>
            <w:tcBorders>
              <w:top w:val="nil"/>
              <w:left w:val="nil"/>
              <w:bottom w:val="nil"/>
              <w:right w:val="nil"/>
            </w:tcBorders>
            <w:shd w:val="clear" w:color="auto" w:fill="auto"/>
            <w:noWrap/>
            <w:vAlign w:val="center"/>
            <w:hideMark/>
          </w:tcPr>
          <w:p w14:paraId="7A69AEB2" w14:textId="56A0E398" w:rsidR="00DC2C33" w:rsidRPr="004A4C21" w:rsidRDefault="00DC2C33" w:rsidP="00DC2C33">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13,198.5</w:t>
            </w:r>
          </w:p>
        </w:tc>
        <w:tc>
          <w:tcPr>
            <w:tcW w:w="1170" w:type="dxa"/>
            <w:tcBorders>
              <w:top w:val="nil"/>
              <w:left w:val="dotDash" w:sz="4" w:space="0" w:color="auto"/>
              <w:bottom w:val="nil"/>
              <w:right w:val="nil"/>
            </w:tcBorders>
            <w:shd w:val="clear" w:color="auto" w:fill="auto"/>
            <w:noWrap/>
            <w:vAlign w:val="center"/>
            <w:hideMark/>
          </w:tcPr>
          <w:p w14:paraId="435FE5A4" w14:textId="6A7F213B" w:rsidR="00DC2C33" w:rsidRPr="004A4C21" w:rsidRDefault="00DC2C33" w:rsidP="00DC2C33">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1.6</w:t>
            </w:r>
          </w:p>
        </w:tc>
        <w:tc>
          <w:tcPr>
            <w:tcW w:w="1173" w:type="dxa"/>
            <w:tcBorders>
              <w:top w:val="nil"/>
              <w:left w:val="nil"/>
              <w:bottom w:val="nil"/>
              <w:right w:val="nil"/>
            </w:tcBorders>
            <w:shd w:val="clear" w:color="auto" w:fill="auto"/>
            <w:noWrap/>
            <w:vAlign w:val="center"/>
            <w:hideMark/>
          </w:tcPr>
          <w:p w14:paraId="50F98B89" w14:textId="44F06822" w:rsidR="00DC2C33" w:rsidRPr="004A4C21" w:rsidRDefault="00DC2C33" w:rsidP="00DC2C33">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1.7</w:t>
            </w:r>
          </w:p>
        </w:tc>
      </w:tr>
      <w:tr w:rsidR="00DC2C33" w:rsidRPr="004A4C21" w14:paraId="7B5EF88F" w14:textId="77777777" w:rsidTr="004245AE">
        <w:trPr>
          <w:trHeight w:val="188"/>
          <w:jc w:val="center"/>
        </w:trPr>
        <w:tc>
          <w:tcPr>
            <w:tcW w:w="4174" w:type="dxa"/>
            <w:tcBorders>
              <w:top w:val="nil"/>
              <w:left w:val="nil"/>
              <w:bottom w:val="nil"/>
              <w:right w:val="nil"/>
            </w:tcBorders>
            <w:shd w:val="clear" w:color="auto" w:fill="auto"/>
            <w:noWrap/>
            <w:vAlign w:val="center"/>
            <w:hideMark/>
          </w:tcPr>
          <w:p w14:paraId="6F4BB170" w14:textId="77777777" w:rsidR="00DC2C33" w:rsidRPr="004A4C21" w:rsidRDefault="00DC2C33" w:rsidP="00DC2C33">
            <w:pPr>
              <w:ind w:firstLineChars="100" w:firstLine="180"/>
              <w:rPr>
                <w:rFonts w:ascii="Times New Roman" w:eastAsia="Times New Roman" w:hAnsi="Times New Roman" w:cs="Times New Roman"/>
                <w:color w:val="000000"/>
                <w:sz w:val="18"/>
                <w:szCs w:val="18"/>
                <w:lang w:eastAsia="es-GT"/>
              </w:rPr>
            </w:pPr>
            <w:r w:rsidRPr="004A4C21">
              <w:rPr>
                <w:rFonts w:ascii="Times New Roman" w:eastAsia="Times New Roman" w:hAnsi="Times New Roman" w:cs="Times New Roman"/>
                <w:color w:val="000000"/>
                <w:sz w:val="18"/>
                <w:szCs w:val="18"/>
                <w:lang w:eastAsia="es-GT"/>
              </w:rPr>
              <w:t xml:space="preserve">Subsidios </w:t>
            </w:r>
          </w:p>
        </w:tc>
        <w:tc>
          <w:tcPr>
            <w:tcW w:w="1296" w:type="dxa"/>
            <w:tcBorders>
              <w:top w:val="nil"/>
              <w:left w:val="nil"/>
              <w:bottom w:val="nil"/>
              <w:right w:val="nil"/>
            </w:tcBorders>
            <w:shd w:val="clear" w:color="auto" w:fill="auto"/>
            <w:noWrap/>
            <w:vAlign w:val="center"/>
            <w:hideMark/>
          </w:tcPr>
          <w:p w14:paraId="45E2F898" w14:textId="4FA18063" w:rsidR="00DC2C33" w:rsidRPr="004A4C21" w:rsidRDefault="00DC2C33" w:rsidP="00DC2C33">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3,824.9</w:t>
            </w:r>
          </w:p>
        </w:tc>
        <w:tc>
          <w:tcPr>
            <w:tcW w:w="1297" w:type="dxa"/>
            <w:tcBorders>
              <w:top w:val="nil"/>
              <w:left w:val="nil"/>
              <w:bottom w:val="nil"/>
              <w:right w:val="nil"/>
            </w:tcBorders>
            <w:shd w:val="clear" w:color="auto" w:fill="auto"/>
            <w:noWrap/>
            <w:vAlign w:val="center"/>
            <w:hideMark/>
          </w:tcPr>
          <w:p w14:paraId="2F67B011" w14:textId="51E93EDA" w:rsidR="00DC2C33" w:rsidRPr="004A4C21" w:rsidRDefault="00DC2C33" w:rsidP="00DC2C33">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1,344.7</w:t>
            </w:r>
          </w:p>
        </w:tc>
        <w:tc>
          <w:tcPr>
            <w:tcW w:w="1170" w:type="dxa"/>
            <w:tcBorders>
              <w:top w:val="nil"/>
              <w:left w:val="dotDash" w:sz="4" w:space="0" w:color="auto"/>
              <w:bottom w:val="nil"/>
              <w:right w:val="nil"/>
            </w:tcBorders>
            <w:shd w:val="clear" w:color="auto" w:fill="auto"/>
            <w:noWrap/>
            <w:vAlign w:val="center"/>
            <w:hideMark/>
          </w:tcPr>
          <w:p w14:paraId="37DA55A4" w14:textId="01EF78EE" w:rsidR="00DC2C33" w:rsidRPr="004A4C21" w:rsidRDefault="00DC2C33" w:rsidP="00DC2C33">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0.5</w:t>
            </w:r>
          </w:p>
        </w:tc>
        <w:tc>
          <w:tcPr>
            <w:tcW w:w="1173" w:type="dxa"/>
            <w:tcBorders>
              <w:top w:val="nil"/>
              <w:left w:val="nil"/>
              <w:bottom w:val="nil"/>
              <w:right w:val="nil"/>
            </w:tcBorders>
            <w:shd w:val="clear" w:color="auto" w:fill="auto"/>
            <w:noWrap/>
            <w:vAlign w:val="center"/>
            <w:hideMark/>
          </w:tcPr>
          <w:p w14:paraId="4E1449C5" w14:textId="02B7C3A8" w:rsidR="00DC2C33" w:rsidRPr="004A4C21" w:rsidRDefault="00DC2C33" w:rsidP="00DC2C33">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0.2</w:t>
            </w:r>
          </w:p>
        </w:tc>
      </w:tr>
      <w:tr w:rsidR="00DC2C33" w:rsidRPr="004A4C21" w14:paraId="37257744" w14:textId="77777777" w:rsidTr="004245AE">
        <w:trPr>
          <w:trHeight w:val="188"/>
          <w:jc w:val="center"/>
        </w:trPr>
        <w:tc>
          <w:tcPr>
            <w:tcW w:w="4174" w:type="dxa"/>
            <w:tcBorders>
              <w:top w:val="nil"/>
              <w:left w:val="nil"/>
              <w:bottom w:val="nil"/>
              <w:right w:val="nil"/>
            </w:tcBorders>
            <w:shd w:val="clear" w:color="auto" w:fill="auto"/>
            <w:noWrap/>
            <w:vAlign w:val="center"/>
            <w:hideMark/>
          </w:tcPr>
          <w:p w14:paraId="057278AB" w14:textId="77777777" w:rsidR="00DC2C33" w:rsidRPr="004A4C21" w:rsidRDefault="00DC2C33" w:rsidP="00DC2C33">
            <w:pPr>
              <w:ind w:firstLineChars="100" w:firstLine="180"/>
              <w:rPr>
                <w:rFonts w:ascii="Times New Roman" w:eastAsia="Times New Roman" w:hAnsi="Times New Roman" w:cs="Times New Roman"/>
                <w:color w:val="000000"/>
                <w:sz w:val="18"/>
                <w:szCs w:val="18"/>
                <w:lang w:eastAsia="es-GT"/>
              </w:rPr>
            </w:pPr>
            <w:r w:rsidRPr="004A4C21">
              <w:rPr>
                <w:rFonts w:ascii="Times New Roman" w:eastAsia="Times New Roman" w:hAnsi="Times New Roman" w:cs="Times New Roman"/>
                <w:color w:val="000000"/>
                <w:sz w:val="18"/>
                <w:szCs w:val="18"/>
                <w:lang w:eastAsia="es-GT"/>
              </w:rPr>
              <w:t xml:space="preserve">Donaciones </w:t>
            </w:r>
          </w:p>
        </w:tc>
        <w:tc>
          <w:tcPr>
            <w:tcW w:w="1296" w:type="dxa"/>
            <w:tcBorders>
              <w:top w:val="nil"/>
              <w:left w:val="nil"/>
              <w:bottom w:val="nil"/>
              <w:right w:val="nil"/>
            </w:tcBorders>
            <w:shd w:val="clear" w:color="auto" w:fill="auto"/>
            <w:noWrap/>
            <w:vAlign w:val="center"/>
            <w:hideMark/>
          </w:tcPr>
          <w:p w14:paraId="138BEF32" w14:textId="63DD0B51" w:rsidR="00DC2C33" w:rsidRPr="004A4C21" w:rsidRDefault="00DC2C33" w:rsidP="00DC2C33">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24,908.9</w:t>
            </w:r>
          </w:p>
        </w:tc>
        <w:tc>
          <w:tcPr>
            <w:tcW w:w="1297" w:type="dxa"/>
            <w:tcBorders>
              <w:top w:val="nil"/>
              <w:left w:val="nil"/>
              <w:bottom w:val="nil"/>
              <w:right w:val="nil"/>
            </w:tcBorders>
            <w:shd w:val="clear" w:color="auto" w:fill="auto"/>
            <w:noWrap/>
            <w:vAlign w:val="center"/>
            <w:hideMark/>
          </w:tcPr>
          <w:p w14:paraId="7A64180B" w14:textId="7C45163F" w:rsidR="00DC2C33" w:rsidRPr="004A4C21" w:rsidRDefault="00DC2C33" w:rsidP="00DC2C33">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29,077.2</w:t>
            </w:r>
          </w:p>
        </w:tc>
        <w:tc>
          <w:tcPr>
            <w:tcW w:w="1170" w:type="dxa"/>
            <w:tcBorders>
              <w:top w:val="nil"/>
              <w:left w:val="dotDash" w:sz="4" w:space="0" w:color="auto"/>
              <w:bottom w:val="nil"/>
              <w:right w:val="nil"/>
            </w:tcBorders>
            <w:shd w:val="clear" w:color="auto" w:fill="auto"/>
            <w:noWrap/>
            <w:vAlign w:val="center"/>
            <w:hideMark/>
          </w:tcPr>
          <w:p w14:paraId="6CFB57C1" w14:textId="40D64101" w:rsidR="00DC2C33" w:rsidRPr="004A4C21" w:rsidRDefault="00DC2C33" w:rsidP="00DC2C33">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3.4</w:t>
            </w:r>
          </w:p>
        </w:tc>
        <w:tc>
          <w:tcPr>
            <w:tcW w:w="1173" w:type="dxa"/>
            <w:tcBorders>
              <w:top w:val="nil"/>
              <w:left w:val="nil"/>
              <w:bottom w:val="nil"/>
              <w:right w:val="nil"/>
            </w:tcBorders>
            <w:shd w:val="clear" w:color="auto" w:fill="auto"/>
            <w:noWrap/>
            <w:vAlign w:val="center"/>
            <w:hideMark/>
          </w:tcPr>
          <w:p w14:paraId="01626766" w14:textId="71DE52B4" w:rsidR="00DC2C33" w:rsidRPr="004A4C21" w:rsidRDefault="00DC2C33" w:rsidP="00DC2C33">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3.6</w:t>
            </w:r>
          </w:p>
        </w:tc>
      </w:tr>
      <w:tr w:rsidR="00DC2C33" w:rsidRPr="004A4C21" w14:paraId="0966FC7F" w14:textId="77777777" w:rsidTr="004245AE">
        <w:trPr>
          <w:trHeight w:val="188"/>
          <w:jc w:val="center"/>
        </w:trPr>
        <w:tc>
          <w:tcPr>
            <w:tcW w:w="4174" w:type="dxa"/>
            <w:tcBorders>
              <w:top w:val="nil"/>
              <w:left w:val="nil"/>
              <w:bottom w:val="nil"/>
              <w:right w:val="nil"/>
            </w:tcBorders>
            <w:shd w:val="clear" w:color="auto" w:fill="auto"/>
            <w:noWrap/>
            <w:vAlign w:val="center"/>
            <w:hideMark/>
          </w:tcPr>
          <w:p w14:paraId="335D42EC" w14:textId="77777777" w:rsidR="00DC2C33" w:rsidRPr="004A4C21" w:rsidRDefault="00DC2C33" w:rsidP="00DC2C33">
            <w:pPr>
              <w:ind w:firstLineChars="100" w:firstLine="180"/>
              <w:rPr>
                <w:rFonts w:ascii="Times New Roman" w:eastAsia="Times New Roman" w:hAnsi="Times New Roman" w:cs="Times New Roman"/>
                <w:color w:val="000000"/>
                <w:sz w:val="18"/>
                <w:szCs w:val="18"/>
                <w:lang w:eastAsia="es-GT"/>
              </w:rPr>
            </w:pPr>
            <w:r w:rsidRPr="004A4C21">
              <w:rPr>
                <w:rFonts w:ascii="Times New Roman" w:eastAsia="Times New Roman" w:hAnsi="Times New Roman" w:cs="Times New Roman"/>
                <w:color w:val="000000"/>
                <w:sz w:val="18"/>
                <w:szCs w:val="18"/>
                <w:lang w:eastAsia="es-GT"/>
              </w:rPr>
              <w:t xml:space="preserve">Prestaciones sociales </w:t>
            </w:r>
          </w:p>
        </w:tc>
        <w:tc>
          <w:tcPr>
            <w:tcW w:w="1296" w:type="dxa"/>
            <w:tcBorders>
              <w:top w:val="nil"/>
              <w:left w:val="nil"/>
              <w:bottom w:val="nil"/>
              <w:right w:val="nil"/>
            </w:tcBorders>
            <w:shd w:val="clear" w:color="auto" w:fill="auto"/>
            <w:noWrap/>
            <w:vAlign w:val="center"/>
            <w:hideMark/>
          </w:tcPr>
          <w:p w14:paraId="1BDD2729" w14:textId="20BFE412" w:rsidR="00DC2C33" w:rsidRPr="004A4C21" w:rsidRDefault="00DC2C33" w:rsidP="00DC2C33">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6,428.6</w:t>
            </w:r>
          </w:p>
        </w:tc>
        <w:tc>
          <w:tcPr>
            <w:tcW w:w="1297" w:type="dxa"/>
            <w:tcBorders>
              <w:top w:val="nil"/>
              <w:left w:val="nil"/>
              <w:bottom w:val="nil"/>
              <w:right w:val="nil"/>
            </w:tcBorders>
            <w:shd w:val="clear" w:color="auto" w:fill="auto"/>
            <w:noWrap/>
            <w:vAlign w:val="center"/>
            <w:hideMark/>
          </w:tcPr>
          <w:p w14:paraId="0E34180E" w14:textId="3870E9FC" w:rsidR="00DC2C33" w:rsidRPr="004A4C21" w:rsidRDefault="00DC2C33" w:rsidP="00DC2C33">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7,844.1</w:t>
            </w:r>
          </w:p>
        </w:tc>
        <w:tc>
          <w:tcPr>
            <w:tcW w:w="1170" w:type="dxa"/>
            <w:tcBorders>
              <w:top w:val="nil"/>
              <w:left w:val="dotDash" w:sz="4" w:space="0" w:color="auto"/>
              <w:bottom w:val="nil"/>
              <w:right w:val="nil"/>
            </w:tcBorders>
            <w:shd w:val="clear" w:color="auto" w:fill="auto"/>
            <w:noWrap/>
            <w:vAlign w:val="center"/>
            <w:hideMark/>
          </w:tcPr>
          <w:p w14:paraId="7F8B817C" w14:textId="04029B6F" w:rsidR="00DC2C33" w:rsidRPr="004A4C21" w:rsidRDefault="00DC2C33" w:rsidP="00DC2C33">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0.9</w:t>
            </w:r>
          </w:p>
        </w:tc>
        <w:tc>
          <w:tcPr>
            <w:tcW w:w="1173" w:type="dxa"/>
            <w:tcBorders>
              <w:top w:val="nil"/>
              <w:left w:val="nil"/>
              <w:bottom w:val="nil"/>
              <w:right w:val="nil"/>
            </w:tcBorders>
            <w:shd w:val="clear" w:color="auto" w:fill="auto"/>
            <w:noWrap/>
            <w:vAlign w:val="center"/>
            <w:hideMark/>
          </w:tcPr>
          <w:p w14:paraId="25F37F4A" w14:textId="05F4E945" w:rsidR="00DC2C33" w:rsidRPr="004A4C21" w:rsidRDefault="00DC2C33" w:rsidP="00DC2C33">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1.0</w:t>
            </w:r>
          </w:p>
        </w:tc>
      </w:tr>
      <w:tr w:rsidR="00DC2C33" w:rsidRPr="004A4C21" w14:paraId="76E9755F" w14:textId="77777777" w:rsidTr="004245AE">
        <w:trPr>
          <w:trHeight w:val="188"/>
          <w:jc w:val="center"/>
        </w:trPr>
        <w:tc>
          <w:tcPr>
            <w:tcW w:w="4174" w:type="dxa"/>
            <w:tcBorders>
              <w:top w:val="nil"/>
              <w:left w:val="nil"/>
              <w:bottom w:val="nil"/>
              <w:right w:val="nil"/>
            </w:tcBorders>
            <w:shd w:val="clear" w:color="auto" w:fill="auto"/>
            <w:noWrap/>
            <w:vAlign w:val="center"/>
            <w:hideMark/>
          </w:tcPr>
          <w:p w14:paraId="4EF159F8" w14:textId="77777777" w:rsidR="00DC2C33" w:rsidRPr="004A4C21" w:rsidRDefault="00DC2C33" w:rsidP="00DC2C33">
            <w:pPr>
              <w:ind w:firstLineChars="100" w:firstLine="180"/>
              <w:rPr>
                <w:rFonts w:ascii="Times New Roman" w:eastAsia="Times New Roman" w:hAnsi="Times New Roman" w:cs="Times New Roman"/>
                <w:color w:val="000000"/>
                <w:sz w:val="18"/>
                <w:szCs w:val="18"/>
                <w:lang w:eastAsia="es-GT"/>
              </w:rPr>
            </w:pPr>
            <w:r w:rsidRPr="004A4C21">
              <w:rPr>
                <w:rFonts w:ascii="Times New Roman" w:eastAsia="Times New Roman" w:hAnsi="Times New Roman" w:cs="Times New Roman"/>
                <w:color w:val="000000"/>
                <w:sz w:val="18"/>
                <w:szCs w:val="18"/>
                <w:lang w:eastAsia="es-GT"/>
              </w:rPr>
              <w:t xml:space="preserve">Otros gastos </w:t>
            </w:r>
          </w:p>
        </w:tc>
        <w:tc>
          <w:tcPr>
            <w:tcW w:w="1296" w:type="dxa"/>
            <w:tcBorders>
              <w:top w:val="nil"/>
              <w:left w:val="nil"/>
              <w:bottom w:val="nil"/>
              <w:right w:val="nil"/>
            </w:tcBorders>
            <w:shd w:val="clear" w:color="auto" w:fill="auto"/>
            <w:noWrap/>
            <w:vAlign w:val="center"/>
            <w:hideMark/>
          </w:tcPr>
          <w:p w14:paraId="1C156406" w14:textId="3399AA2B" w:rsidR="00DC2C33" w:rsidRPr="004A4C21" w:rsidRDefault="00DC2C33" w:rsidP="00DC2C33">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7,490.4</w:t>
            </w:r>
          </w:p>
        </w:tc>
        <w:tc>
          <w:tcPr>
            <w:tcW w:w="1297" w:type="dxa"/>
            <w:tcBorders>
              <w:top w:val="nil"/>
              <w:left w:val="nil"/>
              <w:bottom w:val="nil"/>
              <w:right w:val="nil"/>
            </w:tcBorders>
            <w:shd w:val="clear" w:color="auto" w:fill="auto"/>
            <w:noWrap/>
            <w:vAlign w:val="center"/>
            <w:hideMark/>
          </w:tcPr>
          <w:p w14:paraId="7BAB075A" w14:textId="17B398D7" w:rsidR="00DC2C33" w:rsidRPr="004A4C21" w:rsidRDefault="00DC2C33" w:rsidP="00DC2C33">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8,120.7</w:t>
            </w:r>
          </w:p>
        </w:tc>
        <w:tc>
          <w:tcPr>
            <w:tcW w:w="1170" w:type="dxa"/>
            <w:tcBorders>
              <w:top w:val="nil"/>
              <w:left w:val="dotDash" w:sz="4" w:space="0" w:color="auto"/>
              <w:bottom w:val="nil"/>
              <w:right w:val="nil"/>
            </w:tcBorders>
            <w:shd w:val="clear" w:color="auto" w:fill="auto"/>
            <w:noWrap/>
            <w:vAlign w:val="center"/>
            <w:hideMark/>
          </w:tcPr>
          <w:p w14:paraId="6B460B58" w14:textId="4079DDD6" w:rsidR="00DC2C33" w:rsidRPr="004A4C21" w:rsidRDefault="00DC2C33" w:rsidP="00DC2C33">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1.0</w:t>
            </w:r>
          </w:p>
        </w:tc>
        <w:tc>
          <w:tcPr>
            <w:tcW w:w="1173" w:type="dxa"/>
            <w:tcBorders>
              <w:top w:val="nil"/>
              <w:left w:val="nil"/>
              <w:bottom w:val="nil"/>
              <w:right w:val="nil"/>
            </w:tcBorders>
            <w:shd w:val="clear" w:color="auto" w:fill="auto"/>
            <w:noWrap/>
            <w:vAlign w:val="center"/>
            <w:hideMark/>
          </w:tcPr>
          <w:p w14:paraId="792E0E59" w14:textId="1F4DD3E4" w:rsidR="00DC2C33" w:rsidRPr="004A4C21" w:rsidRDefault="00DC2C33" w:rsidP="00DC2C33">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1.0</w:t>
            </w:r>
          </w:p>
        </w:tc>
      </w:tr>
      <w:tr w:rsidR="00DC2C33" w:rsidRPr="004A4C21" w14:paraId="0DDEEE55" w14:textId="77777777" w:rsidTr="004245AE">
        <w:trPr>
          <w:trHeight w:val="188"/>
          <w:jc w:val="center"/>
        </w:trPr>
        <w:tc>
          <w:tcPr>
            <w:tcW w:w="4174" w:type="dxa"/>
            <w:tcBorders>
              <w:top w:val="nil"/>
              <w:left w:val="nil"/>
              <w:bottom w:val="nil"/>
              <w:right w:val="nil"/>
            </w:tcBorders>
            <w:shd w:val="clear" w:color="auto" w:fill="auto"/>
            <w:noWrap/>
            <w:vAlign w:val="center"/>
            <w:hideMark/>
          </w:tcPr>
          <w:p w14:paraId="7548C641" w14:textId="77777777" w:rsidR="00DC2C33" w:rsidRPr="004A4C21" w:rsidRDefault="00DC2C33" w:rsidP="00DC2C33">
            <w:pPr>
              <w:jc w:val="both"/>
              <w:rPr>
                <w:rFonts w:ascii="Times New Roman" w:eastAsia="Times New Roman" w:hAnsi="Times New Roman" w:cs="Times New Roman"/>
                <w:b/>
                <w:bCs/>
                <w:color w:val="000000"/>
                <w:sz w:val="18"/>
                <w:szCs w:val="18"/>
                <w:lang w:eastAsia="es-GT"/>
              </w:rPr>
            </w:pPr>
            <w:r w:rsidRPr="004A4C21">
              <w:rPr>
                <w:rFonts w:ascii="Times New Roman" w:eastAsia="Times New Roman" w:hAnsi="Times New Roman" w:cs="Times New Roman"/>
                <w:b/>
                <w:bCs/>
                <w:color w:val="000000"/>
                <w:sz w:val="18"/>
                <w:szCs w:val="18"/>
                <w:lang w:eastAsia="es-GT"/>
              </w:rPr>
              <w:t>Resultado Operativo Primario</w:t>
            </w:r>
          </w:p>
        </w:tc>
        <w:tc>
          <w:tcPr>
            <w:tcW w:w="1296" w:type="dxa"/>
            <w:tcBorders>
              <w:top w:val="nil"/>
              <w:left w:val="nil"/>
              <w:bottom w:val="nil"/>
              <w:right w:val="nil"/>
            </w:tcBorders>
            <w:shd w:val="clear" w:color="auto" w:fill="auto"/>
            <w:noWrap/>
            <w:vAlign w:val="center"/>
            <w:hideMark/>
          </w:tcPr>
          <w:p w14:paraId="03EA987D" w14:textId="68113AB1" w:rsidR="00DC2C33" w:rsidRPr="004A4C21" w:rsidRDefault="00DC2C33" w:rsidP="00DC2C33">
            <w:pPr>
              <w:jc w:val="center"/>
              <w:rPr>
                <w:rFonts w:ascii="Times New Roman" w:eastAsia="Times New Roman" w:hAnsi="Times New Roman" w:cs="Times New Roman"/>
                <w:b/>
                <w:bCs/>
                <w:color w:val="000000"/>
                <w:sz w:val="18"/>
                <w:szCs w:val="18"/>
                <w:lang w:eastAsia="es-GT"/>
              </w:rPr>
            </w:pPr>
            <w:r w:rsidRPr="004A4C21">
              <w:rPr>
                <w:rFonts w:ascii="Times New Roman" w:hAnsi="Times New Roman" w:cs="Times New Roman"/>
                <w:b/>
                <w:bCs/>
                <w:color w:val="000000"/>
                <w:sz w:val="18"/>
                <w:szCs w:val="18"/>
              </w:rPr>
              <w:t>4,087.0</w:t>
            </w:r>
          </w:p>
        </w:tc>
        <w:tc>
          <w:tcPr>
            <w:tcW w:w="1297" w:type="dxa"/>
            <w:tcBorders>
              <w:top w:val="nil"/>
              <w:left w:val="nil"/>
              <w:bottom w:val="nil"/>
              <w:right w:val="nil"/>
            </w:tcBorders>
            <w:shd w:val="clear" w:color="auto" w:fill="auto"/>
            <w:noWrap/>
            <w:vAlign w:val="center"/>
            <w:hideMark/>
          </w:tcPr>
          <w:p w14:paraId="59E8A40A" w14:textId="0887AC3F" w:rsidR="00DC2C33" w:rsidRPr="004A4C21" w:rsidRDefault="00DC2C33" w:rsidP="00DC2C33">
            <w:pPr>
              <w:jc w:val="center"/>
              <w:rPr>
                <w:rFonts w:ascii="Times New Roman" w:eastAsia="Times New Roman" w:hAnsi="Times New Roman" w:cs="Times New Roman"/>
                <w:b/>
                <w:bCs/>
                <w:color w:val="000000"/>
                <w:sz w:val="18"/>
                <w:szCs w:val="18"/>
                <w:lang w:eastAsia="es-GT"/>
              </w:rPr>
            </w:pPr>
            <w:r w:rsidRPr="004A4C21">
              <w:rPr>
                <w:rFonts w:ascii="Times New Roman" w:hAnsi="Times New Roman" w:cs="Times New Roman"/>
                <w:b/>
                <w:bCs/>
                <w:color w:val="000000"/>
                <w:sz w:val="18"/>
                <w:szCs w:val="18"/>
              </w:rPr>
              <w:t>7,555.7</w:t>
            </w:r>
          </w:p>
        </w:tc>
        <w:tc>
          <w:tcPr>
            <w:tcW w:w="1170" w:type="dxa"/>
            <w:tcBorders>
              <w:top w:val="nil"/>
              <w:left w:val="dotDash" w:sz="4" w:space="0" w:color="auto"/>
              <w:bottom w:val="nil"/>
              <w:right w:val="nil"/>
            </w:tcBorders>
            <w:shd w:val="clear" w:color="auto" w:fill="auto"/>
            <w:noWrap/>
            <w:vAlign w:val="center"/>
            <w:hideMark/>
          </w:tcPr>
          <w:p w14:paraId="4CE9E90D" w14:textId="6E27C8A0" w:rsidR="00DC2C33" w:rsidRPr="004A4C21" w:rsidRDefault="00DC2C33" w:rsidP="00DC2C33">
            <w:pPr>
              <w:jc w:val="center"/>
              <w:rPr>
                <w:rFonts w:ascii="Times New Roman" w:eastAsia="Times New Roman" w:hAnsi="Times New Roman" w:cs="Times New Roman"/>
                <w:b/>
                <w:bCs/>
                <w:color w:val="000000"/>
                <w:sz w:val="18"/>
                <w:szCs w:val="18"/>
                <w:lang w:eastAsia="es-GT"/>
              </w:rPr>
            </w:pPr>
            <w:r w:rsidRPr="004A4C21">
              <w:rPr>
                <w:rFonts w:ascii="Times New Roman" w:hAnsi="Times New Roman" w:cs="Times New Roman"/>
                <w:b/>
                <w:bCs/>
                <w:color w:val="000000"/>
                <w:sz w:val="18"/>
                <w:szCs w:val="18"/>
              </w:rPr>
              <w:t>0.6</w:t>
            </w:r>
          </w:p>
        </w:tc>
        <w:tc>
          <w:tcPr>
            <w:tcW w:w="1173" w:type="dxa"/>
            <w:tcBorders>
              <w:top w:val="nil"/>
              <w:left w:val="nil"/>
              <w:bottom w:val="nil"/>
              <w:right w:val="nil"/>
            </w:tcBorders>
            <w:shd w:val="clear" w:color="auto" w:fill="auto"/>
            <w:noWrap/>
            <w:vAlign w:val="center"/>
            <w:hideMark/>
          </w:tcPr>
          <w:p w14:paraId="449E7442" w14:textId="04DF2C6D" w:rsidR="00DC2C33" w:rsidRPr="004A4C21" w:rsidRDefault="00DC2C33" w:rsidP="00DC2C33">
            <w:pPr>
              <w:jc w:val="center"/>
              <w:rPr>
                <w:rFonts w:ascii="Times New Roman" w:eastAsia="Times New Roman" w:hAnsi="Times New Roman" w:cs="Times New Roman"/>
                <w:b/>
                <w:bCs/>
                <w:color w:val="000000"/>
                <w:sz w:val="18"/>
                <w:szCs w:val="18"/>
                <w:lang w:eastAsia="es-GT"/>
              </w:rPr>
            </w:pPr>
            <w:r w:rsidRPr="004A4C21">
              <w:rPr>
                <w:rFonts w:ascii="Times New Roman" w:hAnsi="Times New Roman" w:cs="Times New Roman"/>
                <w:b/>
                <w:bCs/>
                <w:color w:val="000000"/>
                <w:sz w:val="18"/>
                <w:szCs w:val="18"/>
              </w:rPr>
              <w:t>0.9</w:t>
            </w:r>
          </w:p>
        </w:tc>
      </w:tr>
      <w:tr w:rsidR="00DC2C33" w:rsidRPr="004A4C21" w14:paraId="462F3F73" w14:textId="77777777" w:rsidTr="004245AE">
        <w:trPr>
          <w:trHeight w:val="188"/>
          <w:jc w:val="center"/>
        </w:trPr>
        <w:tc>
          <w:tcPr>
            <w:tcW w:w="4174" w:type="dxa"/>
            <w:tcBorders>
              <w:top w:val="nil"/>
              <w:left w:val="nil"/>
              <w:bottom w:val="nil"/>
              <w:right w:val="nil"/>
            </w:tcBorders>
            <w:shd w:val="clear" w:color="auto" w:fill="BDD6EE" w:themeFill="accent5" w:themeFillTint="66"/>
            <w:noWrap/>
            <w:vAlign w:val="center"/>
            <w:hideMark/>
          </w:tcPr>
          <w:p w14:paraId="3C69EB00" w14:textId="77777777" w:rsidR="00DC2C33" w:rsidRPr="004A4C21" w:rsidRDefault="00DC2C33" w:rsidP="00DC2C33">
            <w:pPr>
              <w:jc w:val="both"/>
              <w:rPr>
                <w:rFonts w:ascii="Times New Roman" w:eastAsia="Times New Roman" w:hAnsi="Times New Roman" w:cs="Times New Roman"/>
                <w:b/>
                <w:bCs/>
                <w:color w:val="000000"/>
                <w:sz w:val="18"/>
                <w:szCs w:val="18"/>
                <w:lang w:eastAsia="es-GT"/>
              </w:rPr>
            </w:pPr>
            <w:r w:rsidRPr="004A4C21">
              <w:rPr>
                <w:rFonts w:ascii="Times New Roman" w:eastAsia="Times New Roman" w:hAnsi="Times New Roman" w:cs="Times New Roman"/>
                <w:b/>
                <w:bCs/>
                <w:color w:val="000000"/>
                <w:sz w:val="18"/>
                <w:szCs w:val="18"/>
                <w:lang w:eastAsia="es-GT"/>
              </w:rPr>
              <w:t>Resultado Operativo</w:t>
            </w:r>
          </w:p>
        </w:tc>
        <w:tc>
          <w:tcPr>
            <w:tcW w:w="1296" w:type="dxa"/>
            <w:tcBorders>
              <w:top w:val="nil"/>
              <w:left w:val="nil"/>
              <w:bottom w:val="nil"/>
              <w:right w:val="nil"/>
            </w:tcBorders>
            <w:shd w:val="clear" w:color="auto" w:fill="BDD6EE" w:themeFill="accent5" w:themeFillTint="66"/>
            <w:noWrap/>
            <w:vAlign w:val="center"/>
            <w:hideMark/>
          </w:tcPr>
          <w:p w14:paraId="46693AB6" w14:textId="2FBE4F08" w:rsidR="00DC2C33" w:rsidRPr="004A4C21" w:rsidRDefault="00DC2C33" w:rsidP="00DC2C33">
            <w:pPr>
              <w:jc w:val="center"/>
              <w:rPr>
                <w:rFonts w:ascii="Times New Roman" w:eastAsia="Times New Roman" w:hAnsi="Times New Roman" w:cs="Times New Roman"/>
                <w:b/>
                <w:bCs/>
                <w:color w:val="000000"/>
                <w:sz w:val="18"/>
                <w:szCs w:val="18"/>
                <w:lang w:eastAsia="es-GT"/>
              </w:rPr>
            </w:pPr>
            <w:r w:rsidRPr="004A4C21">
              <w:rPr>
                <w:rFonts w:ascii="Times New Roman" w:hAnsi="Times New Roman" w:cs="Times New Roman"/>
                <w:b/>
                <w:bCs/>
                <w:color w:val="000000"/>
                <w:sz w:val="18"/>
                <w:szCs w:val="18"/>
              </w:rPr>
              <w:t>-8,033.5</w:t>
            </w:r>
          </w:p>
        </w:tc>
        <w:tc>
          <w:tcPr>
            <w:tcW w:w="1297" w:type="dxa"/>
            <w:tcBorders>
              <w:top w:val="nil"/>
              <w:left w:val="nil"/>
              <w:bottom w:val="nil"/>
              <w:right w:val="nil"/>
            </w:tcBorders>
            <w:shd w:val="clear" w:color="auto" w:fill="BDD6EE" w:themeFill="accent5" w:themeFillTint="66"/>
            <w:noWrap/>
            <w:vAlign w:val="center"/>
            <w:hideMark/>
          </w:tcPr>
          <w:p w14:paraId="4DFE3E8B" w14:textId="704F9C23" w:rsidR="00DC2C33" w:rsidRPr="004A4C21" w:rsidRDefault="00DC2C33" w:rsidP="00DC2C33">
            <w:pPr>
              <w:jc w:val="center"/>
              <w:rPr>
                <w:rFonts w:ascii="Times New Roman" w:eastAsia="Times New Roman" w:hAnsi="Times New Roman" w:cs="Times New Roman"/>
                <w:b/>
                <w:bCs/>
                <w:color w:val="000000"/>
                <w:sz w:val="18"/>
                <w:szCs w:val="18"/>
                <w:lang w:eastAsia="es-GT"/>
              </w:rPr>
            </w:pPr>
            <w:r w:rsidRPr="004A4C21">
              <w:rPr>
                <w:rFonts w:ascii="Times New Roman" w:hAnsi="Times New Roman" w:cs="Times New Roman"/>
                <w:b/>
                <w:bCs/>
                <w:color w:val="000000"/>
                <w:sz w:val="18"/>
                <w:szCs w:val="18"/>
              </w:rPr>
              <w:t>-5,642.8</w:t>
            </w:r>
          </w:p>
        </w:tc>
        <w:tc>
          <w:tcPr>
            <w:tcW w:w="1170" w:type="dxa"/>
            <w:tcBorders>
              <w:top w:val="nil"/>
              <w:left w:val="dotDash" w:sz="4" w:space="0" w:color="auto"/>
              <w:bottom w:val="nil"/>
              <w:right w:val="nil"/>
            </w:tcBorders>
            <w:shd w:val="clear" w:color="auto" w:fill="BDD6EE" w:themeFill="accent5" w:themeFillTint="66"/>
            <w:noWrap/>
            <w:vAlign w:val="center"/>
            <w:hideMark/>
          </w:tcPr>
          <w:p w14:paraId="2DB23FF3" w14:textId="7F5473C5" w:rsidR="00DC2C33" w:rsidRPr="004A4C21" w:rsidRDefault="00DC2C33" w:rsidP="00DC2C33">
            <w:pPr>
              <w:jc w:val="center"/>
              <w:rPr>
                <w:rFonts w:ascii="Times New Roman" w:eastAsia="Times New Roman" w:hAnsi="Times New Roman" w:cs="Times New Roman"/>
                <w:b/>
                <w:bCs/>
                <w:color w:val="000000"/>
                <w:sz w:val="18"/>
                <w:szCs w:val="18"/>
                <w:lang w:eastAsia="es-GT"/>
              </w:rPr>
            </w:pPr>
            <w:r w:rsidRPr="004A4C21">
              <w:rPr>
                <w:rFonts w:ascii="Times New Roman" w:hAnsi="Times New Roman" w:cs="Times New Roman"/>
                <w:b/>
                <w:bCs/>
                <w:color w:val="000000"/>
                <w:sz w:val="18"/>
                <w:szCs w:val="18"/>
              </w:rPr>
              <w:t>-1.1</w:t>
            </w:r>
          </w:p>
        </w:tc>
        <w:tc>
          <w:tcPr>
            <w:tcW w:w="1173" w:type="dxa"/>
            <w:tcBorders>
              <w:top w:val="nil"/>
              <w:left w:val="nil"/>
              <w:bottom w:val="nil"/>
              <w:right w:val="nil"/>
            </w:tcBorders>
            <w:shd w:val="clear" w:color="auto" w:fill="BDD6EE" w:themeFill="accent5" w:themeFillTint="66"/>
            <w:noWrap/>
            <w:vAlign w:val="center"/>
            <w:hideMark/>
          </w:tcPr>
          <w:p w14:paraId="2A4C24DF" w14:textId="689E5297" w:rsidR="00DC2C33" w:rsidRPr="004A4C21" w:rsidRDefault="00DC2C33" w:rsidP="00DC2C33">
            <w:pPr>
              <w:jc w:val="center"/>
              <w:rPr>
                <w:rFonts w:ascii="Times New Roman" w:eastAsia="Times New Roman" w:hAnsi="Times New Roman" w:cs="Times New Roman"/>
                <w:b/>
                <w:bCs/>
                <w:color w:val="000000"/>
                <w:sz w:val="18"/>
                <w:szCs w:val="18"/>
                <w:lang w:eastAsia="es-GT"/>
              </w:rPr>
            </w:pPr>
            <w:r w:rsidRPr="004A4C21">
              <w:rPr>
                <w:rFonts w:ascii="Times New Roman" w:hAnsi="Times New Roman" w:cs="Times New Roman"/>
                <w:b/>
                <w:bCs/>
                <w:color w:val="000000"/>
                <w:sz w:val="18"/>
                <w:szCs w:val="18"/>
              </w:rPr>
              <w:t>-0.7</w:t>
            </w:r>
          </w:p>
        </w:tc>
      </w:tr>
      <w:tr w:rsidR="00975EDA" w:rsidRPr="004A4C21" w14:paraId="6B02091A" w14:textId="77777777" w:rsidTr="004245AE">
        <w:trPr>
          <w:trHeight w:val="188"/>
          <w:jc w:val="center"/>
        </w:trPr>
        <w:tc>
          <w:tcPr>
            <w:tcW w:w="9112" w:type="dxa"/>
            <w:gridSpan w:val="5"/>
            <w:tcBorders>
              <w:top w:val="single" w:sz="8" w:space="0" w:color="auto"/>
              <w:left w:val="nil"/>
              <w:bottom w:val="double" w:sz="6" w:space="0" w:color="auto"/>
              <w:right w:val="nil"/>
            </w:tcBorders>
            <w:shd w:val="clear" w:color="auto" w:fill="auto"/>
            <w:noWrap/>
            <w:vAlign w:val="center"/>
            <w:hideMark/>
          </w:tcPr>
          <w:p w14:paraId="1DA200B6" w14:textId="77777777" w:rsidR="00975EDA" w:rsidRPr="004A4C21" w:rsidRDefault="00975EDA" w:rsidP="00B341EB">
            <w:pPr>
              <w:jc w:val="both"/>
              <w:rPr>
                <w:rFonts w:ascii="Times New Roman" w:eastAsia="Times New Roman" w:hAnsi="Times New Roman" w:cs="Times New Roman"/>
                <w:b/>
                <w:bCs/>
                <w:color w:val="4472C4"/>
                <w:sz w:val="18"/>
                <w:szCs w:val="18"/>
                <w:lang w:eastAsia="es-GT"/>
              </w:rPr>
            </w:pPr>
            <w:r w:rsidRPr="004A4C21">
              <w:rPr>
                <w:rFonts w:ascii="Times New Roman" w:eastAsia="Times New Roman" w:hAnsi="Times New Roman" w:cs="Times New Roman"/>
                <w:b/>
                <w:bCs/>
                <w:color w:val="4472C4"/>
                <w:sz w:val="18"/>
                <w:szCs w:val="18"/>
                <w:lang w:eastAsia="es-GT"/>
              </w:rPr>
              <w:t>TRANSACCIONES EN ACTIVOS NO FINANCIEROS</w:t>
            </w:r>
          </w:p>
        </w:tc>
      </w:tr>
      <w:tr w:rsidR="0016525A" w:rsidRPr="004A4C21" w14:paraId="1232FF4E" w14:textId="77777777" w:rsidTr="004245AE">
        <w:trPr>
          <w:trHeight w:val="188"/>
          <w:jc w:val="center"/>
        </w:trPr>
        <w:tc>
          <w:tcPr>
            <w:tcW w:w="4174" w:type="dxa"/>
            <w:tcBorders>
              <w:top w:val="nil"/>
              <w:left w:val="nil"/>
              <w:bottom w:val="nil"/>
              <w:right w:val="nil"/>
            </w:tcBorders>
            <w:shd w:val="clear" w:color="auto" w:fill="auto"/>
            <w:noWrap/>
            <w:vAlign w:val="center"/>
            <w:hideMark/>
          </w:tcPr>
          <w:p w14:paraId="4824131F" w14:textId="77777777" w:rsidR="0016525A" w:rsidRPr="004A4C21" w:rsidRDefault="0016525A" w:rsidP="0016525A">
            <w:pPr>
              <w:jc w:val="both"/>
              <w:rPr>
                <w:rFonts w:ascii="Times New Roman" w:eastAsia="Times New Roman" w:hAnsi="Times New Roman" w:cs="Times New Roman"/>
                <w:color w:val="000000"/>
                <w:sz w:val="18"/>
                <w:szCs w:val="18"/>
                <w:lang w:eastAsia="es-GT"/>
              </w:rPr>
            </w:pPr>
            <w:r w:rsidRPr="004A4C21">
              <w:rPr>
                <w:rFonts w:ascii="Times New Roman" w:eastAsia="Times New Roman" w:hAnsi="Times New Roman" w:cs="Times New Roman"/>
                <w:color w:val="000000"/>
                <w:sz w:val="18"/>
                <w:szCs w:val="18"/>
                <w:lang w:eastAsia="es-GT"/>
              </w:rPr>
              <w:t>Inversión bruta en activos no financieros</w:t>
            </w:r>
          </w:p>
        </w:tc>
        <w:tc>
          <w:tcPr>
            <w:tcW w:w="1296" w:type="dxa"/>
            <w:tcBorders>
              <w:top w:val="nil"/>
              <w:left w:val="nil"/>
              <w:bottom w:val="nil"/>
              <w:right w:val="nil"/>
            </w:tcBorders>
            <w:shd w:val="clear" w:color="auto" w:fill="auto"/>
            <w:noWrap/>
            <w:vAlign w:val="center"/>
            <w:hideMark/>
          </w:tcPr>
          <w:p w14:paraId="2AFE5CA9" w14:textId="64E90571" w:rsidR="0016525A" w:rsidRPr="004A4C21" w:rsidRDefault="0016525A" w:rsidP="0016525A">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4,622.8</w:t>
            </w:r>
          </w:p>
        </w:tc>
        <w:tc>
          <w:tcPr>
            <w:tcW w:w="1297" w:type="dxa"/>
            <w:tcBorders>
              <w:top w:val="nil"/>
              <w:left w:val="nil"/>
              <w:bottom w:val="nil"/>
              <w:right w:val="nil"/>
            </w:tcBorders>
            <w:shd w:val="clear" w:color="auto" w:fill="auto"/>
            <w:noWrap/>
            <w:vAlign w:val="center"/>
            <w:hideMark/>
          </w:tcPr>
          <w:p w14:paraId="7B359569" w14:textId="64755687" w:rsidR="0016525A" w:rsidRPr="004A4C21" w:rsidRDefault="0016525A" w:rsidP="0016525A">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5,022.0</w:t>
            </w:r>
          </w:p>
        </w:tc>
        <w:tc>
          <w:tcPr>
            <w:tcW w:w="1170" w:type="dxa"/>
            <w:tcBorders>
              <w:top w:val="double" w:sz="6" w:space="0" w:color="auto"/>
              <w:left w:val="dotDash" w:sz="4" w:space="0" w:color="auto"/>
              <w:bottom w:val="nil"/>
              <w:right w:val="nil"/>
            </w:tcBorders>
            <w:shd w:val="clear" w:color="auto" w:fill="auto"/>
            <w:noWrap/>
            <w:vAlign w:val="center"/>
            <w:hideMark/>
          </w:tcPr>
          <w:p w14:paraId="51B1CB10" w14:textId="09CF3985" w:rsidR="0016525A" w:rsidRPr="004A4C21" w:rsidRDefault="0016525A" w:rsidP="0016525A">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0.6</w:t>
            </w:r>
          </w:p>
        </w:tc>
        <w:tc>
          <w:tcPr>
            <w:tcW w:w="1173" w:type="dxa"/>
            <w:tcBorders>
              <w:top w:val="nil"/>
              <w:left w:val="nil"/>
              <w:bottom w:val="nil"/>
              <w:right w:val="nil"/>
            </w:tcBorders>
            <w:shd w:val="clear" w:color="auto" w:fill="auto"/>
            <w:noWrap/>
            <w:vAlign w:val="center"/>
            <w:hideMark/>
          </w:tcPr>
          <w:p w14:paraId="2CC810A3" w14:textId="04670A6C" w:rsidR="0016525A" w:rsidRPr="004A4C21" w:rsidRDefault="0016525A" w:rsidP="0016525A">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0.6</w:t>
            </w:r>
          </w:p>
        </w:tc>
      </w:tr>
      <w:tr w:rsidR="0016525A" w:rsidRPr="004A4C21" w14:paraId="2F1FB7A7" w14:textId="77777777" w:rsidTr="004245AE">
        <w:trPr>
          <w:trHeight w:val="188"/>
          <w:jc w:val="center"/>
        </w:trPr>
        <w:tc>
          <w:tcPr>
            <w:tcW w:w="4174" w:type="dxa"/>
            <w:tcBorders>
              <w:top w:val="nil"/>
              <w:left w:val="nil"/>
              <w:bottom w:val="nil"/>
              <w:right w:val="nil"/>
            </w:tcBorders>
            <w:shd w:val="clear" w:color="auto" w:fill="auto"/>
            <w:noWrap/>
            <w:vAlign w:val="center"/>
            <w:hideMark/>
          </w:tcPr>
          <w:p w14:paraId="49790EC1" w14:textId="77777777" w:rsidR="0016525A" w:rsidRPr="004A4C21" w:rsidRDefault="0016525A" w:rsidP="0016525A">
            <w:pPr>
              <w:jc w:val="both"/>
              <w:rPr>
                <w:rFonts w:ascii="Times New Roman" w:eastAsia="Times New Roman" w:hAnsi="Times New Roman" w:cs="Times New Roman"/>
                <w:color w:val="000000"/>
                <w:sz w:val="18"/>
                <w:szCs w:val="18"/>
                <w:lang w:eastAsia="es-GT"/>
              </w:rPr>
            </w:pPr>
            <w:r w:rsidRPr="004A4C21">
              <w:rPr>
                <w:rFonts w:ascii="Times New Roman" w:eastAsia="Times New Roman" w:hAnsi="Times New Roman" w:cs="Times New Roman"/>
                <w:color w:val="000000"/>
                <w:sz w:val="18"/>
                <w:szCs w:val="18"/>
                <w:lang w:eastAsia="es-GT"/>
              </w:rPr>
              <w:t>Erogación</w:t>
            </w:r>
          </w:p>
        </w:tc>
        <w:tc>
          <w:tcPr>
            <w:tcW w:w="1296" w:type="dxa"/>
            <w:tcBorders>
              <w:top w:val="nil"/>
              <w:left w:val="nil"/>
              <w:bottom w:val="nil"/>
              <w:right w:val="nil"/>
            </w:tcBorders>
            <w:shd w:val="clear" w:color="auto" w:fill="auto"/>
            <w:noWrap/>
            <w:vAlign w:val="center"/>
            <w:hideMark/>
          </w:tcPr>
          <w:p w14:paraId="4437DD87" w14:textId="3E15EDC9" w:rsidR="0016525A" w:rsidRPr="004A4C21" w:rsidRDefault="0016525A" w:rsidP="0016525A">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108,320.2</w:t>
            </w:r>
          </w:p>
        </w:tc>
        <w:tc>
          <w:tcPr>
            <w:tcW w:w="1297" w:type="dxa"/>
            <w:tcBorders>
              <w:top w:val="nil"/>
              <w:left w:val="nil"/>
              <w:bottom w:val="nil"/>
              <w:right w:val="nil"/>
            </w:tcBorders>
            <w:shd w:val="clear" w:color="auto" w:fill="auto"/>
            <w:noWrap/>
            <w:vAlign w:val="center"/>
            <w:hideMark/>
          </w:tcPr>
          <w:p w14:paraId="2E3A4E99" w14:textId="1D2BBFD6" w:rsidR="0016525A" w:rsidRPr="004A4C21" w:rsidRDefault="0016525A" w:rsidP="0016525A">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115,623.9</w:t>
            </w:r>
          </w:p>
        </w:tc>
        <w:tc>
          <w:tcPr>
            <w:tcW w:w="1170" w:type="dxa"/>
            <w:tcBorders>
              <w:top w:val="nil"/>
              <w:left w:val="dotDash" w:sz="4" w:space="0" w:color="auto"/>
              <w:bottom w:val="nil"/>
              <w:right w:val="nil"/>
            </w:tcBorders>
            <w:shd w:val="clear" w:color="auto" w:fill="auto"/>
            <w:noWrap/>
            <w:vAlign w:val="center"/>
            <w:hideMark/>
          </w:tcPr>
          <w:p w14:paraId="0DE61329" w14:textId="563763E4" w:rsidR="0016525A" w:rsidRPr="004A4C21" w:rsidRDefault="0016525A" w:rsidP="0016525A">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14.7</w:t>
            </w:r>
          </w:p>
        </w:tc>
        <w:tc>
          <w:tcPr>
            <w:tcW w:w="1173" w:type="dxa"/>
            <w:tcBorders>
              <w:top w:val="nil"/>
              <w:left w:val="nil"/>
              <w:bottom w:val="nil"/>
              <w:right w:val="nil"/>
            </w:tcBorders>
            <w:shd w:val="clear" w:color="auto" w:fill="auto"/>
            <w:noWrap/>
            <w:vAlign w:val="center"/>
            <w:hideMark/>
          </w:tcPr>
          <w:p w14:paraId="4E79BBA0" w14:textId="6A100DA7" w:rsidR="0016525A" w:rsidRPr="004A4C21" w:rsidRDefault="0016525A" w:rsidP="0016525A">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14.5</w:t>
            </w:r>
          </w:p>
        </w:tc>
      </w:tr>
      <w:tr w:rsidR="0016525A" w:rsidRPr="004A4C21" w14:paraId="20040B87" w14:textId="77777777" w:rsidTr="004245AE">
        <w:trPr>
          <w:trHeight w:val="188"/>
          <w:jc w:val="center"/>
        </w:trPr>
        <w:tc>
          <w:tcPr>
            <w:tcW w:w="4174" w:type="dxa"/>
            <w:tcBorders>
              <w:top w:val="nil"/>
              <w:left w:val="nil"/>
              <w:bottom w:val="nil"/>
              <w:right w:val="nil"/>
            </w:tcBorders>
            <w:shd w:val="clear" w:color="auto" w:fill="auto"/>
            <w:noWrap/>
            <w:vAlign w:val="center"/>
            <w:hideMark/>
          </w:tcPr>
          <w:p w14:paraId="6ED542EE" w14:textId="77777777" w:rsidR="0016525A" w:rsidRPr="004A4C21" w:rsidRDefault="0016525A" w:rsidP="0016525A">
            <w:pPr>
              <w:jc w:val="both"/>
              <w:rPr>
                <w:rFonts w:ascii="Times New Roman" w:eastAsia="Times New Roman" w:hAnsi="Times New Roman" w:cs="Times New Roman"/>
                <w:b/>
                <w:bCs/>
                <w:color w:val="000000"/>
                <w:sz w:val="18"/>
                <w:szCs w:val="18"/>
                <w:lang w:eastAsia="es-GT"/>
              </w:rPr>
            </w:pPr>
            <w:r w:rsidRPr="004A4C21">
              <w:rPr>
                <w:rFonts w:ascii="Times New Roman" w:eastAsia="Times New Roman" w:hAnsi="Times New Roman" w:cs="Times New Roman"/>
                <w:b/>
                <w:bCs/>
                <w:color w:val="000000"/>
                <w:sz w:val="18"/>
                <w:szCs w:val="18"/>
                <w:lang w:eastAsia="es-GT"/>
              </w:rPr>
              <w:t>Resultado Primario</w:t>
            </w:r>
          </w:p>
        </w:tc>
        <w:tc>
          <w:tcPr>
            <w:tcW w:w="1296" w:type="dxa"/>
            <w:tcBorders>
              <w:top w:val="nil"/>
              <w:left w:val="nil"/>
              <w:bottom w:val="nil"/>
              <w:right w:val="nil"/>
            </w:tcBorders>
            <w:shd w:val="clear" w:color="auto" w:fill="auto"/>
            <w:noWrap/>
            <w:vAlign w:val="center"/>
            <w:hideMark/>
          </w:tcPr>
          <w:p w14:paraId="06758652" w14:textId="6ADA1BF2" w:rsidR="0016525A" w:rsidRPr="004A4C21" w:rsidRDefault="0016525A" w:rsidP="0016525A">
            <w:pPr>
              <w:jc w:val="center"/>
              <w:rPr>
                <w:rFonts w:ascii="Times New Roman" w:eastAsia="Times New Roman" w:hAnsi="Times New Roman" w:cs="Times New Roman"/>
                <w:b/>
                <w:bCs/>
                <w:color w:val="000000"/>
                <w:sz w:val="18"/>
                <w:szCs w:val="18"/>
                <w:lang w:eastAsia="es-GT"/>
              </w:rPr>
            </w:pPr>
            <w:r w:rsidRPr="004A4C21">
              <w:rPr>
                <w:rFonts w:ascii="Times New Roman" w:hAnsi="Times New Roman" w:cs="Times New Roman"/>
                <w:b/>
                <w:bCs/>
                <w:color w:val="000000"/>
                <w:sz w:val="18"/>
                <w:szCs w:val="18"/>
              </w:rPr>
              <w:t>-535.8</w:t>
            </w:r>
          </w:p>
        </w:tc>
        <w:tc>
          <w:tcPr>
            <w:tcW w:w="1297" w:type="dxa"/>
            <w:tcBorders>
              <w:top w:val="nil"/>
              <w:left w:val="nil"/>
              <w:bottom w:val="nil"/>
              <w:right w:val="nil"/>
            </w:tcBorders>
            <w:shd w:val="clear" w:color="auto" w:fill="auto"/>
            <w:noWrap/>
            <w:vAlign w:val="center"/>
            <w:hideMark/>
          </w:tcPr>
          <w:p w14:paraId="65AEB3F4" w14:textId="5C82348A" w:rsidR="0016525A" w:rsidRPr="004A4C21" w:rsidRDefault="0016525A" w:rsidP="0016525A">
            <w:pPr>
              <w:jc w:val="center"/>
              <w:rPr>
                <w:rFonts w:ascii="Times New Roman" w:eastAsia="Times New Roman" w:hAnsi="Times New Roman" w:cs="Times New Roman"/>
                <w:b/>
                <w:bCs/>
                <w:color w:val="000000"/>
                <w:sz w:val="18"/>
                <w:szCs w:val="18"/>
                <w:lang w:eastAsia="es-GT"/>
              </w:rPr>
            </w:pPr>
            <w:r w:rsidRPr="004A4C21">
              <w:rPr>
                <w:rFonts w:ascii="Times New Roman" w:hAnsi="Times New Roman" w:cs="Times New Roman"/>
                <w:b/>
                <w:bCs/>
                <w:color w:val="000000"/>
                <w:sz w:val="18"/>
                <w:szCs w:val="18"/>
              </w:rPr>
              <w:t>2,280.6</w:t>
            </w:r>
          </w:p>
        </w:tc>
        <w:tc>
          <w:tcPr>
            <w:tcW w:w="1170" w:type="dxa"/>
            <w:tcBorders>
              <w:top w:val="nil"/>
              <w:left w:val="dotDash" w:sz="4" w:space="0" w:color="auto"/>
              <w:bottom w:val="nil"/>
              <w:right w:val="nil"/>
            </w:tcBorders>
            <w:shd w:val="clear" w:color="auto" w:fill="auto"/>
            <w:noWrap/>
            <w:vAlign w:val="center"/>
            <w:hideMark/>
          </w:tcPr>
          <w:p w14:paraId="7A3A925F" w14:textId="026FF9F2" w:rsidR="0016525A" w:rsidRPr="004A4C21" w:rsidRDefault="0016525A" w:rsidP="0016525A">
            <w:pPr>
              <w:jc w:val="center"/>
              <w:rPr>
                <w:rFonts w:ascii="Times New Roman" w:eastAsia="Times New Roman" w:hAnsi="Times New Roman" w:cs="Times New Roman"/>
                <w:b/>
                <w:bCs/>
                <w:color w:val="000000"/>
                <w:sz w:val="18"/>
                <w:szCs w:val="18"/>
                <w:lang w:eastAsia="es-GT"/>
              </w:rPr>
            </w:pPr>
            <w:r w:rsidRPr="004A4C21">
              <w:rPr>
                <w:rFonts w:ascii="Times New Roman" w:hAnsi="Times New Roman" w:cs="Times New Roman"/>
                <w:b/>
                <w:bCs/>
                <w:color w:val="000000"/>
                <w:sz w:val="18"/>
                <w:szCs w:val="18"/>
              </w:rPr>
              <w:t>-0.1</w:t>
            </w:r>
          </w:p>
        </w:tc>
        <w:tc>
          <w:tcPr>
            <w:tcW w:w="1173" w:type="dxa"/>
            <w:tcBorders>
              <w:top w:val="nil"/>
              <w:left w:val="nil"/>
              <w:bottom w:val="nil"/>
              <w:right w:val="nil"/>
            </w:tcBorders>
            <w:shd w:val="clear" w:color="auto" w:fill="auto"/>
            <w:noWrap/>
            <w:vAlign w:val="center"/>
            <w:hideMark/>
          </w:tcPr>
          <w:p w14:paraId="340E3495" w14:textId="1ED5CCE8" w:rsidR="0016525A" w:rsidRPr="004A4C21" w:rsidRDefault="0016525A" w:rsidP="0016525A">
            <w:pPr>
              <w:jc w:val="center"/>
              <w:rPr>
                <w:rFonts w:ascii="Times New Roman" w:eastAsia="Times New Roman" w:hAnsi="Times New Roman" w:cs="Times New Roman"/>
                <w:b/>
                <w:bCs/>
                <w:color w:val="000000"/>
                <w:sz w:val="18"/>
                <w:szCs w:val="18"/>
                <w:lang w:eastAsia="es-GT"/>
              </w:rPr>
            </w:pPr>
            <w:r w:rsidRPr="004A4C21">
              <w:rPr>
                <w:rFonts w:ascii="Times New Roman" w:hAnsi="Times New Roman" w:cs="Times New Roman"/>
                <w:b/>
                <w:bCs/>
                <w:color w:val="000000"/>
                <w:sz w:val="18"/>
                <w:szCs w:val="18"/>
              </w:rPr>
              <w:t>0.3</w:t>
            </w:r>
          </w:p>
        </w:tc>
      </w:tr>
      <w:tr w:rsidR="0016525A" w:rsidRPr="004A4C21" w14:paraId="37B49C0D" w14:textId="77777777" w:rsidTr="004245AE">
        <w:trPr>
          <w:trHeight w:val="188"/>
          <w:jc w:val="center"/>
        </w:trPr>
        <w:tc>
          <w:tcPr>
            <w:tcW w:w="4174" w:type="dxa"/>
            <w:tcBorders>
              <w:top w:val="nil"/>
              <w:left w:val="nil"/>
              <w:bottom w:val="nil"/>
              <w:right w:val="nil"/>
            </w:tcBorders>
            <w:shd w:val="clear" w:color="auto" w:fill="8496B0" w:themeFill="text2" w:themeFillTint="99"/>
            <w:noWrap/>
            <w:vAlign w:val="center"/>
            <w:hideMark/>
          </w:tcPr>
          <w:p w14:paraId="563AF3E3" w14:textId="77777777" w:rsidR="0016525A" w:rsidRPr="004A4C21" w:rsidRDefault="0016525A" w:rsidP="0016525A">
            <w:pPr>
              <w:jc w:val="both"/>
              <w:rPr>
                <w:rFonts w:ascii="Times New Roman" w:eastAsia="Times New Roman" w:hAnsi="Times New Roman" w:cs="Times New Roman"/>
                <w:b/>
                <w:bCs/>
                <w:color w:val="000000"/>
                <w:sz w:val="18"/>
                <w:szCs w:val="18"/>
                <w:lang w:eastAsia="es-GT"/>
              </w:rPr>
            </w:pPr>
            <w:r w:rsidRPr="004A4C21">
              <w:rPr>
                <w:rFonts w:ascii="Times New Roman" w:eastAsia="Times New Roman" w:hAnsi="Times New Roman" w:cs="Times New Roman"/>
                <w:b/>
                <w:bCs/>
                <w:color w:val="000000"/>
                <w:sz w:val="18"/>
                <w:szCs w:val="18"/>
                <w:lang w:eastAsia="es-GT"/>
              </w:rPr>
              <w:t>Préstamo (+) / endeudamiento (-)</w:t>
            </w:r>
          </w:p>
        </w:tc>
        <w:tc>
          <w:tcPr>
            <w:tcW w:w="1296" w:type="dxa"/>
            <w:tcBorders>
              <w:top w:val="nil"/>
              <w:left w:val="nil"/>
              <w:bottom w:val="nil"/>
              <w:right w:val="nil"/>
            </w:tcBorders>
            <w:shd w:val="clear" w:color="auto" w:fill="8496B0" w:themeFill="text2" w:themeFillTint="99"/>
            <w:noWrap/>
            <w:vAlign w:val="center"/>
            <w:hideMark/>
          </w:tcPr>
          <w:p w14:paraId="2EAB2DFF" w14:textId="4AF26F79" w:rsidR="0016525A" w:rsidRPr="004A4C21" w:rsidRDefault="0016525A" w:rsidP="0016525A">
            <w:pPr>
              <w:jc w:val="center"/>
              <w:rPr>
                <w:rFonts w:ascii="Times New Roman" w:eastAsia="Times New Roman" w:hAnsi="Times New Roman" w:cs="Times New Roman"/>
                <w:b/>
                <w:bCs/>
                <w:color w:val="000000"/>
                <w:sz w:val="18"/>
                <w:szCs w:val="18"/>
                <w:lang w:eastAsia="es-GT"/>
              </w:rPr>
            </w:pPr>
            <w:r w:rsidRPr="004A4C21">
              <w:rPr>
                <w:rFonts w:ascii="Times New Roman" w:hAnsi="Times New Roman" w:cs="Times New Roman"/>
                <w:b/>
                <w:bCs/>
                <w:color w:val="000000"/>
                <w:sz w:val="18"/>
                <w:szCs w:val="18"/>
              </w:rPr>
              <w:t>-12,656.3</w:t>
            </w:r>
          </w:p>
        </w:tc>
        <w:tc>
          <w:tcPr>
            <w:tcW w:w="1297" w:type="dxa"/>
            <w:tcBorders>
              <w:top w:val="nil"/>
              <w:left w:val="nil"/>
              <w:bottom w:val="nil"/>
              <w:right w:val="nil"/>
            </w:tcBorders>
            <w:shd w:val="clear" w:color="auto" w:fill="8496B0" w:themeFill="text2" w:themeFillTint="99"/>
            <w:noWrap/>
            <w:vAlign w:val="center"/>
            <w:hideMark/>
          </w:tcPr>
          <w:p w14:paraId="78106401" w14:textId="33FAB9C8" w:rsidR="0016525A" w:rsidRPr="004A4C21" w:rsidRDefault="0016525A" w:rsidP="0016525A">
            <w:pPr>
              <w:jc w:val="center"/>
              <w:rPr>
                <w:rFonts w:ascii="Times New Roman" w:eastAsia="Times New Roman" w:hAnsi="Times New Roman" w:cs="Times New Roman"/>
                <w:b/>
                <w:bCs/>
                <w:color w:val="000000"/>
                <w:sz w:val="18"/>
                <w:szCs w:val="18"/>
                <w:lang w:eastAsia="es-GT"/>
              </w:rPr>
            </w:pPr>
            <w:r w:rsidRPr="004A4C21">
              <w:rPr>
                <w:rFonts w:ascii="Times New Roman" w:hAnsi="Times New Roman" w:cs="Times New Roman"/>
                <w:b/>
                <w:bCs/>
                <w:color w:val="000000"/>
                <w:sz w:val="18"/>
                <w:szCs w:val="18"/>
              </w:rPr>
              <w:t>-10,664.8</w:t>
            </w:r>
          </w:p>
        </w:tc>
        <w:tc>
          <w:tcPr>
            <w:tcW w:w="1170" w:type="dxa"/>
            <w:tcBorders>
              <w:top w:val="nil"/>
              <w:left w:val="dotDash" w:sz="4" w:space="0" w:color="auto"/>
              <w:bottom w:val="nil"/>
              <w:right w:val="nil"/>
            </w:tcBorders>
            <w:shd w:val="clear" w:color="auto" w:fill="8496B0" w:themeFill="text2" w:themeFillTint="99"/>
            <w:noWrap/>
            <w:vAlign w:val="center"/>
            <w:hideMark/>
          </w:tcPr>
          <w:p w14:paraId="27D9686F" w14:textId="46392596" w:rsidR="0016525A" w:rsidRPr="004A4C21" w:rsidRDefault="0016525A" w:rsidP="0016525A">
            <w:pPr>
              <w:jc w:val="center"/>
              <w:rPr>
                <w:rFonts w:ascii="Times New Roman" w:eastAsia="Times New Roman" w:hAnsi="Times New Roman" w:cs="Times New Roman"/>
                <w:b/>
                <w:bCs/>
                <w:color w:val="000000"/>
                <w:sz w:val="18"/>
                <w:szCs w:val="18"/>
                <w:lang w:eastAsia="es-GT"/>
              </w:rPr>
            </w:pPr>
            <w:r w:rsidRPr="004A4C21">
              <w:rPr>
                <w:rFonts w:ascii="Times New Roman" w:hAnsi="Times New Roman" w:cs="Times New Roman"/>
                <w:b/>
                <w:bCs/>
                <w:color w:val="000000"/>
                <w:sz w:val="18"/>
                <w:szCs w:val="18"/>
              </w:rPr>
              <w:t>-1.7</w:t>
            </w:r>
          </w:p>
        </w:tc>
        <w:tc>
          <w:tcPr>
            <w:tcW w:w="1173" w:type="dxa"/>
            <w:tcBorders>
              <w:top w:val="nil"/>
              <w:left w:val="nil"/>
              <w:bottom w:val="nil"/>
              <w:right w:val="nil"/>
            </w:tcBorders>
            <w:shd w:val="clear" w:color="auto" w:fill="8496B0" w:themeFill="text2" w:themeFillTint="99"/>
            <w:noWrap/>
            <w:vAlign w:val="center"/>
            <w:hideMark/>
          </w:tcPr>
          <w:p w14:paraId="5A883DB8" w14:textId="2179B7DE" w:rsidR="0016525A" w:rsidRPr="004A4C21" w:rsidRDefault="0016525A" w:rsidP="0016525A">
            <w:pPr>
              <w:jc w:val="center"/>
              <w:rPr>
                <w:rFonts w:ascii="Times New Roman" w:eastAsia="Times New Roman" w:hAnsi="Times New Roman" w:cs="Times New Roman"/>
                <w:b/>
                <w:bCs/>
                <w:color w:val="000000"/>
                <w:sz w:val="18"/>
                <w:szCs w:val="18"/>
                <w:lang w:eastAsia="es-GT"/>
              </w:rPr>
            </w:pPr>
            <w:r w:rsidRPr="004A4C21">
              <w:rPr>
                <w:rFonts w:ascii="Times New Roman" w:hAnsi="Times New Roman" w:cs="Times New Roman"/>
                <w:b/>
                <w:bCs/>
                <w:color w:val="000000"/>
                <w:sz w:val="18"/>
                <w:szCs w:val="18"/>
              </w:rPr>
              <w:t>-1.3</w:t>
            </w:r>
          </w:p>
        </w:tc>
      </w:tr>
      <w:tr w:rsidR="00975EDA" w:rsidRPr="004A4C21" w14:paraId="1B126EFC" w14:textId="77777777" w:rsidTr="004245AE">
        <w:trPr>
          <w:trHeight w:val="188"/>
          <w:jc w:val="center"/>
        </w:trPr>
        <w:tc>
          <w:tcPr>
            <w:tcW w:w="9112" w:type="dxa"/>
            <w:gridSpan w:val="5"/>
            <w:tcBorders>
              <w:top w:val="single" w:sz="8" w:space="0" w:color="auto"/>
              <w:left w:val="nil"/>
              <w:bottom w:val="double" w:sz="6" w:space="0" w:color="auto"/>
              <w:right w:val="nil"/>
            </w:tcBorders>
            <w:shd w:val="clear" w:color="auto" w:fill="auto"/>
            <w:noWrap/>
            <w:vAlign w:val="center"/>
            <w:hideMark/>
          </w:tcPr>
          <w:p w14:paraId="26D38141" w14:textId="77777777" w:rsidR="00975EDA" w:rsidRPr="004A4C21" w:rsidRDefault="00975EDA" w:rsidP="00B341EB">
            <w:pPr>
              <w:jc w:val="both"/>
              <w:rPr>
                <w:rFonts w:ascii="Times New Roman" w:eastAsia="Times New Roman" w:hAnsi="Times New Roman" w:cs="Times New Roman"/>
                <w:b/>
                <w:bCs/>
                <w:color w:val="4472C4"/>
                <w:sz w:val="18"/>
                <w:szCs w:val="18"/>
                <w:lang w:eastAsia="es-GT"/>
              </w:rPr>
            </w:pPr>
            <w:r w:rsidRPr="004A4C21">
              <w:rPr>
                <w:rFonts w:ascii="Times New Roman" w:eastAsia="Times New Roman" w:hAnsi="Times New Roman" w:cs="Times New Roman"/>
                <w:b/>
                <w:bCs/>
                <w:color w:val="4472C4"/>
                <w:sz w:val="18"/>
                <w:szCs w:val="18"/>
                <w:lang w:eastAsia="es-GT"/>
              </w:rPr>
              <w:t>TRANSACCIONES EN ACTIVOS Y PASIVOS FINANCIEROS (FINANCIMIENTO)</w:t>
            </w:r>
          </w:p>
        </w:tc>
      </w:tr>
      <w:tr w:rsidR="0016525A" w:rsidRPr="004A4C21" w14:paraId="14DE4658" w14:textId="77777777" w:rsidTr="004245AE">
        <w:trPr>
          <w:trHeight w:val="188"/>
          <w:jc w:val="center"/>
        </w:trPr>
        <w:tc>
          <w:tcPr>
            <w:tcW w:w="4174" w:type="dxa"/>
            <w:tcBorders>
              <w:top w:val="nil"/>
              <w:left w:val="nil"/>
              <w:bottom w:val="nil"/>
              <w:right w:val="nil"/>
            </w:tcBorders>
            <w:shd w:val="clear" w:color="auto" w:fill="auto"/>
            <w:noWrap/>
            <w:vAlign w:val="center"/>
            <w:hideMark/>
          </w:tcPr>
          <w:p w14:paraId="2D388141" w14:textId="77777777" w:rsidR="0016525A" w:rsidRPr="004A4C21" w:rsidRDefault="0016525A" w:rsidP="0016525A">
            <w:pPr>
              <w:jc w:val="both"/>
              <w:rPr>
                <w:rFonts w:ascii="Times New Roman" w:eastAsia="Times New Roman" w:hAnsi="Times New Roman" w:cs="Times New Roman"/>
                <w:b/>
                <w:bCs/>
                <w:color w:val="000000"/>
                <w:sz w:val="18"/>
                <w:szCs w:val="18"/>
                <w:lang w:eastAsia="es-GT"/>
              </w:rPr>
            </w:pPr>
            <w:r w:rsidRPr="004A4C21">
              <w:rPr>
                <w:rFonts w:ascii="Times New Roman" w:eastAsia="Times New Roman" w:hAnsi="Times New Roman" w:cs="Times New Roman"/>
                <w:b/>
                <w:bCs/>
                <w:color w:val="000000"/>
                <w:sz w:val="18"/>
                <w:szCs w:val="18"/>
                <w:lang w:eastAsia="es-GT"/>
              </w:rPr>
              <w:t>Adquisición neta de activos financieros</w:t>
            </w:r>
          </w:p>
        </w:tc>
        <w:tc>
          <w:tcPr>
            <w:tcW w:w="1296" w:type="dxa"/>
            <w:tcBorders>
              <w:top w:val="nil"/>
              <w:left w:val="nil"/>
              <w:bottom w:val="nil"/>
              <w:right w:val="nil"/>
            </w:tcBorders>
            <w:shd w:val="clear" w:color="auto" w:fill="auto"/>
            <w:noWrap/>
            <w:vAlign w:val="center"/>
            <w:hideMark/>
          </w:tcPr>
          <w:p w14:paraId="6BC36DEE" w14:textId="00C4428E" w:rsidR="0016525A" w:rsidRPr="004A4C21" w:rsidRDefault="0016525A" w:rsidP="0016525A">
            <w:pPr>
              <w:jc w:val="center"/>
              <w:rPr>
                <w:rFonts w:ascii="Times New Roman" w:eastAsia="Times New Roman" w:hAnsi="Times New Roman" w:cs="Times New Roman"/>
                <w:b/>
                <w:bCs/>
                <w:color w:val="000000"/>
                <w:sz w:val="18"/>
                <w:szCs w:val="18"/>
                <w:lang w:eastAsia="es-GT"/>
              </w:rPr>
            </w:pPr>
            <w:r w:rsidRPr="004A4C21">
              <w:rPr>
                <w:rFonts w:ascii="Times New Roman" w:hAnsi="Times New Roman" w:cs="Times New Roman"/>
                <w:b/>
                <w:bCs/>
                <w:color w:val="000000"/>
                <w:sz w:val="18"/>
                <w:szCs w:val="18"/>
              </w:rPr>
              <w:t>-3,399.7</w:t>
            </w:r>
          </w:p>
        </w:tc>
        <w:tc>
          <w:tcPr>
            <w:tcW w:w="1297" w:type="dxa"/>
            <w:tcBorders>
              <w:top w:val="nil"/>
              <w:left w:val="nil"/>
              <w:bottom w:val="nil"/>
              <w:right w:val="nil"/>
            </w:tcBorders>
            <w:shd w:val="clear" w:color="auto" w:fill="auto"/>
            <w:noWrap/>
            <w:vAlign w:val="center"/>
            <w:hideMark/>
          </w:tcPr>
          <w:p w14:paraId="435D4310" w14:textId="3EB1D607" w:rsidR="0016525A" w:rsidRPr="004A4C21" w:rsidRDefault="0016525A" w:rsidP="0016525A">
            <w:pPr>
              <w:jc w:val="center"/>
              <w:rPr>
                <w:rFonts w:ascii="Times New Roman" w:eastAsia="Times New Roman" w:hAnsi="Times New Roman" w:cs="Times New Roman"/>
                <w:b/>
                <w:bCs/>
                <w:color w:val="000000"/>
                <w:sz w:val="18"/>
                <w:szCs w:val="18"/>
                <w:lang w:eastAsia="es-GT"/>
              </w:rPr>
            </w:pPr>
            <w:r w:rsidRPr="004A4C21">
              <w:rPr>
                <w:rFonts w:ascii="Times New Roman" w:hAnsi="Times New Roman" w:cs="Times New Roman"/>
                <w:b/>
                <w:bCs/>
                <w:color w:val="000000"/>
                <w:sz w:val="18"/>
                <w:szCs w:val="18"/>
              </w:rPr>
              <w:t>-2,647.2</w:t>
            </w:r>
          </w:p>
        </w:tc>
        <w:tc>
          <w:tcPr>
            <w:tcW w:w="1170" w:type="dxa"/>
            <w:tcBorders>
              <w:top w:val="double" w:sz="6" w:space="0" w:color="auto"/>
              <w:left w:val="dotDash" w:sz="4" w:space="0" w:color="auto"/>
              <w:bottom w:val="nil"/>
              <w:right w:val="nil"/>
            </w:tcBorders>
            <w:shd w:val="clear" w:color="auto" w:fill="auto"/>
            <w:noWrap/>
            <w:vAlign w:val="center"/>
            <w:hideMark/>
          </w:tcPr>
          <w:p w14:paraId="6BE2A389" w14:textId="2F5686F2" w:rsidR="0016525A" w:rsidRPr="004A4C21" w:rsidRDefault="0016525A" w:rsidP="0016525A">
            <w:pPr>
              <w:jc w:val="center"/>
              <w:rPr>
                <w:rFonts w:ascii="Times New Roman" w:eastAsia="Times New Roman" w:hAnsi="Times New Roman" w:cs="Times New Roman"/>
                <w:b/>
                <w:bCs/>
                <w:color w:val="000000"/>
                <w:sz w:val="18"/>
                <w:szCs w:val="18"/>
                <w:lang w:eastAsia="es-GT"/>
              </w:rPr>
            </w:pPr>
            <w:r w:rsidRPr="004A4C21">
              <w:rPr>
                <w:rFonts w:ascii="Times New Roman" w:hAnsi="Times New Roman" w:cs="Times New Roman"/>
                <w:b/>
                <w:bCs/>
                <w:color w:val="000000"/>
                <w:sz w:val="18"/>
                <w:szCs w:val="18"/>
              </w:rPr>
              <w:t>-0.5</w:t>
            </w:r>
          </w:p>
        </w:tc>
        <w:tc>
          <w:tcPr>
            <w:tcW w:w="1173" w:type="dxa"/>
            <w:tcBorders>
              <w:top w:val="nil"/>
              <w:left w:val="nil"/>
              <w:bottom w:val="nil"/>
              <w:right w:val="nil"/>
            </w:tcBorders>
            <w:shd w:val="clear" w:color="auto" w:fill="auto"/>
            <w:noWrap/>
            <w:vAlign w:val="center"/>
            <w:hideMark/>
          </w:tcPr>
          <w:p w14:paraId="70A8C018" w14:textId="4BF5DF3E" w:rsidR="0016525A" w:rsidRPr="004A4C21" w:rsidRDefault="0016525A" w:rsidP="0016525A">
            <w:pPr>
              <w:jc w:val="center"/>
              <w:rPr>
                <w:rFonts w:ascii="Times New Roman" w:eastAsia="Times New Roman" w:hAnsi="Times New Roman" w:cs="Times New Roman"/>
                <w:b/>
                <w:bCs/>
                <w:color w:val="000000"/>
                <w:sz w:val="18"/>
                <w:szCs w:val="18"/>
                <w:lang w:eastAsia="es-GT"/>
              </w:rPr>
            </w:pPr>
            <w:r w:rsidRPr="004A4C21">
              <w:rPr>
                <w:rFonts w:ascii="Times New Roman" w:hAnsi="Times New Roman" w:cs="Times New Roman"/>
                <w:b/>
                <w:bCs/>
                <w:color w:val="000000"/>
                <w:sz w:val="18"/>
                <w:szCs w:val="18"/>
              </w:rPr>
              <w:t>-0.3</w:t>
            </w:r>
          </w:p>
        </w:tc>
      </w:tr>
      <w:tr w:rsidR="0016525A" w:rsidRPr="004A4C21" w14:paraId="1AF7FDC9" w14:textId="77777777" w:rsidTr="004245AE">
        <w:trPr>
          <w:trHeight w:val="188"/>
          <w:jc w:val="center"/>
        </w:trPr>
        <w:tc>
          <w:tcPr>
            <w:tcW w:w="4174" w:type="dxa"/>
            <w:tcBorders>
              <w:top w:val="nil"/>
              <w:left w:val="nil"/>
              <w:bottom w:val="nil"/>
              <w:right w:val="nil"/>
            </w:tcBorders>
            <w:shd w:val="clear" w:color="auto" w:fill="auto"/>
            <w:noWrap/>
            <w:vAlign w:val="center"/>
            <w:hideMark/>
          </w:tcPr>
          <w:p w14:paraId="2E3D478E" w14:textId="77777777" w:rsidR="0016525A" w:rsidRPr="004A4C21" w:rsidRDefault="0016525A" w:rsidP="0016525A">
            <w:pPr>
              <w:ind w:firstLineChars="100" w:firstLine="180"/>
              <w:rPr>
                <w:rFonts w:ascii="Times New Roman" w:eastAsia="Times New Roman" w:hAnsi="Times New Roman" w:cs="Times New Roman"/>
                <w:color w:val="000000"/>
                <w:sz w:val="18"/>
                <w:szCs w:val="18"/>
                <w:lang w:eastAsia="es-GT"/>
              </w:rPr>
            </w:pPr>
            <w:r w:rsidRPr="004A4C21">
              <w:rPr>
                <w:rFonts w:ascii="Times New Roman" w:eastAsia="Times New Roman" w:hAnsi="Times New Roman" w:cs="Times New Roman"/>
                <w:color w:val="000000"/>
                <w:sz w:val="18"/>
                <w:szCs w:val="18"/>
                <w:lang w:eastAsia="es-GT"/>
              </w:rPr>
              <w:t>Billetes monedas y depósitos</w:t>
            </w:r>
          </w:p>
        </w:tc>
        <w:tc>
          <w:tcPr>
            <w:tcW w:w="1296" w:type="dxa"/>
            <w:tcBorders>
              <w:top w:val="nil"/>
              <w:left w:val="nil"/>
              <w:bottom w:val="nil"/>
              <w:right w:val="nil"/>
            </w:tcBorders>
            <w:shd w:val="clear" w:color="auto" w:fill="auto"/>
            <w:noWrap/>
            <w:vAlign w:val="center"/>
            <w:hideMark/>
          </w:tcPr>
          <w:p w14:paraId="7FEEE527" w14:textId="46580A84" w:rsidR="0016525A" w:rsidRPr="004A4C21" w:rsidRDefault="0016525A" w:rsidP="0016525A">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-3,354.9</w:t>
            </w:r>
          </w:p>
        </w:tc>
        <w:tc>
          <w:tcPr>
            <w:tcW w:w="1297" w:type="dxa"/>
            <w:tcBorders>
              <w:top w:val="nil"/>
              <w:left w:val="nil"/>
              <w:bottom w:val="nil"/>
              <w:right w:val="nil"/>
            </w:tcBorders>
            <w:shd w:val="clear" w:color="auto" w:fill="auto"/>
            <w:noWrap/>
            <w:vAlign w:val="center"/>
            <w:hideMark/>
          </w:tcPr>
          <w:p w14:paraId="0ADA0FD1" w14:textId="00985B76" w:rsidR="0016525A" w:rsidRPr="004A4C21" w:rsidRDefault="0016525A" w:rsidP="0016525A">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-2,590.7</w:t>
            </w:r>
          </w:p>
        </w:tc>
        <w:tc>
          <w:tcPr>
            <w:tcW w:w="1170" w:type="dxa"/>
            <w:tcBorders>
              <w:top w:val="nil"/>
              <w:left w:val="dotDash" w:sz="4" w:space="0" w:color="auto"/>
              <w:bottom w:val="nil"/>
              <w:right w:val="nil"/>
            </w:tcBorders>
            <w:shd w:val="clear" w:color="auto" w:fill="auto"/>
            <w:noWrap/>
            <w:vAlign w:val="center"/>
            <w:hideMark/>
          </w:tcPr>
          <w:p w14:paraId="6A9D8822" w14:textId="50F69DB3" w:rsidR="0016525A" w:rsidRPr="004A4C21" w:rsidRDefault="0016525A" w:rsidP="0016525A">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-0.5</w:t>
            </w:r>
          </w:p>
        </w:tc>
        <w:tc>
          <w:tcPr>
            <w:tcW w:w="1173" w:type="dxa"/>
            <w:tcBorders>
              <w:top w:val="nil"/>
              <w:left w:val="nil"/>
              <w:bottom w:val="nil"/>
              <w:right w:val="nil"/>
            </w:tcBorders>
            <w:shd w:val="clear" w:color="auto" w:fill="auto"/>
            <w:noWrap/>
            <w:vAlign w:val="center"/>
            <w:hideMark/>
          </w:tcPr>
          <w:p w14:paraId="387C7DEF" w14:textId="23EBC8D6" w:rsidR="0016525A" w:rsidRPr="004A4C21" w:rsidRDefault="0016525A" w:rsidP="0016525A">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-0.3</w:t>
            </w:r>
          </w:p>
        </w:tc>
      </w:tr>
      <w:tr w:rsidR="0016525A" w:rsidRPr="004A4C21" w14:paraId="29ADE6BF" w14:textId="77777777" w:rsidTr="004245AE">
        <w:trPr>
          <w:trHeight w:val="188"/>
          <w:jc w:val="center"/>
        </w:trPr>
        <w:tc>
          <w:tcPr>
            <w:tcW w:w="4174" w:type="dxa"/>
            <w:tcBorders>
              <w:top w:val="nil"/>
              <w:left w:val="nil"/>
              <w:bottom w:val="nil"/>
              <w:right w:val="nil"/>
            </w:tcBorders>
            <w:shd w:val="clear" w:color="auto" w:fill="auto"/>
            <w:noWrap/>
            <w:vAlign w:val="center"/>
            <w:hideMark/>
          </w:tcPr>
          <w:p w14:paraId="36CFD832" w14:textId="77777777" w:rsidR="0016525A" w:rsidRPr="004A4C21" w:rsidRDefault="0016525A" w:rsidP="0016525A">
            <w:pPr>
              <w:ind w:firstLineChars="100" w:firstLine="180"/>
              <w:rPr>
                <w:rFonts w:ascii="Times New Roman" w:eastAsia="Times New Roman" w:hAnsi="Times New Roman" w:cs="Times New Roman"/>
                <w:color w:val="000000"/>
                <w:sz w:val="18"/>
                <w:szCs w:val="18"/>
                <w:lang w:eastAsia="es-GT"/>
              </w:rPr>
            </w:pPr>
            <w:r w:rsidRPr="004A4C21">
              <w:rPr>
                <w:rFonts w:ascii="Times New Roman" w:eastAsia="Times New Roman" w:hAnsi="Times New Roman" w:cs="Times New Roman"/>
                <w:color w:val="000000"/>
                <w:sz w:val="18"/>
                <w:szCs w:val="18"/>
                <w:lang w:eastAsia="es-GT"/>
              </w:rPr>
              <w:t>Préstamos</w:t>
            </w:r>
          </w:p>
        </w:tc>
        <w:tc>
          <w:tcPr>
            <w:tcW w:w="1296" w:type="dxa"/>
            <w:tcBorders>
              <w:top w:val="nil"/>
              <w:left w:val="nil"/>
              <w:bottom w:val="nil"/>
              <w:right w:val="nil"/>
            </w:tcBorders>
            <w:shd w:val="clear" w:color="auto" w:fill="auto"/>
            <w:noWrap/>
            <w:vAlign w:val="center"/>
            <w:hideMark/>
          </w:tcPr>
          <w:p w14:paraId="5EA5B746" w14:textId="23DF4FA6" w:rsidR="0016525A" w:rsidRPr="004A4C21" w:rsidRDefault="0016525A" w:rsidP="0016525A">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-44.8</w:t>
            </w:r>
          </w:p>
        </w:tc>
        <w:tc>
          <w:tcPr>
            <w:tcW w:w="1297" w:type="dxa"/>
            <w:tcBorders>
              <w:top w:val="nil"/>
              <w:left w:val="nil"/>
              <w:bottom w:val="nil"/>
              <w:right w:val="nil"/>
            </w:tcBorders>
            <w:shd w:val="clear" w:color="auto" w:fill="auto"/>
            <w:noWrap/>
            <w:vAlign w:val="center"/>
            <w:hideMark/>
          </w:tcPr>
          <w:p w14:paraId="1674F2B7" w14:textId="0650A10E" w:rsidR="0016525A" w:rsidRPr="004A4C21" w:rsidRDefault="0016525A" w:rsidP="0016525A">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-56.5</w:t>
            </w:r>
          </w:p>
        </w:tc>
        <w:tc>
          <w:tcPr>
            <w:tcW w:w="1170" w:type="dxa"/>
            <w:tcBorders>
              <w:top w:val="nil"/>
              <w:left w:val="dotDash" w:sz="4" w:space="0" w:color="auto"/>
              <w:bottom w:val="nil"/>
              <w:right w:val="nil"/>
            </w:tcBorders>
            <w:shd w:val="clear" w:color="auto" w:fill="auto"/>
            <w:noWrap/>
            <w:vAlign w:val="center"/>
            <w:hideMark/>
          </w:tcPr>
          <w:p w14:paraId="1F901ABE" w14:textId="3AF64201" w:rsidR="0016525A" w:rsidRPr="004A4C21" w:rsidRDefault="0016525A" w:rsidP="0016525A">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0.0</w:t>
            </w:r>
          </w:p>
        </w:tc>
        <w:tc>
          <w:tcPr>
            <w:tcW w:w="1173" w:type="dxa"/>
            <w:tcBorders>
              <w:top w:val="nil"/>
              <w:left w:val="nil"/>
              <w:bottom w:val="nil"/>
              <w:right w:val="nil"/>
            </w:tcBorders>
            <w:shd w:val="clear" w:color="auto" w:fill="auto"/>
            <w:noWrap/>
            <w:vAlign w:val="center"/>
            <w:hideMark/>
          </w:tcPr>
          <w:p w14:paraId="765EB0B4" w14:textId="35826752" w:rsidR="0016525A" w:rsidRPr="004A4C21" w:rsidRDefault="0016525A" w:rsidP="0016525A">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0.0</w:t>
            </w:r>
          </w:p>
        </w:tc>
      </w:tr>
      <w:tr w:rsidR="0016525A" w:rsidRPr="004A4C21" w14:paraId="0AE41521" w14:textId="77777777" w:rsidTr="004245AE">
        <w:trPr>
          <w:trHeight w:val="188"/>
          <w:jc w:val="center"/>
        </w:trPr>
        <w:tc>
          <w:tcPr>
            <w:tcW w:w="4174" w:type="dxa"/>
            <w:tcBorders>
              <w:top w:val="nil"/>
              <w:left w:val="nil"/>
              <w:bottom w:val="nil"/>
              <w:right w:val="nil"/>
            </w:tcBorders>
            <w:shd w:val="clear" w:color="auto" w:fill="auto"/>
            <w:noWrap/>
            <w:vAlign w:val="center"/>
            <w:hideMark/>
          </w:tcPr>
          <w:p w14:paraId="0F7A02E2" w14:textId="77777777" w:rsidR="0016525A" w:rsidRPr="004A4C21" w:rsidRDefault="0016525A" w:rsidP="0016525A">
            <w:pPr>
              <w:ind w:firstLineChars="100" w:firstLine="180"/>
              <w:rPr>
                <w:rFonts w:ascii="Times New Roman" w:eastAsia="Times New Roman" w:hAnsi="Times New Roman" w:cs="Times New Roman"/>
                <w:color w:val="000000"/>
                <w:sz w:val="18"/>
                <w:szCs w:val="18"/>
                <w:lang w:eastAsia="es-GT"/>
              </w:rPr>
            </w:pPr>
            <w:r w:rsidRPr="004A4C21">
              <w:rPr>
                <w:rFonts w:ascii="Times New Roman" w:eastAsia="Times New Roman" w:hAnsi="Times New Roman" w:cs="Times New Roman"/>
                <w:color w:val="000000"/>
                <w:sz w:val="18"/>
                <w:szCs w:val="18"/>
                <w:lang w:eastAsia="es-GT"/>
              </w:rPr>
              <w:t>Otros</w:t>
            </w:r>
          </w:p>
        </w:tc>
        <w:tc>
          <w:tcPr>
            <w:tcW w:w="1296" w:type="dxa"/>
            <w:tcBorders>
              <w:top w:val="nil"/>
              <w:left w:val="nil"/>
              <w:bottom w:val="nil"/>
              <w:right w:val="nil"/>
            </w:tcBorders>
            <w:shd w:val="clear" w:color="auto" w:fill="auto"/>
            <w:noWrap/>
            <w:vAlign w:val="center"/>
            <w:hideMark/>
          </w:tcPr>
          <w:p w14:paraId="56CD553E" w14:textId="50BE49F8" w:rsidR="0016525A" w:rsidRPr="004A4C21" w:rsidRDefault="0016525A" w:rsidP="0016525A">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0.0</w:t>
            </w:r>
          </w:p>
        </w:tc>
        <w:tc>
          <w:tcPr>
            <w:tcW w:w="1297" w:type="dxa"/>
            <w:tcBorders>
              <w:top w:val="nil"/>
              <w:left w:val="nil"/>
              <w:bottom w:val="nil"/>
              <w:right w:val="nil"/>
            </w:tcBorders>
            <w:shd w:val="clear" w:color="auto" w:fill="auto"/>
            <w:noWrap/>
            <w:vAlign w:val="center"/>
            <w:hideMark/>
          </w:tcPr>
          <w:p w14:paraId="1E4C0DC2" w14:textId="43EE69E8" w:rsidR="0016525A" w:rsidRPr="004A4C21" w:rsidRDefault="0016525A" w:rsidP="0016525A">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0.0</w:t>
            </w:r>
          </w:p>
        </w:tc>
        <w:tc>
          <w:tcPr>
            <w:tcW w:w="1170" w:type="dxa"/>
            <w:tcBorders>
              <w:top w:val="nil"/>
              <w:left w:val="dotDash" w:sz="4" w:space="0" w:color="auto"/>
              <w:bottom w:val="nil"/>
              <w:right w:val="nil"/>
            </w:tcBorders>
            <w:shd w:val="clear" w:color="auto" w:fill="auto"/>
            <w:noWrap/>
            <w:vAlign w:val="center"/>
            <w:hideMark/>
          </w:tcPr>
          <w:p w14:paraId="66B883F8" w14:textId="3D0E935E" w:rsidR="0016525A" w:rsidRPr="004A4C21" w:rsidRDefault="0016525A" w:rsidP="0016525A">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0.0</w:t>
            </w:r>
          </w:p>
        </w:tc>
        <w:tc>
          <w:tcPr>
            <w:tcW w:w="1173" w:type="dxa"/>
            <w:tcBorders>
              <w:top w:val="nil"/>
              <w:left w:val="nil"/>
              <w:bottom w:val="nil"/>
              <w:right w:val="nil"/>
            </w:tcBorders>
            <w:shd w:val="clear" w:color="auto" w:fill="auto"/>
            <w:noWrap/>
            <w:vAlign w:val="center"/>
            <w:hideMark/>
          </w:tcPr>
          <w:p w14:paraId="4FABBFA6" w14:textId="508E1AB0" w:rsidR="0016525A" w:rsidRPr="004A4C21" w:rsidRDefault="0016525A" w:rsidP="0016525A">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0.0</w:t>
            </w:r>
          </w:p>
        </w:tc>
      </w:tr>
      <w:tr w:rsidR="0016525A" w:rsidRPr="004A4C21" w14:paraId="48ED40BD" w14:textId="77777777" w:rsidTr="004245AE">
        <w:trPr>
          <w:trHeight w:val="188"/>
          <w:jc w:val="center"/>
        </w:trPr>
        <w:tc>
          <w:tcPr>
            <w:tcW w:w="4174" w:type="dxa"/>
            <w:tcBorders>
              <w:top w:val="nil"/>
              <w:left w:val="nil"/>
              <w:bottom w:val="nil"/>
              <w:right w:val="nil"/>
            </w:tcBorders>
            <w:shd w:val="clear" w:color="auto" w:fill="auto"/>
            <w:noWrap/>
            <w:vAlign w:val="center"/>
            <w:hideMark/>
          </w:tcPr>
          <w:p w14:paraId="6B0B53F3" w14:textId="77777777" w:rsidR="0016525A" w:rsidRPr="004A4C21" w:rsidRDefault="0016525A" w:rsidP="0016525A">
            <w:pPr>
              <w:jc w:val="both"/>
              <w:rPr>
                <w:rFonts w:ascii="Times New Roman" w:eastAsia="Times New Roman" w:hAnsi="Times New Roman" w:cs="Times New Roman"/>
                <w:b/>
                <w:bCs/>
                <w:color w:val="000000"/>
                <w:sz w:val="18"/>
                <w:szCs w:val="18"/>
                <w:lang w:eastAsia="es-GT"/>
              </w:rPr>
            </w:pPr>
            <w:r w:rsidRPr="004A4C21">
              <w:rPr>
                <w:rFonts w:ascii="Times New Roman" w:eastAsia="Times New Roman" w:hAnsi="Times New Roman" w:cs="Times New Roman"/>
                <w:b/>
                <w:bCs/>
                <w:color w:val="000000"/>
                <w:sz w:val="18"/>
                <w:szCs w:val="18"/>
                <w:lang w:eastAsia="es-GT"/>
              </w:rPr>
              <w:t>Incurrimiento neto de pasivos</w:t>
            </w:r>
          </w:p>
        </w:tc>
        <w:tc>
          <w:tcPr>
            <w:tcW w:w="1296" w:type="dxa"/>
            <w:tcBorders>
              <w:top w:val="nil"/>
              <w:left w:val="nil"/>
              <w:bottom w:val="nil"/>
              <w:right w:val="nil"/>
            </w:tcBorders>
            <w:shd w:val="clear" w:color="auto" w:fill="auto"/>
            <w:noWrap/>
            <w:vAlign w:val="center"/>
            <w:hideMark/>
          </w:tcPr>
          <w:p w14:paraId="2CA07DA0" w14:textId="5C792260" w:rsidR="0016525A" w:rsidRPr="004A4C21" w:rsidRDefault="0016525A" w:rsidP="0016525A">
            <w:pPr>
              <w:jc w:val="center"/>
              <w:rPr>
                <w:rFonts w:ascii="Times New Roman" w:eastAsia="Times New Roman" w:hAnsi="Times New Roman" w:cs="Times New Roman"/>
                <w:b/>
                <w:bCs/>
                <w:color w:val="000000"/>
                <w:sz w:val="18"/>
                <w:szCs w:val="18"/>
                <w:lang w:eastAsia="es-GT"/>
              </w:rPr>
            </w:pPr>
            <w:r w:rsidRPr="004A4C21">
              <w:rPr>
                <w:rFonts w:ascii="Times New Roman" w:hAnsi="Times New Roman" w:cs="Times New Roman"/>
                <w:b/>
                <w:bCs/>
                <w:color w:val="000000"/>
                <w:sz w:val="18"/>
                <w:szCs w:val="18"/>
              </w:rPr>
              <w:t>8,932.1</w:t>
            </w:r>
          </w:p>
        </w:tc>
        <w:tc>
          <w:tcPr>
            <w:tcW w:w="1297" w:type="dxa"/>
            <w:tcBorders>
              <w:top w:val="nil"/>
              <w:left w:val="nil"/>
              <w:bottom w:val="nil"/>
              <w:right w:val="nil"/>
            </w:tcBorders>
            <w:shd w:val="clear" w:color="auto" w:fill="auto"/>
            <w:noWrap/>
            <w:vAlign w:val="center"/>
            <w:hideMark/>
          </w:tcPr>
          <w:p w14:paraId="24002FC7" w14:textId="65B7C153" w:rsidR="0016525A" w:rsidRPr="004A4C21" w:rsidRDefault="0016525A" w:rsidP="0016525A">
            <w:pPr>
              <w:jc w:val="center"/>
              <w:rPr>
                <w:rFonts w:ascii="Times New Roman" w:eastAsia="Times New Roman" w:hAnsi="Times New Roman" w:cs="Times New Roman"/>
                <w:b/>
                <w:bCs/>
                <w:color w:val="000000"/>
                <w:sz w:val="18"/>
                <w:szCs w:val="18"/>
                <w:lang w:eastAsia="es-GT"/>
              </w:rPr>
            </w:pPr>
            <w:r w:rsidRPr="004A4C21">
              <w:rPr>
                <w:rFonts w:ascii="Times New Roman" w:hAnsi="Times New Roman" w:cs="Times New Roman"/>
                <w:b/>
                <w:bCs/>
                <w:color w:val="000000"/>
                <w:sz w:val="18"/>
                <w:szCs w:val="18"/>
              </w:rPr>
              <w:t>7,925.6</w:t>
            </w:r>
          </w:p>
        </w:tc>
        <w:tc>
          <w:tcPr>
            <w:tcW w:w="1170" w:type="dxa"/>
            <w:tcBorders>
              <w:top w:val="nil"/>
              <w:left w:val="dotDash" w:sz="4" w:space="0" w:color="auto"/>
              <w:bottom w:val="nil"/>
              <w:right w:val="nil"/>
            </w:tcBorders>
            <w:shd w:val="clear" w:color="auto" w:fill="auto"/>
            <w:noWrap/>
            <w:vAlign w:val="center"/>
            <w:hideMark/>
          </w:tcPr>
          <w:p w14:paraId="3635B82A" w14:textId="3B9F9D10" w:rsidR="0016525A" w:rsidRPr="004A4C21" w:rsidRDefault="0016525A" w:rsidP="0016525A">
            <w:pPr>
              <w:jc w:val="center"/>
              <w:rPr>
                <w:rFonts w:ascii="Times New Roman" w:eastAsia="Times New Roman" w:hAnsi="Times New Roman" w:cs="Times New Roman"/>
                <w:b/>
                <w:bCs/>
                <w:color w:val="000000"/>
                <w:sz w:val="18"/>
                <w:szCs w:val="18"/>
                <w:lang w:eastAsia="es-GT"/>
              </w:rPr>
            </w:pPr>
            <w:r w:rsidRPr="004A4C21">
              <w:rPr>
                <w:rFonts w:ascii="Times New Roman" w:hAnsi="Times New Roman" w:cs="Times New Roman"/>
                <w:b/>
                <w:bCs/>
                <w:color w:val="000000"/>
                <w:sz w:val="18"/>
                <w:szCs w:val="18"/>
              </w:rPr>
              <w:t>1.2</w:t>
            </w:r>
          </w:p>
        </w:tc>
        <w:tc>
          <w:tcPr>
            <w:tcW w:w="1173" w:type="dxa"/>
            <w:tcBorders>
              <w:top w:val="nil"/>
              <w:left w:val="nil"/>
              <w:bottom w:val="nil"/>
              <w:right w:val="nil"/>
            </w:tcBorders>
            <w:shd w:val="clear" w:color="auto" w:fill="auto"/>
            <w:noWrap/>
            <w:vAlign w:val="center"/>
            <w:hideMark/>
          </w:tcPr>
          <w:p w14:paraId="45E6F90D" w14:textId="7F056C29" w:rsidR="0016525A" w:rsidRPr="004A4C21" w:rsidRDefault="0016525A" w:rsidP="0016525A">
            <w:pPr>
              <w:jc w:val="center"/>
              <w:rPr>
                <w:rFonts w:ascii="Times New Roman" w:eastAsia="Times New Roman" w:hAnsi="Times New Roman" w:cs="Times New Roman"/>
                <w:b/>
                <w:bCs/>
                <w:color w:val="000000"/>
                <w:sz w:val="18"/>
                <w:szCs w:val="18"/>
                <w:lang w:eastAsia="es-GT"/>
              </w:rPr>
            </w:pPr>
            <w:r w:rsidRPr="004A4C21">
              <w:rPr>
                <w:rFonts w:ascii="Times New Roman" w:hAnsi="Times New Roman" w:cs="Times New Roman"/>
                <w:b/>
                <w:bCs/>
                <w:color w:val="000000"/>
                <w:sz w:val="18"/>
                <w:szCs w:val="18"/>
              </w:rPr>
              <w:t>1.0</w:t>
            </w:r>
          </w:p>
        </w:tc>
      </w:tr>
      <w:tr w:rsidR="0016525A" w:rsidRPr="004A4C21" w14:paraId="162F2D9D" w14:textId="77777777" w:rsidTr="004245AE">
        <w:trPr>
          <w:trHeight w:val="188"/>
          <w:jc w:val="center"/>
        </w:trPr>
        <w:tc>
          <w:tcPr>
            <w:tcW w:w="4174" w:type="dxa"/>
            <w:tcBorders>
              <w:top w:val="nil"/>
              <w:left w:val="nil"/>
              <w:bottom w:val="nil"/>
              <w:right w:val="nil"/>
            </w:tcBorders>
            <w:shd w:val="clear" w:color="auto" w:fill="auto"/>
            <w:noWrap/>
            <w:vAlign w:val="center"/>
            <w:hideMark/>
          </w:tcPr>
          <w:p w14:paraId="50D96468" w14:textId="77777777" w:rsidR="0016525A" w:rsidRPr="004A4C21" w:rsidRDefault="0016525A" w:rsidP="0016525A">
            <w:pPr>
              <w:ind w:firstLineChars="100" w:firstLine="180"/>
              <w:rPr>
                <w:rFonts w:ascii="Times New Roman" w:eastAsia="Times New Roman" w:hAnsi="Times New Roman" w:cs="Times New Roman"/>
                <w:color w:val="000000"/>
                <w:sz w:val="18"/>
                <w:szCs w:val="18"/>
                <w:lang w:eastAsia="es-GT"/>
              </w:rPr>
            </w:pPr>
            <w:r w:rsidRPr="004A4C21">
              <w:rPr>
                <w:rFonts w:ascii="Times New Roman" w:eastAsia="Times New Roman" w:hAnsi="Times New Roman" w:cs="Times New Roman"/>
                <w:color w:val="000000"/>
                <w:sz w:val="18"/>
                <w:szCs w:val="18"/>
                <w:lang w:eastAsia="es-GT"/>
              </w:rPr>
              <w:t>Títulos de deuda</w:t>
            </w:r>
          </w:p>
        </w:tc>
        <w:tc>
          <w:tcPr>
            <w:tcW w:w="1296" w:type="dxa"/>
            <w:tcBorders>
              <w:top w:val="nil"/>
              <w:left w:val="nil"/>
              <w:bottom w:val="nil"/>
              <w:right w:val="nil"/>
            </w:tcBorders>
            <w:shd w:val="clear" w:color="auto" w:fill="auto"/>
            <w:noWrap/>
            <w:vAlign w:val="center"/>
            <w:hideMark/>
          </w:tcPr>
          <w:p w14:paraId="3EEDCA24" w14:textId="19D9BE50" w:rsidR="0016525A" w:rsidRPr="004A4C21" w:rsidRDefault="0016525A" w:rsidP="0016525A">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6,896.4</w:t>
            </w:r>
          </w:p>
        </w:tc>
        <w:tc>
          <w:tcPr>
            <w:tcW w:w="1297" w:type="dxa"/>
            <w:tcBorders>
              <w:top w:val="nil"/>
              <w:left w:val="nil"/>
              <w:bottom w:val="nil"/>
              <w:right w:val="nil"/>
            </w:tcBorders>
            <w:shd w:val="clear" w:color="auto" w:fill="auto"/>
            <w:noWrap/>
            <w:vAlign w:val="center"/>
            <w:hideMark/>
          </w:tcPr>
          <w:p w14:paraId="4370912F" w14:textId="6E10AB4F" w:rsidR="0016525A" w:rsidRPr="004A4C21" w:rsidRDefault="0016525A" w:rsidP="0016525A">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9,680.6</w:t>
            </w:r>
          </w:p>
        </w:tc>
        <w:tc>
          <w:tcPr>
            <w:tcW w:w="1170" w:type="dxa"/>
            <w:tcBorders>
              <w:top w:val="nil"/>
              <w:left w:val="dotDash" w:sz="4" w:space="0" w:color="auto"/>
              <w:bottom w:val="nil"/>
              <w:right w:val="nil"/>
            </w:tcBorders>
            <w:shd w:val="clear" w:color="auto" w:fill="auto"/>
            <w:noWrap/>
            <w:vAlign w:val="center"/>
            <w:hideMark/>
          </w:tcPr>
          <w:p w14:paraId="507E8433" w14:textId="6F29694A" w:rsidR="0016525A" w:rsidRPr="004A4C21" w:rsidRDefault="0016525A" w:rsidP="0016525A">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0.9</w:t>
            </w:r>
          </w:p>
        </w:tc>
        <w:tc>
          <w:tcPr>
            <w:tcW w:w="1173" w:type="dxa"/>
            <w:tcBorders>
              <w:top w:val="nil"/>
              <w:left w:val="nil"/>
              <w:bottom w:val="nil"/>
              <w:right w:val="nil"/>
            </w:tcBorders>
            <w:shd w:val="clear" w:color="auto" w:fill="auto"/>
            <w:noWrap/>
            <w:vAlign w:val="center"/>
            <w:hideMark/>
          </w:tcPr>
          <w:p w14:paraId="20A28759" w14:textId="346BAA89" w:rsidR="0016525A" w:rsidRPr="004A4C21" w:rsidRDefault="0016525A" w:rsidP="0016525A">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1.2</w:t>
            </w:r>
          </w:p>
        </w:tc>
      </w:tr>
      <w:tr w:rsidR="0016525A" w:rsidRPr="004A4C21" w14:paraId="7EB3B395" w14:textId="77777777" w:rsidTr="004245AE">
        <w:trPr>
          <w:trHeight w:val="188"/>
          <w:jc w:val="center"/>
        </w:trPr>
        <w:tc>
          <w:tcPr>
            <w:tcW w:w="4174" w:type="dxa"/>
            <w:tcBorders>
              <w:top w:val="nil"/>
              <w:left w:val="nil"/>
              <w:bottom w:val="nil"/>
              <w:right w:val="nil"/>
            </w:tcBorders>
            <w:shd w:val="clear" w:color="auto" w:fill="auto"/>
            <w:noWrap/>
            <w:vAlign w:val="center"/>
            <w:hideMark/>
          </w:tcPr>
          <w:p w14:paraId="2AF59011" w14:textId="77777777" w:rsidR="0016525A" w:rsidRPr="004A4C21" w:rsidRDefault="0016525A" w:rsidP="0016525A">
            <w:pPr>
              <w:ind w:firstLineChars="100" w:firstLine="180"/>
              <w:rPr>
                <w:rFonts w:ascii="Times New Roman" w:eastAsia="Times New Roman" w:hAnsi="Times New Roman" w:cs="Times New Roman"/>
                <w:color w:val="000000"/>
                <w:sz w:val="18"/>
                <w:szCs w:val="18"/>
                <w:lang w:eastAsia="es-GT"/>
              </w:rPr>
            </w:pPr>
            <w:r w:rsidRPr="004A4C21">
              <w:rPr>
                <w:rFonts w:ascii="Times New Roman" w:eastAsia="Times New Roman" w:hAnsi="Times New Roman" w:cs="Times New Roman"/>
                <w:color w:val="000000"/>
                <w:sz w:val="18"/>
                <w:szCs w:val="18"/>
                <w:lang w:eastAsia="es-GT"/>
              </w:rPr>
              <w:t>Préstamos</w:t>
            </w:r>
          </w:p>
        </w:tc>
        <w:tc>
          <w:tcPr>
            <w:tcW w:w="1296" w:type="dxa"/>
            <w:tcBorders>
              <w:top w:val="nil"/>
              <w:left w:val="nil"/>
              <w:bottom w:val="nil"/>
              <w:right w:val="nil"/>
            </w:tcBorders>
            <w:shd w:val="clear" w:color="auto" w:fill="auto"/>
            <w:noWrap/>
            <w:vAlign w:val="center"/>
            <w:hideMark/>
          </w:tcPr>
          <w:p w14:paraId="29A4A036" w14:textId="63002882" w:rsidR="0016525A" w:rsidRPr="004A4C21" w:rsidRDefault="0016525A" w:rsidP="0016525A">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1,724.0</w:t>
            </w:r>
          </w:p>
        </w:tc>
        <w:tc>
          <w:tcPr>
            <w:tcW w:w="1297" w:type="dxa"/>
            <w:tcBorders>
              <w:top w:val="nil"/>
              <w:left w:val="nil"/>
              <w:bottom w:val="nil"/>
              <w:right w:val="nil"/>
            </w:tcBorders>
            <w:shd w:val="clear" w:color="auto" w:fill="auto"/>
            <w:noWrap/>
            <w:vAlign w:val="center"/>
            <w:hideMark/>
          </w:tcPr>
          <w:p w14:paraId="2BA30EC3" w14:textId="781E4CC7" w:rsidR="0016525A" w:rsidRPr="004A4C21" w:rsidRDefault="0016525A" w:rsidP="0016525A">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-1,568.0</w:t>
            </w:r>
          </w:p>
        </w:tc>
        <w:tc>
          <w:tcPr>
            <w:tcW w:w="1170" w:type="dxa"/>
            <w:tcBorders>
              <w:top w:val="nil"/>
              <w:left w:val="dotDash" w:sz="4" w:space="0" w:color="auto"/>
              <w:bottom w:val="nil"/>
              <w:right w:val="nil"/>
            </w:tcBorders>
            <w:shd w:val="clear" w:color="auto" w:fill="auto"/>
            <w:noWrap/>
            <w:vAlign w:val="center"/>
            <w:hideMark/>
          </w:tcPr>
          <w:p w14:paraId="297A0BD5" w14:textId="35588020" w:rsidR="0016525A" w:rsidRPr="004A4C21" w:rsidRDefault="0016525A" w:rsidP="0016525A">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0.2</w:t>
            </w:r>
          </w:p>
        </w:tc>
        <w:tc>
          <w:tcPr>
            <w:tcW w:w="1173" w:type="dxa"/>
            <w:tcBorders>
              <w:top w:val="nil"/>
              <w:left w:val="nil"/>
              <w:bottom w:val="nil"/>
              <w:right w:val="nil"/>
            </w:tcBorders>
            <w:shd w:val="clear" w:color="auto" w:fill="auto"/>
            <w:noWrap/>
            <w:vAlign w:val="center"/>
            <w:hideMark/>
          </w:tcPr>
          <w:p w14:paraId="4A24BEAC" w14:textId="46BD4684" w:rsidR="0016525A" w:rsidRPr="004A4C21" w:rsidRDefault="0016525A" w:rsidP="0016525A">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-0.2</w:t>
            </w:r>
          </w:p>
        </w:tc>
      </w:tr>
      <w:tr w:rsidR="0016525A" w:rsidRPr="004A4C21" w14:paraId="2F9D48EE" w14:textId="77777777" w:rsidTr="004245AE">
        <w:trPr>
          <w:trHeight w:val="188"/>
          <w:jc w:val="center"/>
        </w:trPr>
        <w:tc>
          <w:tcPr>
            <w:tcW w:w="4174" w:type="dxa"/>
            <w:tcBorders>
              <w:top w:val="nil"/>
              <w:left w:val="nil"/>
              <w:bottom w:val="nil"/>
              <w:right w:val="nil"/>
            </w:tcBorders>
            <w:shd w:val="clear" w:color="auto" w:fill="auto"/>
            <w:noWrap/>
            <w:vAlign w:val="center"/>
            <w:hideMark/>
          </w:tcPr>
          <w:p w14:paraId="4EFD58EF" w14:textId="77777777" w:rsidR="0016525A" w:rsidRPr="004A4C21" w:rsidRDefault="0016525A" w:rsidP="0016525A">
            <w:pPr>
              <w:ind w:firstLineChars="100" w:firstLine="180"/>
              <w:rPr>
                <w:rFonts w:ascii="Times New Roman" w:eastAsia="Times New Roman" w:hAnsi="Times New Roman" w:cs="Times New Roman"/>
                <w:color w:val="000000"/>
                <w:sz w:val="18"/>
                <w:szCs w:val="18"/>
                <w:lang w:eastAsia="es-GT"/>
              </w:rPr>
            </w:pPr>
            <w:r w:rsidRPr="004A4C21">
              <w:rPr>
                <w:rFonts w:ascii="Times New Roman" w:eastAsia="Times New Roman" w:hAnsi="Times New Roman" w:cs="Times New Roman"/>
                <w:color w:val="000000"/>
                <w:sz w:val="18"/>
                <w:szCs w:val="18"/>
                <w:lang w:eastAsia="es-GT"/>
              </w:rPr>
              <w:t>Otros</w:t>
            </w:r>
          </w:p>
        </w:tc>
        <w:tc>
          <w:tcPr>
            <w:tcW w:w="1296" w:type="dxa"/>
            <w:tcBorders>
              <w:top w:val="nil"/>
              <w:left w:val="nil"/>
              <w:bottom w:val="nil"/>
              <w:right w:val="nil"/>
            </w:tcBorders>
            <w:shd w:val="clear" w:color="auto" w:fill="auto"/>
            <w:noWrap/>
            <w:vAlign w:val="center"/>
            <w:hideMark/>
          </w:tcPr>
          <w:p w14:paraId="6849A1C3" w14:textId="4FF08803" w:rsidR="0016525A" w:rsidRPr="004A4C21" w:rsidRDefault="0016525A" w:rsidP="0016525A">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311.6</w:t>
            </w:r>
          </w:p>
        </w:tc>
        <w:tc>
          <w:tcPr>
            <w:tcW w:w="1297" w:type="dxa"/>
            <w:tcBorders>
              <w:top w:val="nil"/>
              <w:left w:val="nil"/>
              <w:bottom w:val="nil"/>
              <w:right w:val="nil"/>
            </w:tcBorders>
            <w:shd w:val="clear" w:color="auto" w:fill="auto"/>
            <w:noWrap/>
            <w:vAlign w:val="center"/>
            <w:hideMark/>
          </w:tcPr>
          <w:p w14:paraId="6BCFA6FB" w14:textId="38987FBF" w:rsidR="0016525A" w:rsidRPr="004A4C21" w:rsidRDefault="0016525A" w:rsidP="0016525A">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-187.0</w:t>
            </w:r>
          </w:p>
        </w:tc>
        <w:tc>
          <w:tcPr>
            <w:tcW w:w="1170" w:type="dxa"/>
            <w:tcBorders>
              <w:top w:val="nil"/>
              <w:left w:val="dotDash" w:sz="4" w:space="0" w:color="auto"/>
              <w:bottom w:val="nil"/>
              <w:right w:val="nil"/>
            </w:tcBorders>
            <w:shd w:val="clear" w:color="auto" w:fill="auto"/>
            <w:noWrap/>
            <w:vAlign w:val="center"/>
            <w:hideMark/>
          </w:tcPr>
          <w:p w14:paraId="1845CFAA" w14:textId="65AFA4DB" w:rsidR="0016525A" w:rsidRPr="004A4C21" w:rsidRDefault="0016525A" w:rsidP="0016525A">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0.0</w:t>
            </w:r>
          </w:p>
        </w:tc>
        <w:tc>
          <w:tcPr>
            <w:tcW w:w="1173" w:type="dxa"/>
            <w:tcBorders>
              <w:top w:val="nil"/>
              <w:left w:val="nil"/>
              <w:bottom w:val="nil"/>
              <w:right w:val="nil"/>
            </w:tcBorders>
            <w:shd w:val="clear" w:color="auto" w:fill="auto"/>
            <w:noWrap/>
            <w:vAlign w:val="center"/>
            <w:hideMark/>
          </w:tcPr>
          <w:p w14:paraId="493C7690" w14:textId="231F0610" w:rsidR="0016525A" w:rsidRPr="004A4C21" w:rsidRDefault="0016525A" w:rsidP="0016525A">
            <w:pPr>
              <w:jc w:val="center"/>
              <w:rPr>
                <w:rFonts w:ascii="Times New Roman" w:eastAsia="Times New Roman" w:hAnsi="Times New Roman" w:cs="Times New Roman"/>
                <w:color w:val="000000"/>
                <w:sz w:val="18"/>
                <w:szCs w:val="18"/>
                <w:lang w:eastAsia="es-GT"/>
              </w:rPr>
            </w:pPr>
            <w:r w:rsidRPr="004A4C21">
              <w:rPr>
                <w:rFonts w:ascii="Times New Roman" w:hAnsi="Times New Roman" w:cs="Times New Roman"/>
                <w:color w:val="000000"/>
                <w:sz w:val="18"/>
                <w:szCs w:val="18"/>
              </w:rPr>
              <w:t>0.0</w:t>
            </w:r>
          </w:p>
        </w:tc>
      </w:tr>
      <w:tr w:rsidR="0016525A" w:rsidRPr="004A4C21" w14:paraId="17D5E17D" w14:textId="77777777" w:rsidTr="004245AE">
        <w:trPr>
          <w:trHeight w:val="188"/>
          <w:jc w:val="center"/>
        </w:trPr>
        <w:tc>
          <w:tcPr>
            <w:tcW w:w="4174" w:type="dxa"/>
            <w:tcBorders>
              <w:top w:val="nil"/>
              <w:left w:val="nil"/>
              <w:bottom w:val="nil"/>
              <w:right w:val="nil"/>
            </w:tcBorders>
            <w:shd w:val="clear" w:color="auto" w:fill="auto"/>
            <w:noWrap/>
            <w:vAlign w:val="center"/>
            <w:hideMark/>
          </w:tcPr>
          <w:p w14:paraId="4003AB67" w14:textId="77777777" w:rsidR="0016525A" w:rsidRPr="004A4C21" w:rsidRDefault="0016525A" w:rsidP="0016525A">
            <w:pPr>
              <w:jc w:val="both"/>
              <w:rPr>
                <w:rFonts w:ascii="Times New Roman" w:eastAsia="Times New Roman" w:hAnsi="Times New Roman" w:cs="Times New Roman"/>
                <w:b/>
                <w:bCs/>
                <w:color w:val="000000"/>
                <w:sz w:val="18"/>
                <w:szCs w:val="18"/>
                <w:lang w:eastAsia="es-GT"/>
              </w:rPr>
            </w:pPr>
            <w:r w:rsidRPr="004A4C21">
              <w:rPr>
                <w:rFonts w:ascii="Times New Roman" w:eastAsia="Times New Roman" w:hAnsi="Times New Roman" w:cs="Times New Roman"/>
                <w:b/>
                <w:bCs/>
                <w:color w:val="000000"/>
                <w:sz w:val="18"/>
                <w:szCs w:val="18"/>
                <w:lang w:eastAsia="es-GT"/>
              </w:rPr>
              <w:t>Discrepancia estadística global</w:t>
            </w:r>
          </w:p>
        </w:tc>
        <w:tc>
          <w:tcPr>
            <w:tcW w:w="1296" w:type="dxa"/>
            <w:tcBorders>
              <w:top w:val="nil"/>
              <w:left w:val="nil"/>
              <w:bottom w:val="nil"/>
              <w:right w:val="nil"/>
            </w:tcBorders>
            <w:shd w:val="clear" w:color="auto" w:fill="auto"/>
            <w:noWrap/>
            <w:vAlign w:val="center"/>
            <w:hideMark/>
          </w:tcPr>
          <w:p w14:paraId="67D35932" w14:textId="23F97DB3" w:rsidR="0016525A" w:rsidRPr="004A4C21" w:rsidRDefault="0016525A" w:rsidP="0016525A">
            <w:pPr>
              <w:jc w:val="center"/>
              <w:rPr>
                <w:rFonts w:ascii="Times New Roman" w:eastAsia="Times New Roman" w:hAnsi="Times New Roman" w:cs="Times New Roman"/>
                <w:b/>
                <w:bCs/>
                <w:color w:val="000000"/>
                <w:sz w:val="18"/>
                <w:szCs w:val="18"/>
                <w:lang w:eastAsia="es-GT"/>
              </w:rPr>
            </w:pPr>
            <w:r w:rsidRPr="004A4C21">
              <w:rPr>
                <w:rFonts w:ascii="Times New Roman" w:hAnsi="Times New Roman" w:cs="Times New Roman"/>
                <w:b/>
                <w:bCs/>
                <w:color w:val="000000"/>
                <w:sz w:val="18"/>
                <w:szCs w:val="18"/>
              </w:rPr>
              <w:t>324.5</w:t>
            </w:r>
          </w:p>
        </w:tc>
        <w:tc>
          <w:tcPr>
            <w:tcW w:w="1297" w:type="dxa"/>
            <w:tcBorders>
              <w:top w:val="nil"/>
              <w:left w:val="nil"/>
              <w:bottom w:val="nil"/>
              <w:right w:val="nil"/>
            </w:tcBorders>
            <w:shd w:val="clear" w:color="auto" w:fill="auto"/>
            <w:noWrap/>
            <w:vAlign w:val="center"/>
            <w:hideMark/>
          </w:tcPr>
          <w:p w14:paraId="3211B7A5" w14:textId="0E5A4230" w:rsidR="0016525A" w:rsidRPr="004A4C21" w:rsidRDefault="0016525A" w:rsidP="0016525A">
            <w:pPr>
              <w:jc w:val="center"/>
              <w:rPr>
                <w:rFonts w:ascii="Times New Roman" w:eastAsia="Times New Roman" w:hAnsi="Times New Roman" w:cs="Times New Roman"/>
                <w:b/>
                <w:bCs/>
                <w:color w:val="000000"/>
                <w:sz w:val="18"/>
                <w:szCs w:val="18"/>
                <w:lang w:eastAsia="es-GT"/>
              </w:rPr>
            </w:pPr>
            <w:r w:rsidRPr="004A4C21">
              <w:rPr>
                <w:rFonts w:ascii="Times New Roman" w:hAnsi="Times New Roman" w:cs="Times New Roman"/>
                <w:b/>
                <w:bCs/>
                <w:color w:val="000000"/>
                <w:sz w:val="18"/>
                <w:szCs w:val="18"/>
              </w:rPr>
              <w:t>92.0</w:t>
            </w:r>
          </w:p>
        </w:tc>
        <w:tc>
          <w:tcPr>
            <w:tcW w:w="1170" w:type="dxa"/>
            <w:tcBorders>
              <w:top w:val="nil"/>
              <w:left w:val="dotDash" w:sz="4" w:space="0" w:color="auto"/>
              <w:bottom w:val="nil"/>
              <w:right w:val="nil"/>
            </w:tcBorders>
            <w:shd w:val="clear" w:color="auto" w:fill="auto"/>
            <w:noWrap/>
            <w:vAlign w:val="center"/>
            <w:hideMark/>
          </w:tcPr>
          <w:p w14:paraId="6CBEFEAB" w14:textId="0AEAC7E8" w:rsidR="0016525A" w:rsidRPr="004A4C21" w:rsidRDefault="0016525A" w:rsidP="0016525A">
            <w:pPr>
              <w:jc w:val="center"/>
              <w:rPr>
                <w:rFonts w:ascii="Times New Roman" w:eastAsia="Times New Roman" w:hAnsi="Times New Roman" w:cs="Times New Roman"/>
                <w:b/>
                <w:bCs/>
                <w:color w:val="000000"/>
                <w:sz w:val="18"/>
                <w:szCs w:val="18"/>
                <w:lang w:eastAsia="es-GT"/>
              </w:rPr>
            </w:pPr>
            <w:r w:rsidRPr="004A4C21">
              <w:rPr>
                <w:rFonts w:ascii="Times New Roman" w:hAnsi="Times New Roman" w:cs="Times New Roman"/>
                <w:b/>
                <w:bCs/>
                <w:color w:val="000000"/>
                <w:sz w:val="18"/>
                <w:szCs w:val="18"/>
              </w:rPr>
              <w:t>0.0</w:t>
            </w:r>
          </w:p>
        </w:tc>
        <w:tc>
          <w:tcPr>
            <w:tcW w:w="1173" w:type="dxa"/>
            <w:tcBorders>
              <w:top w:val="nil"/>
              <w:left w:val="nil"/>
              <w:bottom w:val="nil"/>
              <w:right w:val="nil"/>
            </w:tcBorders>
            <w:shd w:val="clear" w:color="auto" w:fill="auto"/>
            <w:noWrap/>
            <w:vAlign w:val="center"/>
            <w:hideMark/>
          </w:tcPr>
          <w:p w14:paraId="763CDC21" w14:textId="694D4763" w:rsidR="0016525A" w:rsidRPr="004A4C21" w:rsidRDefault="0016525A" w:rsidP="0016525A">
            <w:pPr>
              <w:jc w:val="center"/>
              <w:rPr>
                <w:rFonts w:ascii="Times New Roman" w:eastAsia="Times New Roman" w:hAnsi="Times New Roman" w:cs="Times New Roman"/>
                <w:b/>
                <w:bCs/>
                <w:color w:val="000000"/>
                <w:sz w:val="18"/>
                <w:szCs w:val="18"/>
                <w:lang w:eastAsia="es-GT"/>
              </w:rPr>
            </w:pPr>
            <w:r w:rsidRPr="004A4C21">
              <w:rPr>
                <w:rFonts w:ascii="Times New Roman" w:hAnsi="Times New Roman" w:cs="Times New Roman"/>
                <w:b/>
                <w:bCs/>
                <w:color w:val="000000"/>
                <w:sz w:val="18"/>
                <w:szCs w:val="18"/>
              </w:rPr>
              <w:t>0.0</w:t>
            </w:r>
          </w:p>
        </w:tc>
      </w:tr>
    </w:tbl>
    <w:p w14:paraId="033849DC" w14:textId="77777777" w:rsidR="00975EDA" w:rsidRPr="00F22DD8" w:rsidRDefault="00975EDA" w:rsidP="00975EDA">
      <w:pPr>
        <w:rPr>
          <w:rFonts w:ascii="Times New Roman" w:hAnsi="Times New Roman" w:cs="Times New Roman"/>
          <w:sz w:val="18"/>
          <w:szCs w:val="18"/>
        </w:rPr>
      </w:pPr>
      <w:r w:rsidRPr="00F22DD8">
        <w:rPr>
          <w:rFonts w:ascii="Times New Roman" w:hAnsi="Times New Roman" w:cs="Times New Roman"/>
          <w:sz w:val="18"/>
          <w:szCs w:val="18"/>
        </w:rPr>
        <w:t>*Cifras preliminares</w:t>
      </w:r>
    </w:p>
    <w:p w14:paraId="21764169" w14:textId="0BD4F7C5" w:rsidR="00975EDA" w:rsidRPr="004A4C21" w:rsidRDefault="00975EDA" w:rsidP="00975EDA">
      <w:pPr>
        <w:jc w:val="both"/>
        <w:rPr>
          <w:rFonts w:ascii="Times New Roman" w:hAnsi="Times New Roman" w:cs="Times New Roman"/>
          <w:sz w:val="22"/>
          <w:szCs w:val="22"/>
        </w:rPr>
      </w:pPr>
      <w:r w:rsidRPr="004A4C21">
        <w:rPr>
          <w:rFonts w:ascii="Times New Roman" w:hAnsi="Times New Roman" w:cs="Times New Roman"/>
          <w:sz w:val="22"/>
          <w:szCs w:val="22"/>
        </w:rPr>
        <w:lastRenderedPageBreak/>
        <w:t xml:space="preserve">En cuanto al gasto ejecutado por el gobierno central presupuestario, </w:t>
      </w:r>
      <w:r w:rsidR="0089421B" w:rsidRPr="004A4C21">
        <w:rPr>
          <w:rFonts w:ascii="Times New Roman" w:hAnsi="Times New Roman" w:cs="Times New Roman"/>
          <w:sz w:val="22"/>
          <w:szCs w:val="22"/>
        </w:rPr>
        <w:t>é</w:t>
      </w:r>
      <w:r w:rsidRPr="004A4C21">
        <w:rPr>
          <w:rFonts w:ascii="Times New Roman" w:hAnsi="Times New Roman" w:cs="Times New Roman"/>
          <w:sz w:val="22"/>
          <w:szCs w:val="22"/>
        </w:rPr>
        <w:t>ste se situó en torno a</w:t>
      </w:r>
      <w:r w:rsidR="0089421B" w:rsidRPr="004A4C21">
        <w:rPr>
          <w:rFonts w:ascii="Times New Roman" w:hAnsi="Times New Roman" w:cs="Times New Roman"/>
          <w:sz w:val="22"/>
          <w:szCs w:val="22"/>
        </w:rPr>
        <w:t>l</w:t>
      </w:r>
      <w:r w:rsidRPr="004A4C21">
        <w:rPr>
          <w:rFonts w:ascii="Times New Roman" w:hAnsi="Times New Roman" w:cs="Times New Roman"/>
          <w:sz w:val="22"/>
          <w:szCs w:val="22"/>
        </w:rPr>
        <w:t xml:space="preserve"> 13.8% del PIB (Q110,601.9 millones)</w:t>
      </w:r>
      <w:r w:rsidR="0089421B" w:rsidRPr="004A4C21">
        <w:rPr>
          <w:rFonts w:ascii="Times New Roman" w:hAnsi="Times New Roman" w:cs="Times New Roman"/>
          <w:sz w:val="22"/>
          <w:szCs w:val="22"/>
        </w:rPr>
        <w:t>, que</w:t>
      </w:r>
      <w:r w:rsidRPr="004A4C21">
        <w:rPr>
          <w:rFonts w:ascii="Times New Roman" w:hAnsi="Times New Roman" w:cs="Times New Roman"/>
          <w:sz w:val="22"/>
          <w:szCs w:val="22"/>
        </w:rPr>
        <w:t xml:space="preserve"> es una disminución interanual de 0.3 puntos porcentuales del PIB. El gasto a nivel de cuenta económica más grande fue el destinado </w:t>
      </w:r>
      <w:r w:rsidR="0089421B" w:rsidRPr="004A4C21">
        <w:rPr>
          <w:rFonts w:ascii="Times New Roman" w:hAnsi="Times New Roman" w:cs="Times New Roman"/>
          <w:sz w:val="22"/>
          <w:szCs w:val="22"/>
        </w:rPr>
        <w:t>a</w:t>
      </w:r>
      <w:r w:rsidRPr="004A4C21">
        <w:rPr>
          <w:rFonts w:ascii="Times New Roman" w:hAnsi="Times New Roman" w:cs="Times New Roman"/>
          <w:sz w:val="22"/>
          <w:szCs w:val="22"/>
        </w:rPr>
        <w:t xml:space="preserve"> remuneraciones, el cual equivale al 4.4% del PIB (Q35,552.7 millones), situándose al mismo nivel del año previo.</w:t>
      </w:r>
    </w:p>
    <w:p w14:paraId="2E6A3B52" w14:textId="77777777" w:rsidR="006E08BE" w:rsidRPr="004A4C21" w:rsidRDefault="006E08BE" w:rsidP="00975EDA">
      <w:pPr>
        <w:jc w:val="both"/>
        <w:rPr>
          <w:rFonts w:ascii="Times New Roman" w:hAnsi="Times New Roman" w:cs="Times New Roman"/>
          <w:sz w:val="22"/>
          <w:szCs w:val="22"/>
        </w:rPr>
      </w:pPr>
    </w:p>
    <w:p w14:paraId="3FE5D725" w14:textId="7B25E59A" w:rsidR="00975EDA" w:rsidRPr="004A4C21" w:rsidRDefault="00975EDA" w:rsidP="00975EDA">
      <w:pPr>
        <w:jc w:val="both"/>
        <w:rPr>
          <w:rFonts w:ascii="Times New Roman" w:hAnsi="Times New Roman" w:cs="Times New Roman"/>
          <w:sz w:val="22"/>
          <w:szCs w:val="22"/>
        </w:rPr>
      </w:pPr>
      <w:r w:rsidRPr="004A4C21">
        <w:rPr>
          <w:rFonts w:ascii="Times New Roman" w:hAnsi="Times New Roman" w:cs="Times New Roman"/>
          <w:sz w:val="22"/>
          <w:szCs w:val="22"/>
        </w:rPr>
        <w:t xml:space="preserve">Las donaciones fueron el segundo gasto </w:t>
      </w:r>
      <w:r w:rsidR="0089421B" w:rsidRPr="004A4C21">
        <w:rPr>
          <w:rFonts w:ascii="Times New Roman" w:hAnsi="Times New Roman" w:cs="Times New Roman"/>
          <w:sz w:val="22"/>
          <w:szCs w:val="22"/>
        </w:rPr>
        <w:t>de mayor participación</w:t>
      </w:r>
      <w:r w:rsidRPr="004A4C21">
        <w:rPr>
          <w:rFonts w:ascii="Times New Roman" w:hAnsi="Times New Roman" w:cs="Times New Roman"/>
          <w:sz w:val="22"/>
          <w:szCs w:val="22"/>
        </w:rPr>
        <w:t xml:space="preserve">, </w:t>
      </w:r>
      <w:r w:rsidR="00A87DAE" w:rsidRPr="004A4C21">
        <w:rPr>
          <w:rFonts w:ascii="Times New Roman" w:hAnsi="Times New Roman" w:cs="Times New Roman"/>
          <w:sz w:val="22"/>
          <w:szCs w:val="22"/>
        </w:rPr>
        <w:t>situándose</w:t>
      </w:r>
      <w:r w:rsidRPr="004A4C21">
        <w:rPr>
          <w:rFonts w:ascii="Times New Roman" w:hAnsi="Times New Roman" w:cs="Times New Roman"/>
          <w:sz w:val="22"/>
          <w:szCs w:val="22"/>
        </w:rPr>
        <w:t xml:space="preserve"> en torno a un 3.6% del PIB (Q29,077.2 millones) de los cuales las más significativas fueron las destinadas a otras unidades del gobierno general por el equivalente al 3.6% del PIB (Q28,923.8 millones).</w:t>
      </w:r>
      <w:r w:rsidR="006E08BE" w:rsidRPr="004A4C21">
        <w:rPr>
          <w:rFonts w:ascii="Times New Roman" w:hAnsi="Times New Roman" w:cs="Times New Roman"/>
          <w:sz w:val="22"/>
          <w:szCs w:val="22"/>
        </w:rPr>
        <w:t xml:space="preserve">  </w:t>
      </w:r>
      <w:r w:rsidRPr="004A4C21">
        <w:rPr>
          <w:rFonts w:ascii="Times New Roman" w:hAnsi="Times New Roman" w:cs="Times New Roman"/>
          <w:sz w:val="22"/>
          <w:szCs w:val="22"/>
        </w:rPr>
        <w:t xml:space="preserve">El gasto en el uso de bienes y servicios se situó en 1.9% del PIB (Q15,464.0 millones) siendo menor en 0.4 puntos porcentuales del PIB respecto a lo observado en 2022. </w:t>
      </w:r>
    </w:p>
    <w:p w14:paraId="5B10C842" w14:textId="77777777" w:rsidR="00586D46" w:rsidRPr="004A4C21" w:rsidRDefault="00586D46" w:rsidP="00975EDA">
      <w:pPr>
        <w:jc w:val="both"/>
        <w:rPr>
          <w:rFonts w:ascii="Times New Roman" w:hAnsi="Times New Roman" w:cs="Times New Roman"/>
          <w:sz w:val="22"/>
          <w:szCs w:val="22"/>
        </w:rPr>
      </w:pPr>
    </w:p>
    <w:p w14:paraId="6F7B73EA" w14:textId="77E62DC4" w:rsidR="00975EDA" w:rsidRPr="004A4C21" w:rsidRDefault="00975EDA" w:rsidP="00975EDA">
      <w:pPr>
        <w:jc w:val="both"/>
        <w:rPr>
          <w:rFonts w:ascii="Times New Roman" w:hAnsi="Times New Roman" w:cs="Times New Roman"/>
          <w:sz w:val="22"/>
          <w:szCs w:val="22"/>
        </w:rPr>
      </w:pPr>
      <w:r w:rsidRPr="004A4C21">
        <w:rPr>
          <w:rFonts w:ascii="Times New Roman" w:hAnsi="Times New Roman" w:cs="Times New Roman"/>
          <w:sz w:val="22"/>
          <w:szCs w:val="22"/>
        </w:rPr>
        <w:t xml:space="preserve">El gasto destinado al pago de intereses fue del 1.7% del PIB (Q13,198.5 millones) mientras que la categoría de otros gastos se situó en 1.0% del PIB (Q8,120.7 millones), seguido de las Prestaciones sociales las cuales se </w:t>
      </w:r>
      <w:r w:rsidR="00A87DAE" w:rsidRPr="004A4C21">
        <w:rPr>
          <w:rFonts w:ascii="Times New Roman" w:hAnsi="Times New Roman" w:cs="Times New Roman"/>
          <w:sz w:val="22"/>
          <w:szCs w:val="22"/>
        </w:rPr>
        <w:t>ubicaron</w:t>
      </w:r>
      <w:r w:rsidRPr="004A4C21">
        <w:rPr>
          <w:rFonts w:ascii="Times New Roman" w:hAnsi="Times New Roman" w:cs="Times New Roman"/>
          <w:sz w:val="22"/>
          <w:szCs w:val="22"/>
        </w:rPr>
        <w:t xml:space="preserve"> entorno al 1.0% del PIB (Q7,844.1 millones).</w:t>
      </w:r>
    </w:p>
    <w:p w14:paraId="71964EF6" w14:textId="77777777" w:rsidR="00586D46" w:rsidRPr="004A4C21" w:rsidRDefault="00586D46" w:rsidP="00975EDA">
      <w:pPr>
        <w:jc w:val="both"/>
        <w:rPr>
          <w:rFonts w:ascii="Times New Roman" w:hAnsi="Times New Roman" w:cs="Times New Roman"/>
          <w:sz w:val="22"/>
          <w:szCs w:val="22"/>
        </w:rPr>
      </w:pPr>
    </w:p>
    <w:p w14:paraId="6E1AD12A" w14:textId="6B717DF2" w:rsidR="00975EDA" w:rsidRPr="004A4C21" w:rsidRDefault="00975EDA" w:rsidP="00975EDA">
      <w:pPr>
        <w:jc w:val="both"/>
        <w:rPr>
          <w:rFonts w:ascii="Times New Roman" w:hAnsi="Times New Roman" w:cs="Times New Roman"/>
          <w:sz w:val="22"/>
          <w:szCs w:val="22"/>
        </w:rPr>
      </w:pPr>
      <w:r w:rsidRPr="004A4C21">
        <w:rPr>
          <w:rFonts w:ascii="Times New Roman" w:hAnsi="Times New Roman" w:cs="Times New Roman"/>
          <w:sz w:val="22"/>
          <w:szCs w:val="22"/>
        </w:rPr>
        <w:t>Por su parte, el gasto enfocado a subsidios fue del 0.2% del PIB (Q1,344.7 millones)</w:t>
      </w:r>
      <w:r w:rsidR="00A87DAE" w:rsidRPr="004A4C21">
        <w:rPr>
          <w:rFonts w:ascii="Times New Roman" w:hAnsi="Times New Roman" w:cs="Times New Roman"/>
          <w:sz w:val="22"/>
          <w:szCs w:val="22"/>
        </w:rPr>
        <w:t>,</w:t>
      </w:r>
      <w:r w:rsidRPr="004A4C21">
        <w:rPr>
          <w:rFonts w:ascii="Times New Roman" w:hAnsi="Times New Roman" w:cs="Times New Roman"/>
          <w:sz w:val="22"/>
          <w:szCs w:val="22"/>
        </w:rPr>
        <w:t xml:space="preserve"> cabe mencionar que </w:t>
      </w:r>
      <w:r w:rsidR="00A87DAE" w:rsidRPr="004A4C21">
        <w:rPr>
          <w:rFonts w:ascii="Times New Roman" w:hAnsi="Times New Roman" w:cs="Times New Roman"/>
          <w:sz w:val="22"/>
          <w:szCs w:val="22"/>
        </w:rPr>
        <w:t xml:space="preserve">fue </w:t>
      </w:r>
      <w:r w:rsidRPr="004A4C21">
        <w:rPr>
          <w:rFonts w:ascii="Times New Roman" w:hAnsi="Times New Roman" w:cs="Times New Roman"/>
          <w:sz w:val="22"/>
          <w:szCs w:val="22"/>
        </w:rPr>
        <w:t>el que mayor disminución presentó durante el 2023 respecto al año previo, siendo menor en 0.3 puntos porcentuales del PIB. Esta situación se debió a la eliminación en 2023 de los subsidios a las empresas expendedoras de gasolinas y Diesel que en 2022 tuvieron una asignación importante por el alza en los precios de combustibles a nivel internacional, por lo que el gobierno decidió temporalmente apoyar a la reducción de precios mediante la adopción de un subsidio.</w:t>
      </w:r>
    </w:p>
    <w:p w14:paraId="3A17ABB0" w14:textId="77777777" w:rsidR="00586D46" w:rsidRPr="004A4C21" w:rsidRDefault="00586D46" w:rsidP="00975EDA">
      <w:pPr>
        <w:jc w:val="both"/>
        <w:rPr>
          <w:rFonts w:ascii="Times New Roman" w:hAnsi="Times New Roman" w:cs="Times New Roman"/>
          <w:sz w:val="22"/>
          <w:szCs w:val="22"/>
        </w:rPr>
      </w:pPr>
    </w:p>
    <w:p w14:paraId="15D72D86" w14:textId="7BF9930A" w:rsidR="00975EDA" w:rsidRPr="004A4C21" w:rsidRDefault="00975EDA" w:rsidP="00975EDA">
      <w:pPr>
        <w:jc w:val="both"/>
        <w:rPr>
          <w:rFonts w:ascii="Times New Roman" w:hAnsi="Times New Roman" w:cs="Times New Roman"/>
          <w:sz w:val="22"/>
          <w:szCs w:val="22"/>
        </w:rPr>
      </w:pPr>
      <w:r w:rsidRPr="004A4C21">
        <w:rPr>
          <w:rFonts w:ascii="Times New Roman" w:hAnsi="Times New Roman" w:cs="Times New Roman"/>
          <w:sz w:val="22"/>
          <w:szCs w:val="22"/>
        </w:rPr>
        <w:t>Respecto a la inversión en activos no financieros, en 2023 está fue del 0.6% del PIB (Q5,022.0 millones) manteniendo el mismo nivel respecto a 2022. La mayor inversión fue realizada en la cuenta económica de edificios y estructuras la cual equivale al 0.5% del PIB (Q3,906.8 millones).</w:t>
      </w:r>
    </w:p>
    <w:p w14:paraId="753EC144" w14:textId="77777777" w:rsidR="00586D46" w:rsidRPr="004A4C21" w:rsidRDefault="00586D46" w:rsidP="00975EDA">
      <w:pPr>
        <w:jc w:val="both"/>
        <w:rPr>
          <w:rFonts w:ascii="Times New Roman" w:hAnsi="Times New Roman" w:cs="Times New Roman"/>
          <w:sz w:val="22"/>
          <w:szCs w:val="22"/>
        </w:rPr>
      </w:pPr>
    </w:p>
    <w:p w14:paraId="7AFA2B7E" w14:textId="5C8806EB" w:rsidR="00975EDA" w:rsidRPr="004A4C21" w:rsidRDefault="00975EDA" w:rsidP="00975EDA">
      <w:pPr>
        <w:jc w:val="both"/>
        <w:rPr>
          <w:rFonts w:ascii="Times New Roman" w:hAnsi="Times New Roman" w:cs="Times New Roman"/>
          <w:sz w:val="22"/>
          <w:szCs w:val="22"/>
        </w:rPr>
      </w:pPr>
      <w:r w:rsidRPr="004A4C21">
        <w:rPr>
          <w:rFonts w:ascii="Times New Roman" w:hAnsi="Times New Roman" w:cs="Times New Roman"/>
          <w:sz w:val="22"/>
          <w:szCs w:val="22"/>
        </w:rPr>
        <w:t>Tomando en consideración lo anterior, se observa que el resultado operativo (la diferencia entre los ingresos y los gastos) del gobierno central presupuestario para 2023 fue negativo por 0.7% del PIB (Q</w:t>
      </w:r>
      <w:r w:rsidR="00363E4D" w:rsidRPr="004A4C21">
        <w:rPr>
          <w:rFonts w:ascii="Times New Roman" w:hAnsi="Times New Roman" w:cs="Times New Roman"/>
          <w:sz w:val="22"/>
          <w:szCs w:val="22"/>
        </w:rPr>
        <w:t>5,642.8</w:t>
      </w:r>
      <w:r w:rsidRPr="004A4C21">
        <w:rPr>
          <w:rFonts w:ascii="Times New Roman" w:hAnsi="Times New Roman" w:cs="Times New Roman"/>
          <w:sz w:val="22"/>
          <w:szCs w:val="22"/>
        </w:rPr>
        <w:t xml:space="preserve"> millones) y al tomar en consideración a las inversiones en activos no financieros, se observa endeudamiento neto (déficit fiscal) del 1.</w:t>
      </w:r>
      <w:r w:rsidR="00057C59" w:rsidRPr="004A4C21">
        <w:rPr>
          <w:rFonts w:ascii="Times New Roman" w:hAnsi="Times New Roman" w:cs="Times New Roman"/>
          <w:sz w:val="22"/>
          <w:szCs w:val="22"/>
        </w:rPr>
        <w:t>3</w:t>
      </w:r>
      <w:r w:rsidRPr="004A4C21">
        <w:rPr>
          <w:rFonts w:ascii="Times New Roman" w:hAnsi="Times New Roman" w:cs="Times New Roman"/>
          <w:sz w:val="22"/>
          <w:szCs w:val="22"/>
        </w:rPr>
        <w:t>% del PIB (Q10,</w:t>
      </w:r>
      <w:r w:rsidR="00057C59" w:rsidRPr="004A4C21">
        <w:rPr>
          <w:rFonts w:ascii="Times New Roman" w:hAnsi="Times New Roman" w:cs="Times New Roman"/>
          <w:sz w:val="22"/>
          <w:szCs w:val="22"/>
        </w:rPr>
        <w:t>664.8</w:t>
      </w:r>
      <w:r w:rsidRPr="004A4C21">
        <w:rPr>
          <w:rFonts w:ascii="Times New Roman" w:hAnsi="Times New Roman" w:cs="Times New Roman"/>
          <w:sz w:val="22"/>
          <w:szCs w:val="22"/>
        </w:rPr>
        <w:t xml:space="preserve"> millones).</w:t>
      </w:r>
    </w:p>
    <w:p w14:paraId="4200972C" w14:textId="77777777" w:rsidR="00586D46" w:rsidRPr="004A4C21" w:rsidRDefault="00586D46" w:rsidP="00975EDA">
      <w:pPr>
        <w:jc w:val="both"/>
        <w:rPr>
          <w:rFonts w:ascii="Times New Roman" w:hAnsi="Times New Roman" w:cs="Times New Roman"/>
          <w:sz w:val="22"/>
          <w:szCs w:val="22"/>
        </w:rPr>
      </w:pPr>
    </w:p>
    <w:p w14:paraId="6A637B5B" w14:textId="6E879529" w:rsidR="00975EDA" w:rsidRPr="004A4C21" w:rsidRDefault="00975EDA" w:rsidP="00975EDA">
      <w:pPr>
        <w:jc w:val="both"/>
        <w:rPr>
          <w:rFonts w:ascii="Times New Roman" w:hAnsi="Times New Roman" w:cs="Times New Roman"/>
          <w:sz w:val="22"/>
          <w:szCs w:val="22"/>
        </w:rPr>
      </w:pPr>
      <w:r w:rsidRPr="004A4C21">
        <w:rPr>
          <w:rFonts w:ascii="Times New Roman" w:hAnsi="Times New Roman" w:cs="Times New Roman"/>
          <w:sz w:val="22"/>
          <w:szCs w:val="22"/>
        </w:rPr>
        <w:t>Por parte del financiamiento, durante el 2023 los activos financieros disminuyeron en 0.</w:t>
      </w:r>
      <w:r w:rsidR="000B480C" w:rsidRPr="004A4C21">
        <w:rPr>
          <w:rFonts w:ascii="Times New Roman" w:hAnsi="Times New Roman" w:cs="Times New Roman"/>
          <w:sz w:val="22"/>
          <w:szCs w:val="22"/>
        </w:rPr>
        <w:t>3</w:t>
      </w:r>
      <w:r w:rsidRPr="004A4C21">
        <w:rPr>
          <w:rFonts w:ascii="Times New Roman" w:hAnsi="Times New Roman" w:cs="Times New Roman"/>
          <w:sz w:val="22"/>
          <w:szCs w:val="22"/>
        </w:rPr>
        <w:t>% del PIB (Q</w:t>
      </w:r>
      <w:r w:rsidR="000B480C" w:rsidRPr="004A4C21">
        <w:rPr>
          <w:rFonts w:ascii="Times New Roman" w:hAnsi="Times New Roman" w:cs="Times New Roman"/>
          <w:sz w:val="22"/>
          <w:szCs w:val="22"/>
        </w:rPr>
        <w:t>2,647.2</w:t>
      </w:r>
      <w:r w:rsidRPr="004A4C21">
        <w:rPr>
          <w:rFonts w:ascii="Times New Roman" w:hAnsi="Times New Roman" w:cs="Times New Roman"/>
          <w:sz w:val="22"/>
          <w:szCs w:val="22"/>
        </w:rPr>
        <w:t xml:space="preserve"> millones) y esto se deriva principalmente </w:t>
      </w:r>
      <w:r w:rsidR="00DD1991" w:rsidRPr="004A4C21">
        <w:rPr>
          <w:rFonts w:ascii="Times New Roman" w:hAnsi="Times New Roman" w:cs="Times New Roman"/>
          <w:sz w:val="22"/>
          <w:szCs w:val="22"/>
        </w:rPr>
        <w:t>de</w:t>
      </w:r>
      <w:r w:rsidRPr="004A4C21">
        <w:rPr>
          <w:rFonts w:ascii="Times New Roman" w:hAnsi="Times New Roman" w:cs="Times New Roman"/>
          <w:sz w:val="22"/>
          <w:szCs w:val="22"/>
        </w:rPr>
        <w:t xml:space="preserve"> la cuenta de billetes, monedas y depósitos que se redujo en 0.</w:t>
      </w:r>
      <w:r w:rsidR="000B480C" w:rsidRPr="004A4C21">
        <w:rPr>
          <w:rFonts w:ascii="Times New Roman" w:hAnsi="Times New Roman" w:cs="Times New Roman"/>
          <w:sz w:val="22"/>
          <w:szCs w:val="22"/>
        </w:rPr>
        <w:t>3</w:t>
      </w:r>
      <w:r w:rsidRPr="004A4C21">
        <w:rPr>
          <w:rFonts w:ascii="Times New Roman" w:hAnsi="Times New Roman" w:cs="Times New Roman"/>
          <w:sz w:val="22"/>
          <w:szCs w:val="22"/>
        </w:rPr>
        <w:t>% del PIB (Q</w:t>
      </w:r>
      <w:r w:rsidR="00F55A8C" w:rsidRPr="004A4C21">
        <w:rPr>
          <w:rFonts w:ascii="Times New Roman" w:hAnsi="Times New Roman" w:cs="Times New Roman"/>
          <w:sz w:val="22"/>
          <w:szCs w:val="22"/>
        </w:rPr>
        <w:t>2,590.7</w:t>
      </w:r>
      <w:r w:rsidRPr="004A4C21">
        <w:rPr>
          <w:rFonts w:ascii="Times New Roman" w:hAnsi="Times New Roman" w:cs="Times New Roman"/>
          <w:sz w:val="22"/>
          <w:szCs w:val="22"/>
        </w:rPr>
        <w:t xml:space="preserve"> millones). Por su parte, los pasivos se incrementaron en 1.0% del PIB (Q7,925.6 millones) siendo </w:t>
      </w:r>
      <w:r w:rsidR="00DD1991" w:rsidRPr="004A4C21">
        <w:rPr>
          <w:rFonts w:ascii="Times New Roman" w:hAnsi="Times New Roman" w:cs="Times New Roman"/>
          <w:sz w:val="22"/>
          <w:szCs w:val="22"/>
        </w:rPr>
        <w:t xml:space="preserve">los títulos de deuda </w:t>
      </w:r>
      <w:r w:rsidRPr="004A4C21">
        <w:rPr>
          <w:rFonts w:ascii="Times New Roman" w:hAnsi="Times New Roman" w:cs="Times New Roman"/>
          <w:sz w:val="22"/>
          <w:szCs w:val="22"/>
        </w:rPr>
        <w:t>el instrumento financiero más utilizado</w:t>
      </w:r>
      <w:r w:rsidR="00DD1991" w:rsidRPr="004A4C21">
        <w:rPr>
          <w:rFonts w:ascii="Times New Roman" w:hAnsi="Times New Roman" w:cs="Times New Roman"/>
          <w:sz w:val="22"/>
          <w:szCs w:val="22"/>
        </w:rPr>
        <w:t xml:space="preserve">, </w:t>
      </w:r>
      <w:r w:rsidRPr="004A4C21">
        <w:rPr>
          <w:rFonts w:ascii="Times New Roman" w:hAnsi="Times New Roman" w:cs="Times New Roman"/>
          <w:sz w:val="22"/>
          <w:szCs w:val="22"/>
        </w:rPr>
        <w:t>que se situaron entorno al 1.2% del PIB (Q9,680.6 millones) mientras que los préstamos se redujeron (amortización) por el que equivalen al 0.2% del PIB (Q1,568.0 millones).</w:t>
      </w:r>
    </w:p>
    <w:p w14:paraId="3E8F68FD" w14:textId="77777777" w:rsidR="00DB4D58" w:rsidRPr="004A4C21" w:rsidRDefault="00DB4D58" w:rsidP="00975EDA">
      <w:pPr>
        <w:rPr>
          <w:rFonts w:ascii="Times New Roman" w:hAnsi="Times New Roman" w:cs="Times New Roman"/>
          <w:b/>
          <w:bCs/>
          <w:sz w:val="22"/>
          <w:szCs w:val="22"/>
          <w:lang w:val="es-MX"/>
        </w:rPr>
      </w:pPr>
    </w:p>
    <w:p w14:paraId="05803232" w14:textId="3602F72E" w:rsidR="00975EDA" w:rsidRPr="00F22DD8" w:rsidRDefault="00DB4D58" w:rsidP="004A4C21">
      <w:pPr>
        <w:pStyle w:val="Ttulo2"/>
        <w:spacing w:before="0"/>
        <w:ind w:left="567" w:hanging="283"/>
        <w:rPr>
          <w:rFonts w:ascii="Times New Roman" w:hAnsi="Times New Roman" w:cs="Times New Roman"/>
          <w:b/>
          <w:bCs/>
          <w:color w:val="auto"/>
          <w:sz w:val="24"/>
          <w:szCs w:val="24"/>
          <w:lang w:val="es-MX"/>
        </w:rPr>
      </w:pPr>
      <w:bookmarkStart w:id="130" w:name="_Toc160196860"/>
      <w:r w:rsidRPr="00F22DD8">
        <w:rPr>
          <w:rFonts w:ascii="Times New Roman" w:hAnsi="Times New Roman" w:cs="Times New Roman"/>
          <w:b/>
          <w:bCs/>
          <w:color w:val="auto"/>
          <w:sz w:val="24"/>
          <w:szCs w:val="24"/>
          <w:lang w:val="es-MX"/>
        </w:rPr>
        <w:t xml:space="preserve">7.2 </w:t>
      </w:r>
      <w:r w:rsidR="00975EDA" w:rsidRPr="00F22DD8">
        <w:rPr>
          <w:rFonts w:ascii="Times New Roman" w:hAnsi="Times New Roman" w:cs="Times New Roman"/>
          <w:b/>
          <w:bCs/>
          <w:color w:val="auto"/>
          <w:sz w:val="24"/>
          <w:szCs w:val="24"/>
          <w:lang w:val="es-MX"/>
        </w:rPr>
        <w:t>Estado de operaciones del Gobierno General Consolidado</w:t>
      </w:r>
      <w:bookmarkEnd w:id="130"/>
    </w:p>
    <w:p w14:paraId="414506FD" w14:textId="77777777" w:rsidR="00DB4D58" w:rsidRPr="004A4C21" w:rsidRDefault="00DB4D58" w:rsidP="00975EDA">
      <w:pPr>
        <w:rPr>
          <w:rFonts w:ascii="Times New Roman" w:hAnsi="Times New Roman" w:cs="Times New Roman"/>
          <w:b/>
          <w:bCs/>
          <w:sz w:val="22"/>
          <w:szCs w:val="22"/>
          <w:lang w:val="es-MX"/>
        </w:rPr>
      </w:pPr>
    </w:p>
    <w:p w14:paraId="3BC62965" w14:textId="11F7E81E" w:rsidR="00DB4D58" w:rsidRPr="004A4C21" w:rsidRDefault="00975EDA" w:rsidP="00975EDA">
      <w:pPr>
        <w:jc w:val="both"/>
        <w:rPr>
          <w:rFonts w:ascii="Times New Roman" w:hAnsi="Times New Roman" w:cs="Times New Roman"/>
          <w:sz w:val="22"/>
          <w:szCs w:val="22"/>
          <w:lang w:val="es-MX"/>
        </w:rPr>
      </w:pPr>
      <w:r w:rsidRPr="004A4C21">
        <w:rPr>
          <w:rFonts w:ascii="Times New Roman" w:hAnsi="Times New Roman" w:cs="Times New Roman"/>
          <w:sz w:val="22"/>
          <w:szCs w:val="22"/>
          <w:lang w:val="es-MX"/>
        </w:rPr>
        <w:t>Al ampliar la cobertura a nivel de Gobierno General Consolidado (</w:t>
      </w:r>
      <w:r w:rsidR="00ED1B5D" w:rsidRPr="004A4C21">
        <w:rPr>
          <w:rFonts w:ascii="Times New Roman" w:hAnsi="Times New Roman" w:cs="Times New Roman"/>
          <w:sz w:val="22"/>
          <w:szCs w:val="22"/>
          <w:lang w:val="es-MX"/>
        </w:rPr>
        <w:t xml:space="preserve">que </w:t>
      </w:r>
      <w:r w:rsidRPr="004A4C21">
        <w:rPr>
          <w:rFonts w:ascii="Times New Roman" w:hAnsi="Times New Roman" w:cs="Times New Roman"/>
          <w:sz w:val="22"/>
          <w:szCs w:val="22"/>
          <w:lang w:val="es-MX"/>
        </w:rPr>
        <w:t>incluye Gobierno Central, Fondos de Seguridad Social y Gobiernos Locales) se observa que los ingresos totales se situaron entorno al 16.8% del PIB (Q</w:t>
      </w:r>
      <w:r w:rsidR="00722169" w:rsidRPr="004A4C21">
        <w:rPr>
          <w:rFonts w:ascii="Times New Roman" w:hAnsi="Times New Roman" w:cs="Times New Roman"/>
          <w:sz w:val="22"/>
          <w:szCs w:val="22"/>
          <w:lang w:val="es-MX"/>
        </w:rPr>
        <w:t>134,286.8</w:t>
      </w:r>
      <w:r w:rsidRPr="004A4C21">
        <w:rPr>
          <w:rFonts w:ascii="Times New Roman" w:hAnsi="Times New Roman" w:cs="Times New Roman"/>
          <w:sz w:val="22"/>
          <w:szCs w:val="22"/>
          <w:lang w:val="es-MX"/>
        </w:rPr>
        <w:t xml:space="preserve"> millones) siendo superior en 0.3 puntos porcentuales del PIB respecto al año anterior.</w:t>
      </w:r>
    </w:p>
    <w:p w14:paraId="22125D5E" w14:textId="3587F4C6" w:rsidR="00975EDA" w:rsidRPr="004A4C21" w:rsidRDefault="00975EDA" w:rsidP="00975EDA">
      <w:pPr>
        <w:jc w:val="both"/>
        <w:rPr>
          <w:rFonts w:ascii="Times New Roman" w:hAnsi="Times New Roman" w:cs="Times New Roman"/>
          <w:sz w:val="22"/>
          <w:szCs w:val="22"/>
          <w:lang w:val="es-MX"/>
        </w:rPr>
      </w:pPr>
      <w:r w:rsidRPr="004A4C21">
        <w:rPr>
          <w:rFonts w:ascii="Times New Roman" w:hAnsi="Times New Roman" w:cs="Times New Roman"/>
          <w:sz w:val="22"/>
          <w:szCs w:val="22"/>
          <w:lang w:val="es-MX"/>
        </w:rPr>
        <w:t xml:space="preserve"> </w:t>
      </w:r>
      <w:r w:rsidR="00DB4D58" w:rsidRPr="004A4C21">
        <w:rPr>
          <w:rFonts w:ascii="Times New Roman" w:hAnsi="Times New Roman" w:cs="Times New Roman"/>
          <w:sz w:val="22"/>
          <w:szCs w:val="22"/>
          <w:lang w:val="es-MX"/>
        </w:rPr>
        <w:t xml:space="preserve"> </w:t>
      </w:r>
    </w:p>
    <w:p w14:paraId="35949147" w14:textId="096BFFE1" w:rsidR="00975EDA" w:rsidRPr="004A4C21" w:rsidRDefault="00975EDA" w:rsidP="00975EDA">
      <w:pPr>
        <w:jc w:val="both"/>
        <w:rPr>
          <w:rFonts w:ascii="Times New Roman" w:hAnsi="Times New Roman" w:cs="Times New Roman"/>
          <w:sz w:val="22"/>
          <w:szCs w:val="22"/>
          <w:lang w:val="es-MX"/>
        </w:rPr>
      </w:pPr>
      <w:r w:rsidRPr="004A4C21">
        <w:rPr>
          <w:rFonts w:ascii="Times New Roman" w:hAnsi="Times New Roman" w:cs="Times New Roman"/>
          <w:sz w:val="22"/>
          <w:szCs w:val="22"/>
          <w:lang w:val="es-MX"/>
        </w:rPr>
        <w:t>Los ingresos por impuestos equivalen al 12.4% del PIB (Q99,432.7 millones) siendo los que más contribuyen dentro de los ingresos totales y es oportuno mencionar que h</w:t>
      </w:r>
      <w:r w:rsidR="00ED1B5D" w:rsidRPr="004A4C21">
        <w:rPr>
          <w:rFonts w:ascii="Times New Roman" w:hAnsi="Times New Roman" w:cs="Times New Roman"/>
          <w:sz w:val="22"/>
          <w:szCs w:val="22"/>
          <w:lang w:val="es-MX"/>
        </w:rPr>
        <w:t>ubo</w:t>
      </w:r>
      <w:r w:rsidRPr="004A4C21">
        <w:rPr>
          <w:rFonts w:ascii="Times New Roman" w:hAnsi="Times New Roman" w:cs="Times New Roman"/>
          <w:sz w:val="22"/>
          <w:szCs w:val="22"/>
          <w:lang w:val="es-MX"/>
        </w:rPr>
        <w:t xml:space="preserve"> un aumento de 0.6 puntos porcentuales respecto a la recaudación proveniente del Gobierno Central Presupuestario derivado de la inclusión de los Gobiernos Locales, quienes recaudan el Impuesto Único Sobre Bienes Inmuebles (IUSI) y la tasa de alumbrado público, los Fondos de Seguridad Social </w:t>
      </w:r>
      <w:r w:rsidR="00306761" w:rsidRPr="004A4C21">
        <w:rPr>
          <w:rFonts w:ascii="Times New Roman" w:hAnsi="Times New Roman" w:cs="Times New Roman"/>
          <w:sz w:val="22"/>
          <w:szCs w:val="22"/>
          <w:lang w:val="es-MX"/>
        </w:rPr>
        <w:t xml:space="preserve">que </w:t>
      </w:r>
      <w:r w:rsidRPr="004A4C21">
        <w:rPr>
          <w:rFonts w:ascii="Times New Roman" w:hAnsi="Times New Roman" w:cs="Times New Roman"/>
          <w:sz w:val="22"/>
          <w:szCs w:val="22"/>
          <w:lang w:val="es-MX"/>
        </w:rPr>
        <w:t xml:space="preserve">recaudan el cobro a las empresas privadas para financiar al Instituto de Recreación de los Trabajadores de la </w:t>
      </w:r>
      <w:r w:rsidRPr="004A4C21">
        <w:rPr>
          <w:rFonts w:ascii="Times New Roman" w:hAnsi="Times New Roman" w:cs="Times New Roman"/>
          <w:sz w:val="22"/>
          <w:szCs w:val="22"/>
          <w:lang w:val="es-MX"/>
        </w:rPr>
        <w:lastRenderedPageBreak/>
        <w:t>Empresa Privada de Guatemala (IRTRA) y otros impuestos que recaudan algunas entidades extrapresupuestarias.</w:t>
      </w:r>
    </w:p>
    <w:p w14:paraId="6CDCB818" w14:textId="77777777" w:rsidR="00DB4D58" w:rsidRPr="004A4C21" w:rsidRDefault="00DB4D58" w:rsidP="00975EDA">
      <w:pPr>
        <w:jc w:val="both"/>
        <w:rPr>
          <w:rFonts w:ascii="Times New Roman" w:hAnsi="Times New Roman" w:cs="Times New Roman"/>
          <w:sz w:val="22"/>
          <w:szCs w:val="22"/>
          <w:lang w:val="es-MX"/>
        </w:rPr>
      </w:pPr>
    </w:p>
    <w:p w14:paraId="1F961821" w14:textId="157375D4" w:rsidR="00975EDA" w:rsidRPr="004A4C21" w:rsidRDefault="00975EDA" w:rsidP="00975EDA">
      <w:pPr>
        <w:jc w:val="both"/>
        <w:rPr>
          <w:rFonts w:ascii="Times New Roman" w:hAnsi="Times New Roman" w:cs="Times New Roman"/>
          <w:sz w:val="22"/>
          <w:szCs w:val="22"/>
          <w:lang w:val="es-MX"/>
        </w:rPr>
      </w:pPr>
      <w:r w:rsidRPr="004A4C21">
        <w:rPr>
          <w:rFonts w:ascii="Times New Roman" w:hAnsi="Times New Roman" w:cs="Times New Roman"/>
          <w:sz w:val="22"/>
          <w:szCs w:val="22"/>
          <w:lang w:val="es-MX"/>
        </w:rPr>
        <w:t xml:space="preserve">El segundo ingreso </w:t>
      </w:r>
      <w:r w:rsidR="00306761" w:rsidRPr="004A4C21">
        <w:rPr>
          <w:rFonts w:ascii="Times New Roman" w:hAnsi="Times New Roman" w:cs="Times New Roman"/>
          <w:sz w:val="22"/>
          <w:szCs w:val="22"/>
          <w:lang w:val="es-MX"/>
        </w:rPr>
        <w:t xml:space="preserve">mayor </w:t>
      </w:r>
      <w:r w:rsidRPr="004A4C21">
        <w:rPr>
          <w:rFonts w:ascii="Times New Roman" w:hAnsi="Times New Roman" w:cs="Times New Roman"/>
          <w:sz w:val="22"/>
          <w:szCs w:val="22"/>
          <w:lang w:val="es-MX"/>
        </w:rPr>
        <w:t xml:space="preserve">es producto de las contribuciones sociales </w:t>
      </w:r>
      <w:r w:rsidR="009B263F" w:rsidRPr="004A4C21">
        <w:rPr>
          <w:rFonts w:ascii="Times New Roman" w:hAnsi="Times New Roman" w:cs="Times New Roman"/>
          <w:sz w:val="22"/>
          <w:szCs w:val="22"/>
          <w:lang w:val="es-MX"/>
        </w:rPr>
        <w:t>que</w:t>
      </w:r>
      <w:r w:rsidRPr="004A4C21">
        <w:rPr>
          <w:rFonts w:ascii="Times New Roman" w:hAnsi="Times New Roman" w:cs="Times New Roman"/>
          <w:sz w:val="22"/>
          <w:szCs w:val="22"/>
          <w:lang w:val="es-MX"/>
        </w:rPr>
        <w:t xml:space="preserve"> se situaron en 2.</w:t>
      </w:r>
      <w:r w:rsidR="00157F3B" w:rsidRPr="004A4C21">
        <w:rPr>
          <w:rFonts w:ascii="Times New Roman" w:hAnsi="Times New Roman" w:cs="Times New Roman"/>
          <w:sz w:val="22"/>
          <w:szCs w:val="22"/>
          <w:lang w:val="es-MX"/>
        </w:rPr>
        <w:t>9</w:t>
      </w:r>
      <w:r w:rsidRPr="004A4C21">
        <w:rPr>
          <w:rFonts w:ascii="Times New Roman" w:hAnsi="Times New Roman" w:cs="Times New Roman"/>
          <w:sz w:val="22"/>
          <w:szCs w:val="22"/>
          <w:lang w:val="es-MX"/>
        </w:rPr>
        <w:t>% del PIB (Q</w:t>
      </w:r>
      <w:r w:rsidR="00157F3B" w:rsidRPr="004A4C21">
        <w:rPr>
          <w:rFonts w:ascii="Times New Roman" w:hAnsi="Times New Roman" w:cs="Times New Roman"/>
          <w:sz w:val="22"/>
          <w:szCs w:val="22"/>
          <w:lang w:val="es-MX"/>
        </w:rPr>
        <w:t xml:space="preserve">22,971.9 </w:t>
      </w:r>
      <w:r w:rsidRPr="004A4C21">
        <w:rPr>
          <w:rFonts w:ascii="Times New Roman" w:hAnsi="Times New Roman" w:cs="Times New Roman"/>
          <w:sz w:val="22"/>
          <w:szCs w:val="22"/>
          <w:lang w:val="es-MX"/>
        </w:rPr>
        <w:t>millones)</w:t>
      </w:r>
      <w:r w:rsidR="009B263F" w:rsidRPr="004A4C21">
        <w:rPr>
          <w:rFonts w:ascii="Times New Roman" w:hAnsi="Times New Roman" w:cs="Times New Roman"/>
          <w:sz w:val="22"/>
          <w:szCs w:val="22"/>
          <w:lang w:val="es-MX"/>
        </w:rPr>
        <w:t>,</w:t>
      </w:r>
      <w:r w:rsidRPr="004A4C21">
        <w:rPr>
          <w:rFonts w:ascii="Times New Roman" w:hAnsi="Times New Roman" w:cs="Times New Roman"/>
          <w:sz w:val="22"/>
          <w:szCs w:val="22"/>
          <w:lang w:val="es-MX"/>
        </w:rPr>
        <w:t xml:space="preserve"> constituido por las contribuciones a la seguridad social</w:t>
      </w:r>
      <w:r w:rsidR="009B263F" w:rsidRPr="004A4C21">
        <w:rPr>
          <w:rFonts w:ascii="Times New Roman" w:hAnsi="Times New Roman" w:cs="Times New Roman"/>
          <w:sz w:val="22"/>
          <w:szCs w:val="22"/>
          <w:lang w:val="es-MX"/>
        </w:rPr>
        <w:t>,</w:t>
      </w:r>
      <w:r w:rsidRPr="004A4C21">
        <w:rPr>
          <w:rFonts w:ascii="Times New Roman" w:hAnsi="Times New Roman" w:cs="Times New Roman"/>
          <w:sz w:val="22"/>
          <w:szCs w:val="22"/>
          <w:lang w:val="es-MX"/>
        </w:rPr>
        <w:t xml:space="preserve"> que equivalen al 1.9% del PIB (Q15,205.4 millones)</w:t>
      </w:r>
      <w:r w:rsidR="009B263F" w:rsidRPr="004A4C21">
        <w:rPr>
          <w:rFonts w:ascii="Times New Roman" w:hAnsi="Times New Roman" w:cs="Times New Roman"/>
          <w:sz w:val="22"/>
          <w:szCs w:val="22"/>
          <w:lang w:val="es-MX"/>
        </w:rPr>
        <w:t>,</w:t>
      </w:r>
      <w:r w:rsidRPr="004A4C21">
        <w:rPr>
          <w:rFonts w:ascii="Times New Roman" w:hAnsi="Times New Roman" w:cs="Times New Roman"/>
          <w:sz w:val="22"/>
          <w:szCs w:val="22"/>
          <w:lang w:val="es-MX"/>
        </w:rPr>
        <w:t xml:space="preserve"> y las otras contribuciones sociales</w:t>
      </w:r>
      <w:r w:rsidR="009B263F" w:rsidRPr="004A4C21">
        <w:rPr>
          <w:rFonts w:ascii="Times New Roman" w:hAnsi="Times New Roman" w:cs="Times New Roman"/>
          <w:sz w:val="22"/>
          <w:szCs w:val="22"/>
          <w:lang w:val="es-MX"/>
        </w:rPr>
        <w:t>, equivalentes</w:t>
      </w:r>
      <w:r w:rsidRPr="004A4C21">
        <w:rPr>
          <w:rFonts w:ascii="Times New Roman" w:hAnsi="Times New Roman" w:cs="Times New Roman"/>
          <w:sz w:val="22"/>
          <w:szCs w:val="22"/>
          <w:lang w:val="es-MX"/>
        </w:rPr>
        <w:t xml:space="preserve"> </w:t>
      </w:r>
      <w:r w:rsidR="009B263F" w:rsidRPr="004A4C21">
        <w:rPr>
          <w:rFonts w:ascii="Times New Roman" w:hAnsi="Times New Roman" w:cs="Times New Roman"/>
          <w:sz w:val="22"/>
          <w:szCs w:val="22"/>
          <w:lang w:val="es-MX"/>
        </w:rPr>
        <w:t>a</w:t>
      </w:r>
      <w:r w:rsidRPr="004A4C21">
        <w:rPr>
          <w:rFonts w:ascii="Times New Roman" w:hAnsi="Times New Roman" w:cs="Times New Roman"/>
          <w:sz w:val="22"/>
          <w:szCs w:val="22"/>
          <w:lang w:val="es-MX"/>
        </w:rPr>
        <w:t xml:space="preserve">l </w:t>
      </w:r>
      <w:r w:rsidR="0045661A" w:rsidRPr="004A4C21">
        <w:rPr>
          <w:rFonts w:ascii="Times New Roman" w:hAnsi="Times New Roman" w:cs="Times New Roman"/>
          <w:sz w:val="22"/>
          <w:szCs w:val="22"/>
          <w:lang w:val="es-MX"/>
        </w:rPr>
        <w:t>1.0</w:t>
      </w:r>
      <w:r w:rsidRPr="004A4C21">
        <w:rPr>
          <w:rFonts w:ascii="Times New Roman" w:hAnsi="Times New Roman" w:cs="Times New Roman"/>
          <w:sz w:val="22"/>
          <w:szCs w:val="22"/>
          <w:lang w:val="es-MX"/>
        </w:rPr>
        <w:t>% del PIB (Q</w:t>
      </w:r>
      <w:r w:rsidR="0045661A" w:rsidRPr="004A4C21">
        <w:rPr>
          <w:rFonts w:ascii="Times New Roman" w:hAnsi="Times New Roman" w:cs="Times New Roman"/>
          <w:sz w:val="22"/>
          <w:szCs w:val="22"/>
          <w:lang w:val="es-MX"/>
        </w:rPr>
        <w:t>7,766.6</w:t>
      </w:r>
      <w:r w:rsidRPr="004A4C21">
        <w:rPr>
          <w:rFonts w:ascii="Times New Roman" w:hAnsi="Times New Roman" w:cs="Times New Roman"/>
          <w:sz w:val="22"/>
          <w:szCs w:val="22"/>
          <w:lang w:val="es-MX"/>
        </w:rPr>
        <w:t xml:space="preserve"> millones).</w:t>
      </w:r>
    </w:p>
    <w:p w14:paraId="19E676C3" w14:textId="77777777" w:rsidR="00DB4D58" w:rsidRPr="004A4C21" w:rsidRDefault="00DB4D58" w:rsidP="00975EDA">
      <w:pPr>
        <w:jc w:val="both"/>
        <w:rPr>
          <w:rFonts w:ascii="Times New Roman" w:hAnsi="Times New Roman" w:cs="Times New Roman"/>
          <w:sz w:val="22"/>
          <w:szCs w:val="22"/>
          <w:lang w:val="es-MX"/>
        </w:rPr>
      </w:pPr>
    </w:p>
    <w:p w14:paraId="13237514" w14:textId="0941877C" w:rsidR="00975EDA" w:rsidRDefault="00975EDA" w:rsidP="00853EA1">
      <w:pPr>
        <w:jc w:val="both"/>
        <w:rPr>
          <w:rFonts w:ascii="Times New Roman" w:hAnsi="Times New Roman" w:cs="Times New Roman"/>
          <w:sz w:val="22"/>
          <w:szCs w:val="22"/>
          <w:lang w:val="es-MX"/>
        </w:rPr>
      </w:pPr>
      <w:r w:rsidRPr="004A4C21">
        <w:rPr>
          <w:rFonts w:ascii="Times New Roman" w:hAnsi="Times New Roman" w:cs="Times New Roman"/>
          <w:sz w:val="22"/>
          <w:szCs w:val="22"/>
          <w:lang w:val="es-MX"/>
        </w:rPr>
        <w:t>La categoría de otros ingresos se situó en 1.5% del PIB (Q11,7</w:t>
      </w:r>
      <w:r w:rsidR="00FB2487" w:rsidRPr="004A4C21">
        <w:rPr>
          <w:rFonts w:ascii="Times New Roman" w:hAnsi="Times New Roman" w:cs="Times New Roman"/>
          <w:sz w:val="22"/>
          <w:szCs w:val="22"/>
          <w:lang w:val="es-MX"/>
        </w:rPr>
        <w:t>76</w:t>
      </w:r>
      <w:r w:rsidRPr="004A4C21">
        <w:rPr>
          <w:rFonts w:ascii="Times New Roman" w:hAnsi="Times New Roman" w:cs="Times New Roman"/>
          <w:sz w:val="22"/>
          <w:szCs w:val="22"/>
          <w:lang w:val="es-MX"/>
        </w:rPr>
        <w:t>.8 millones) y en esta categoría la más importante fue las ventas de bienes y servicios por 0.</w:t>
      </w:r>
      <w:r w:rsidR="00B65FA3" w:rsidRPr="004A4C21">
        <w:rPr>
          <w:rFonts w:ascii="Times New Roman" w:hAnsi="Times New Roman" w:cs="Times New Roman"/>
          <w:sz w:val="22"/>
          <w:szCs w:val="22"/>
          <w:lang w:val="es-MX"/>
        </w:rPr>
        <w:t>7%</w:t>
      </w:r>
      <w:r w:rsidRPr="004A4C21">
        <w:rPr>
          <w:rFonts w:ascii="Times New Roman" w:hAnsi="Times New Roman" w:cs="Times New Roman"/>
          <w:sz w:val="22"/>
          <w:szCs w:val="22"/>
          <w:lang w:val="es-MX"/>
        </w:rPr>
        <w:t xml:space="preserve"> del PIB (Q5,911.2 millones), seguido de las rentas de la propiedad por 0.4% del PIB (Q3,131.1 millones)</w:t>
      </w:r>
      <w:r w:rsidR="00C71065" w:rsidRPr="004A4C21">
        <w:rPr>
          <w:rFonts w:ascii="Times New Roman" w:hAnsi="Times New Roman" w:cs="Times New Roman"/>
          <w:sz w:val="22"/>
          <w:szCs w:val="22"/>
          <w:lang w:val="es-MX"/>
        </w:rPr>
        <w:t>,</w:t>
      </w:r>
      <w:r w:rsidRPr="004A4C21">
        <w:rPr>
          <w:rFonts w:ascii="Times New Roman" w:hAnsi="Times New Roman" w:cs="Times New Roman"/>
          <w:sz w:val="22"/>
          <w:szCs w:val="22"/>
          <w:lang w:val="es-MX"/>
        </w:rPr>
        <w:t xml:space="preserve"> mientras que las transferencias no clasificadas en otra parte y las multas, sanciones pecuniarias y depósitos en caución transferidos equivalen a 0.2% (Q1,4</w:t>
      </w:r>
      <w:r w:rsidR="00A66F2B" w:rsidRPr="004A4C21">
        <w:rPr>
          <w:rFonts w:ascii="Times New Roman" w:hAnsi="Times New Roman" w:cs="Times New Roman"/>
          <w:sz w:val="22"/>
          <w:szCs w:val="22"/>
          <w:lang w:val="es-MX"/>
        </w:rPr>
        <w:t>80</w:t>
      </w:r>
      <w:r w:rsidRPr="004A4C21">
        <w:rPr>
          <w:rFonts w:ascii="Times New Roman" w:hAnsi="Times New Roman" w:cs="Times New Roman"/>
          <w:sz w:val="22"/>
          <w:szCs w:val="22"/>
          <w:lang w:val="es-MX"/>
        </w:rPr>
        <w:t>.4 millones) y 0.2% (Q1,253.4 millones) respectivamente.</w:t>
      </w:r>
    </w:p>
    <w:p w14:paraId="31F75A58" w14:textId="77777777" w:rsidR="004A4C21" w:rsidRPr="004A4C21" w:rsidRDefault="004A4C21" w:rsidP="00853EA1">
      <w:pPr>
        <w:jc w:val="both"/>
        <w:rPr>
          <w:rFonts w:ascii="Times New Roman" w:hAnsi="Times New Roman" w:cs="Times New Roman"/>
          <w:b/>
          <w:bCs/>
          <w:sz w:val="22"/>
          <w:szCs w:val="22"/>
        </w:rPr>
      </w:pPr>
    </w:p>
    <w:p w14:paraId="524F3EAE" w14:textId="253AC3B7" w:rsidR="00975EDA" w:rsidRPr="004A4C21" w:rsidRDefault="004A4C21" w:rsidP="004A4C21">
      <w:pPr>
        <w:pStyle w:val="Descripcin"/>
        <w:keepNext/>
        <w:spacing w:after="0"/>
        <w:jc w:val="center"/>
        <w:rPr>
          <w:sz w:val="22"/>
          <w:szCs w:val="22"/>
        </w:rPr>
      </w:pPr>
      <w:bookmarkStart w:id="131" w:name="_Toc160196925"/>
      <w:r w:rsidRPr="004A4C21">
        <w:rPr>
          <w:sz w:val="22"/>
          <w:szCs w:val="22"/>
        </w:rPr>
        <w:t xml:space="preserve">Tabla </w:t>
      </w:r>
      <w:r w:rsidRPr="004A4C21">
        <w:rPr>
          <w:sz w:val="22"/>
          <w:szCs w:val="22"/>
        </w:rPr>
        <w:fldChar w:fldCharType="begin"/>
      </w:r>
      <w:r w:rsidRPr="004A4C21">
        <w:rPr>
          <w:sz w:val="22"/>
          <w:szCs w:val="22"/>
        </w:rPr>
        <w:instrText xml:space="preserve"> SEQ Tabla \* ARABIC </w:instrText>
      </w:r>
      <w:r w:rsidRPr="004A4C21">
        <w:rPr>
          <w:sz w:val="22"/>
          <w:szCs w:val="22"/>
        </w:rPr>
        <w:fldChar w:fldCharType="separate"/>
      </w:r>
      <w:r w:rsidR="00C015DC">
        <w:rPr>
          <w:noProof/>
          <w:sz w:val="22"/>
          <w:szCs w:val="22"/>
        </w:rPr>
        <w:t>10</w:t>
      </w:r>
      <w:r w:rsidRPr="004A4C21">
        <w:rPr>
          <w:sz w:val="22"/>
          <w:szCs w:val="22"/>
        </w:rPr>
        <w:fldChar w:fldCharType="end"/>
      </w:r>
      <w:r w:rsidRPr="004A4C21">
        <w:rPr>
          <w:sz w:val="22"/>
          <w:szCs w:val="22"/>
        </w:rPr>
        <w:t xml:space="preserve">.  </w:t>
      </w:r>
      <w:r w:rsidR="00975EDA" w:rsidRPr="004A4C21">
        <w:rPr>
          <w:rFonts w:cs="Times New Roman"/>
          <w:bCs/>
          <w:sz w:val="22"/>
          <w:szCs w:val="22"/>
        </w:rPr>
        <w:t>Estado de operaciones del Gobierno General Consolidado</w:t>
      </w:r>
      <w:bookmarkEnd w:id="131"/>
      <w:r w:rsidR="00975EDA" w:rsidRPr="004A4C21">
        <w:rPr>
          <w:rFonts w:cs="Times New Roman"/>
          <w:bCs/>
          <w:sz w:val="22"/>
          <w:szCs w:val="22"/>
        </w:rPr>
        <w:t xml:space="preserve"> </w:t>
      </w:r>
    </w:p>
    <w:p w14:paraId="45247ED0" w14:textId="77777777" w:rsidR="00975EDA" w:rsidRPr="004A4C21" w:rsidRDefault="00975EDA" w:rsidP="00975EDA">
      <w:pPr>
        <w:jc w:val="center"/>
        <w:rPr>
          <w:rFonts w:ascii="Times New Roman" w:hAnsi="Times New Roman" w:cs="Times New Roman"/>
          <w:sz w:val="22"/>
          <w:szCs w:val="22"/>
        </w:rPr>
      </w:pPr>
      <w:r w:rsidRPr="004A4C21">
        <w:rPr>
          <w:rFonts w:ascii="Times New Roman" w:hAnsi="Times New Roman" w:cs="Times New Roman"/>
          <w:sz w:val="22"/>
          <w:szCs w:val="22"/>
        </w:rPr>
        <w:t>Cifras en Millones de Quetzales</w:t>
      </w:r>
    </w:p>
    <w:tbl>
      <w:tblPr>
        <w:tblW w:w="8525" w:type="dxa"/>
        <w:jc w:val="center"/>
        <w:tblCellMar>
          <w:left w:w="70" w:type="dxa"/>
          <w:right w:w="70" w:type="dxa"/>
        </w:tblCellMar>
        <w:tblLook w:val="04A0" w:firstRow="1" w:lastRow="0" w:firstColumn="1" w:lastColumn="0" w:noHBand="0" w:noVBand="1"/>
      </w:tblPr>
      <w:tblGrid>
        <w:gridCol w:w="3905"/>
        <w:gridCol w:w="1213"/>
        <w:gridCol w:w="1214"/>
        <w:gridCol w:w="1095"/>
        <w:gridCol w:w="1098"/>
      </w:tblGrid>
      <w:tr w:rsidR="00975EDA" w:rsidRPr="00F81469" w14:paraId="6E248C3E" w14:textId="77777777" w:rsidTr="00B341EB">
        <w:trPr>
          <w:trHeight w:val="323"/>
          <w:jc w:val="center"/>
        </w:trPr>
        <w:tc>
          <w:tcPr>
            <w:tcW w:w="3905" w:type="dxa"/>
            <w:vMerge w:val="restart"/>
            <w:tcBorders>
              <w:top w:val="single" w:sz="8" w:space="0" w:color="auto"/>
              <w:left w:val="single" w:sz="8" w:space="0" w:color="auto"/>
              <w:bottom w:val="single" w:sz="8" w:space="0" w:color="000000"/>
              <w:right w:val="nil"/>
            </w:tcBorders>
            <w:shd w:val="clear" w:color="000000" w:fill="44546A"/>
            <w:noWrap/>
            <w:vAlign w:val="center"/>
            <w:hideMark/>
          </w:tcPr>
          <w:p w14:paraId="2421D718" w14:textId="77777777" w:rsidR="00975EDA" w:rsidRPr="00F81469" w:rsidRDefault="00975EDA" w:rsidP="00B341EB">
            <w:pPr>
              <w:jc w:val="center"/>
              <w:rPr>
                <w:rFonts w:ascii="Times New Roman" w:eastAsia="Times New Roman" w:hAnsi="Times New Roman" w:cs="Times New Roman"/>
                <w:b/>
                <w:bCs/>
                <w:color w:val="FFFFFF"/>
                <w:sz w:val="20"/>
                <w:szCs w:val="20"/>
                <w:lang w:eastAsia="es-GT"/>
              </w:rPr>
            </w:pPr>
            <w:r w:rsidRPr="00F81469">
              <w:rPr>
                <w:rFonts w:ascii="Times New Roman" w:eastAsia="Times New Roman" w:hAnsi="Times New Roman" w:cs="Times New Roman"/>
                <w:b/>
                <w:bCs/>
                <w:color w:val="FFFFFF"/>
                <w:sz w:val="20"/>
                <w:szCs w:val="20"/>
                <w:lang w:eastAsia="es-GT"/>
              </w:rPr>
              <w:t>Descripción</w:t>
            </w:r>
          </w:p>
        </w:tc>
        <w:tc>
          <w:tcPr>
            <w:tcW w:w="2427" w:type="dxa"/>
            <w:gridSpan w:val="2"/>
            <w:tcBorders>
              <w:top w:val="single" w:sz="8" w:space="0" w:color="auto"/>
              <w:left w:val="single" w:sz="8" w:space="0" w:color="auto"/>
              <w:bottom w:val="single" w:sz="8" w:space="0" w:color="auto"/>
              <w:right w:val="single" w:sz="8" w:space="0" w:color="000000"/>
            </w:tcBorders>
            <w:shd w:val="clear" w:color="000000" w:fill="44546A"/>
            <w:vAlign w:val="center"/>
            <w:hideMark/>
          </w:tcPr>
          <w:p w14:paraId="41456BEA" w14:textId="77777777" w:rsidR="00975EDA" w:rsidRPr="00F81469" w:rsidRDefault="00975EDA" w:rsidP="00B341EB">
            <w:pPr>
              <w:jc w:val="center"/>
              <w:rPr>
                <w:rFonts w:ascii="Times New Roman" w:eastAsia="Times New Roman" w:hAnsi="Times New Roman" w:cs="Times New Roman"/>
                <w:b/>
                <w:bCs/>
                <w:color w:val="FFFFFF"/>
                <w:sz w:val="20"/>
                <w:szCs w:val="20"/>
                <w:lang w:eastAsia="es-GT"/>
              </w:rPr>
            </w:pPr>
            <w:r w:rsidRPr="00F81469">
              <w:rPr>
                <w:rFonts w:ascii="Times New Roman" w:eastAsia="Times New Roman" w:hAnsi="Times New Roman" w:cs="Times New Roman"/>
                <w:b/>
                <w:bCs/>
                <w:color w:val="FFFFFF"/>
                <w:sz w:val="20"/>
                <w:szCs w:val="20"/>
                <w:lang w:eastAsia="es-GT"/>
              </w:rPr>
              <w:t>En millones de Q</w:t>
            </w:r>
          </w:p>
        </w:tc>
        <w:tc>
          <w:tcPr>
            <w:tcW w:w="2193" w:type="dxa"/>
            <w:gridSpan w:val="2"/>
            <w:tcBorders>
              <w:top w:val="single" w:sz="8" w:space="0" w:color="auto"/>
              <w:left w:val="nil"/>
              <w:bottom w:val="single" w:sz="8" w:space="0" w:color="auto"/>
              <w:right w:val="single" w:sz="8" w:space="0" w:color="000000"/>
            </w:tcBorders>
            <w:shd w:val="clear" w:color="000000" w:fill="44546A"/>
            <w:vAlign w:val="center"/>
            <w:hideMark/>
          </w:tcPr>
          <w:p w14:paraId="1F49D2B1" w14:textId="77777777" w:rsidR="00975EDA" w:rsidRPr="00F81469" w:rsidRDefault="00975EDA" w:rsidP="00B341EB">
            <w:pPr>
              <w:jc w:val="center"/>
              <w:rPr>
                <w:rFonts w:ascii="Times New Roman" w:eastAsia="Times New Roman" w:hAnsi="Times New Roman" w:cs="Times New Roman"/>
                <w:b/>
                <w:bCs/>
                <w:color w:val="FFFFFF"/>
                <w:sz w:val="20"/>
                <w:szCs w:val="20"/>
                <w:lang w:eastAsia="es-GT"/>
              </w:rPr>
            </w:pPr>
            <w:r w:rsidRPr="00F81469">
              <w:rPr>
                <w:rFonts w:ascii="Times New Roman" w:eastAsia="Times New Roman" w:hAnsi="Times New Roman" w:cs="Times New Roman"/>
                <w:b/>
                <w:bCs/>
                <w:color w:val="FFFFFF"/>
                <w:sz w:val="20"/>
                <w:szCs w:val="20"/>
                <w:lang w:eastAsia="es-GT"/>
              </w:rPr>
              <w:t>Como porcentaje del PIB</w:t>
            </w:r>
          </w:p>
        </w:tc>
      </w:tr>
      <w:tr w:rsidR="00975EDA" w:rsidRPr="00F81469" w14:paraId="7DA23F80" w14:textId="77777777" w:rsidTr="00B341EB">
        <w:trPr>
          <w:trHeight w:val="238"/>
          <w:jc w:val="center"/>
        </w:trPr>
        <w:tc>
          <w:tcPr>
            <w:tcW w:w="3905" w:type="dxa"/>
            <w:vMerge/>
            <w:tcBorders>
              <w:top w:val="single" w:sz="8" w:space="0" w:color="auto"/>
              <w:left w:val="single" w:sz="8" w:space="0" w:color="auto"/>
              <w:bottom w:val="single" w:sz="8" w:space="0" w:color="000000"/>
              <w:right w:val="nil"/>
            </w:tcBorders>
            <w:vAlign w:val="center"/>
            <w:hideMark/>
          </w:tcPr>
          <w:p w14:paraId="0B250C5B" w14:textId="77777777" w:rsidR="00975EDA" w:rsidRPr="00F81469" w:rsidRDefault="00975EDA" w:rsidP="00B341EB">
            <w:pPr>
              <w:rPr>
                <w:rFonts w:ascii="Times New Roman" w:eastAsia="Times New Roman" w:hAnsi="Times New Roman" w:cs="Times New Roman"/>
                <w:b/>
                <w:bCs/>
                <w:color w:val="FFFFFF"/>
                <w:sz w:val="20"/>
                <w:szCs w:val="20"/>
                <w:lang w:eastAsia="es-GT"/>
              </w:rPr>
            </w:pPr>
          </w:p>
        </w:tc>
        <w:tc>
          <w:tcPr>
            <w:tcW w:w="1213" w:type="dxa"/>
            <w:tcBorders>
              <w:top w:val="nil"/>
              <w:left w:val="single" w:sz="8" w:space="0" w:color="auto"/>
              <w:bottom w:val="single" w:sz="8" w:space="0" w:color="auto"/>
              <w:right w:val="nil"/>
            </w:tcBorders>
            <w:shd w:val="clear" w:color="000000" w:fill="808080"/>
            <w:vAlign w:val="center"/>
            <w:hideMark/>
          </w:tcPr>
          <w:p w14:paraId="2757ACD7" w14:textId="77777777" w:rsidR="00975EDA" w:rsidRPr="00F81469" w:rsidRDefault="00975EDA" w:rsidP="00B341EB">
            <w:pPr>
              <w:jc w:val="center"/>
              <w:rPr>
                <w:rFonts w:ascii="Times New Roman" w:eastAsia="Times New Roman" w:hAnsi="Times New Roman" w:cs="Times New Roman"/>
                <w:b/>
                <w:bCs/>
                <w:color w:val="FFFFFF"/>
                <w:sz w:val="20"/>
                <w:szCs w:val="20"/>
                <w:lang w:eastAsia="es-GT"/>
              </w:rPr>
            </w:pPr>
            <w:r w:rsidRPr="00F81469">
              <w:rPr>
                <w:rFonts w:ascii="Times New Roman" w:eastAsia="Times New Roman" w:hAnsi="Times New Roman" w:cs="Times New Roman"/>
                <w:b/>
                <w:bCs/>
                <w:color w:val="FFFFFF"/>
                <w:sz w:val="20"/>
                <w:szCs w:val="20"/>
                <w:lang w:eastAsia="es-GT"/>
              </w:rPr>
              <w:t>2022</w:t>
            </w:r>
          </w:p>
        </w:tc>
        <w:tc>
          <w:tcPr>
            <w:tcW w:w="1214" w:type="dxa"/>
            <w:tcBorders>
              <w:top w:val="nil"/>
              <w:left w:val="nil"/>
              <w:bottom w:val="single" w:sz="8" w:space="0" w:color="auto"/>
              <w:right w:val="single" w:sz="8" w:space="0" w:color="auto"/>
            </w:tcBorders>
            <w:shd w:val="clear" w:color="000000" w:fill="808080"/>
            <w:vAlign w:val="center"/>
            <w:hideMark/>
          </w:tcPr>
          <w:p w14:paraId="698E8D45" w14:textId="77777777" w:rsidR="00975EDA" w:rsidRPr="00F81469" w:rsidRDefault="00975EDA" w:rsidP="00B341EB">
            <w:pPr>
              <w:jc w:val="center"/>
              <w:rPr>
                <w:rFonts w:ascii="Times New Roman" w:eastAsia="Times New Roman" w:hAnsi="Times New Roman" w:cs="Times New Roman"/>
                <w:b/>
                <w:bCs/>
                <w:color w:val="FFFFFF"/>
                <w:sz w:val="20"/>
                <w:szCs w:val="20"/>
                <w:lang w:eastAsia="es-GT"/>
              </w:rPr>
            </w:pPr>
            <w:r w:rsidRPr="00F81469">
              <w:rPr>
                <w:rFonts w:ascii="Times New Roman" w:eastAsia="Times New Roman" w:hAnsi="Times New Roman" w:cs="Times New Roman"/>
                <w:b/>
                <w:bCs/>
                <w:color w:val="FFFFFF"/>
                <w:sz w:val="20"/>
                <w:szCs w:val="20"/>
                <w:lang w:eastAsia="es-GT"/>
              </w:rPr>
              <w:t>2023*</w:t>
            </w:r>
          </w:p>
        </w:tc>
        <w:tc>
          <w:tcPr>
            <w:tcW w:w="1095" w:type="dxa"/>
            <w:tcBorders>
              <w:top w:val="nil"/>
              <w:left w:val="nil"/>
              <w:bottom w:val="single" w:sz="8" w:space="0" w:color="auto"/>
              <w:right w:val="nil"/>
            </w:tcBorders>
            <w:shd w:val="clear" w:color="000000" w:fill="808080"/>
            <w:vAlign w:val="center"/>
            <w:hideMark/>
          </w:tcPr>
          <w:p w14:paraId="1CCE6FC1" w14:textId="77777777" w:rsidR="00975EDA" w:rsidRPr="00F81469" w:rsidRDefault="00975EDA" w:rsidP="00B341EB">
            <w:pPr>
              <w:jc w:val="center"/>
              <w:rPr>
                <w:rFonts w:ascii="Times New Roman" w:eastAsia="Times New Roman" w:hAnsi="Times New Roman" w:cs="Times New Roman"/>
                <w:b/>
                <w:bCs/>
                <w:color w:val="FFFFFF"/>
                <w:sz w:val="20"/>
                <w:szCs w:val="20"/>
                <w:lang w:eastAsia="es-GT"/>
              </w:rPr>
            </w:pPr>
            <w:r w:rsidRPr="00F81469">
              <w:rPr>
                <w:rFonts w:ascii="Times New Roman" w:eastAsia="Times New Roman" w:hAnsi="Times New Roman" w:cs="Times New Roman"/>
                <w:b/>
                <w:bCs/>
                <w:color w:val="FFFFFF"/>
                <w:sz w:val="20"/>
                <w:szCs w:val="20"/>
                <w:lang w:eastAsia="es-GT"/>
              </w:rPr>
              <w:t>2022</w:t>
            </w:r>
          </w:p>
        </w:tc>
        <w:tc>
          <w:tcPr>
            <w:tcW w:w="1098" w:type="dxa"/>
            <w:tcBorders>
              <w:top w:val="nil"/>
              <w:left w:val="nil"/>
              <w:bottom w:val="single" w:sz="8" w:space="0" w:color="auto"/>
              <w:right w:val="single" w:sz="8" w:space="0" w:color="auto"/>
            </w:tcBorders>
            <w:shd w:val="clear" w:color="000000" w:fill="808080"/>
            <w:vAlign w:val="center"/>
            <w:hideMark/>
          </w:tcPr>
          <w:p w14:paraId="36A1F0DE" w14:textId="77777777" w:rsidR="00975EDA" w:rsidRPr="00F81469" w:rsidRDefault="00975EDA" w:rsidP="00B341EB">
            <w:pPr>
              <w:jc w:val="center"/>
              <w:rPr>
                <w:rFonts w:ascii="Times New Roman" w:eastAsia="Times New Roman" w:hAnsi="Times New Roman" w:cs="Times New Roman"/>
                <w:b/>
                <w:bCs/>
                <w:color w:val="FFFFFF"/>
                <w:sz w:val="20"/>
                <w:szCs w:val="20"/>
                <w:lang w:eastAsia="es-GT"/>
              </w:rPr>
            </w:pPr>
            <w:r w:rsidRPr="00F81469">
              <w:rPr>
                <w:rFonts w:ascii="Times New Roman" w:eastAsia="Times New Roman" w:hAnsi="Times New Roman" w:cs="Times New Roman"/>
                <w:b/>
                <w:bCs/>
                <w:color w:val="FFFFFF"/>
                <w:sz w:val="20"/>
                <w:szCs w:val="20"/>
                <w:lang w:eastAsia="es-GT"/>
              </w:rPr>
              <w:t>2023*</w:t>
            </w:r>
          </w:p>
        </w:tc>
      </w:tr>
      <w:tr w:rsidR="00A84BC4" w:rsidRPr="00F81469" w14:paraId="186ED24D" w14:textId="77777777" w:rsidTr="00B341EB">
        <w:trPr>
          <w:trHeight w:val="238"/>
          <w:jc w:val="center"/>
        </w:trPr>
        <w:tc>
          <w:tcPr>
            <w:tcW w:w="3905" w:type="dxa"/>
            <w:tcBorders>
              <w:top w:val="nil"/>
              <w:left w:val="nil"/>
              <w:bottom w:val="nil"/>
              <w:right w:val="nil"/>
            </w:tcBorders>
            <w:shd w:val="clear" w:color="auto" w:fill="auto"/>
            <w:noWrap/>
            <w:vAlign w:val="center"/>
            <w:hideMark/>
          </w:tcPr>
          <w:p w14:paraId="546AFCF2" w14:textId="77777777" w:rsidR="00A84BC4" w:rsidRPr="00F81469" w:rsidRDefault="00A84BC4" w:rsidP="00A84BC4">
            <w:pPr>
              <w:jc w:val="both"/>
              <w:rPr>
                <w:rFonts w:ascii="Times New Roman" w:eastAsia="Times New Roman" w:hAnsi="Times New Roman" w:cs="Times New Roman"/>
                <w:b/>
                <w:bCs/>
                <w:color w:val="000000"/>
                <w:sz w:val="20"/>
                <w:szCs w:val="20"/>
                <w:lang w:eastAsia="es-GT"/>
              </w:rPr>
            </w:pPr>
            <w:r w:rsidRPr="00F81469">
              <w:rPr>
                <w:rFonts w:ascii="Times New Roman" w:eastAsia="Times New Roman" w:hAnsi="Times New Roman" w:cs="Times New Roman"/>
                <w:b/>
                <w:bCs/>
                <w:color w:val="000000"/>
                <w:sz w:val="20"/>
                <w:szCs w:val="20"/>
                <w:lang w:eastAsia="es-GT"/>
              </w:rPr>
              <w:t>INGRESO</w:t>
            </w:r>
          </w:p>
        </w:tc>
        <w:tc>
          <w:tcPr>
            <w:tcW w:w="1213" w:type="dxa"/>
            <w:tcBorders>
              <w:top w:val="nil"/>
              <w:left w:val="nil"/>
              <w:bottom w:val="nil"/>
              <w:right w:val="nil"/>
            </w:tcBorders>
            <w:shd w:val="clear" w:color="auto" w:fill="auto"/>
            <w:noWrap/>
            <w:vAlign w:val="center"/>
            <w:hideMark/>
          </w:tcPr>
          <w:p w14:paraId="2776BC0A" w14:textId="71D4DD61" w:rsidR="00A84BC4" w:rsidRPr="00A84BC4" w:rsidRDefault="00A84BC4" w:rsidP="00A84BC4">
            <w:pPr>
              <w:jc w:val="center"/>
              <w:rPr>
                <w:rFonts w:ascii="Times New Roman" w:eastAsia="Times New Roman" w:hAnsi="Times New Roman" w:cs="Times New Roman"/>
                <w:b/>
                <w:bCs/>
                <w:color w:val="000000"/>
                <w:sz w:val="20"/>
                <w:szCs w:val="20"/>
                <w:lang w:eastAsia="es-GT"/>
              </w:rPr>
            </w:pPr>
            <w:r w:rsidRPr="00A84BC4">
              <w:rPr>
                <w:rFonts w:ascii="Times New Roman" w:hAnsi="Times New Roman" w:cs="Times New Roman"/>
                <w:b/>
                <w:bCs/>
                <w:color w:val="000000"/>
                <w:sz w:val="20"/>
                <w:szCs w:val="20"/>
              </w:rPr>
              <w:t>121,263.0</w:t>
            </w:r>
          </w:p>
        </w:tc>
        <w:tc>
          <w:tcPr>
            <w:tcW w:w="1214" w:type="dxa"/>
            <w:tcBorders>
              <w:top w:val="nil"/>
              <w:left w:val="nil"/>
              <w:bottom w:val="nil"/>
              <w:right w:val="nil"/>
            </w:tcBorders>
            <w:shd w:val="clear" w:color="auto" w:fill="auto"/>
            <w:noWrap/>
            <w:vAlign w:val="center"/>
            <w:hideMark/>
          </w:tcPr>
          <w:p w14:paraId="1118833C" w14:textId="750127E5" w:rsidR="00A84BC4" w:rsidRPr="00A84BC4" w:rsidRDefault="00A84BC4" w:rsidP="00A84BC4">
            <w:pPr>
              <w:jc w:val="center"/>
              <w:rPr>
                <w:rFonts w:ascii="Times New Roman" w:eastAsia="Times New Roman" w:hAnsi="Times New Roman" w:cs="Times New Roman"/>
                <w:b/>
                <w:bCs/>
                <w:color w:val="000000"/>
                <w:sz w:val="20"/>
                <w:szCs w:val="20"/>
                <w:lang w:eastAsia="es-GT"/>
              </w:rPr>
            </w:pPr>
            <w:r w:rsidRPr="00A84BC4">
              <w:rPr>
                <w:rFonts w:ascii="Times New Roman" w:hAnsi="Times New Roman" w:cs="Times New Roman"/>
                <w:b/>
                <w:bCs/>
                <w:color w:val="000000"/>
                <w:sz w:val="20"/>
                <w:szCs w:val="20"/>
              </w:rPr>
              <w:t>134,286.8</w:t>
            </w:r>
          </w:p>
        </w:tc>
        <w:tc>
          <w:tcPr>
            <w:tcW w:w="1095" w:type="dxa"/>
            <w:tcBorders>
              <w:top w:val="nil"/>
              <w:left w:val="dotDash" w:sz="4" w:space="0" w:color="auto"/>
              <w:bottom w:val="nil"/>
              <w:right w:val="nil"/>
            </w:tcBorders>
            <w:shd w:val="clear" w:color="auto" w:fill="auto"/>
            <w:noWrap/>
            <w:vAlign w:val="center"/>
            <w:hideMark/>
          </w:tcPr>
          <w:p w14:paraId="746F3FBA" w14:textId="5155A867" w:rsidR="00A84BC4" w:rsidRPr="00A84BC4" w:rsidRDefault="00A84BC4" w:rsidP="00A84BC4">
            <w:pPr>
              <w:jc w:val="center"/>
              <w:rPr>
                <w:rFonts w:ascii="Times New Roman" w:eastAsia="Times New Roman" w:hAnsi="Times New Roman" w:cs="Times New Roman"/>
                <w:b/>
                <w:bCs/>
                <w:color w:val="000000"/>
                <w:sz w:val="20"/>
                <w:szCs w:val="20"/>
                <w:lang w:eastAsia="es-GT"/>
              </w:rPr>
            </w:pPr>
            <w:r w:rsidRPr="00A84BC4">
              <w:rPr>
                <w:rFonts w:ascii="Times New Roman" w:hAnsi="Times New Roman" w:cs="Times New Roman"/>
                <w:b/>
                <w:bCs/>
                <w:color w:val="000000"/>
                <w:sz w:val="20"/>
                <w:szCs w:val="20"/>
              </w:rPr>
              <w:t>16.5</w:t>
            </w:r>
          </w:p>
        </w:tc>
        <w:tc>
          <w:tcPr>
            <w:tcW w:w="1098" w:type="dxa"/>
            <w:tcBorders>
              <w:top w:val="nil"/>
              <w:left w:val="nil"/>
              <w:bottom w:val="nil"/>
              <w:right w:val="nil"/>
            </w:tcBorders>
            <w:shd w:val="clear" w:color="auto" w:fill="auto"/>
            <w:noWrap/>
            <w:vAlign w:val="center"/>
            <w:hideMark/>
          </w:tcPr>
          <w:p w14:paraId="6AECC5D8" w14:textId="17EF48FD" w:rsidR="00A84BC4" w:rsidRPr="00A84BC4" w:rsidRDefault="00A84BC4" w:rsidP="00A84BC4">
            <w:pPr>
              <w:jc w:val="center"/>
              <w:rPr>
                <w:rFonts w:ascii="Times New Roman" w:eastAsia="Times New Roman" w:hAnsi="Times New Roman" w:cs="Times New Roman"/>
                <w:b/>
                <w:bCs/>
                <w:color w:val="000000"/>
                <w:sz w:val="20"/>
                <w:szCs w:val="20"/>
                <w:lang w:eastAsia="es-GT"/>
              </w:rPr>
            </w:pPr>
            <w:r w:rsidRPr="00A84BC4">
              <w:rPr>
                <w:rFonts w:ascii="Times New Roman" w:hAnsi="Times New Roman" w:cs="Times New Roman"/>
                <w:b/>
                <w:bCs/>
                <w:color w:val="000000"/>
                <w:sz w:val="20"/>
                <w:szCs w:val="20"/>
              </w:rPr>
              <w:t>16.8</w:t>
            </w:r>
          </w:p>
        </w:tc>
      </w:tr>
      <w:tr w:rsidR="00A84BC4" w:rsidRPr="00F81469" w14:paraId="1CFE96A0" w14:textId="77777777" w:rsidTr="00B341EB">
        <w:trPr>
          <w:trHeight w:val="238"/>
          <w:jc w:val="center"/>
        </w:trPr>
        <w:tc>
          <w:tcPr>
            <w:tcW w:w="3905" w:type="dxa"/>
            <w:tcBorders>
              <w:top w:val="nil"/>
              <w:left w:val="nil"/>
              <w:bottom w:val="nil"/>
              <w:right w:val="nil"/>
            </w:tcBorders>
            <w:shd w:val="clear" w:color="auto" w:fill="auto"/>
            <w:noWrap/>
            <w:vAlign w:val="center"/>
            <w:hideMark/>
          </w:tcPr>
          <w:p w14:paraId="6E869DED" w14:textId="77777777" w:rsidR="00A84BC4" w:rsidRPr="00F81469" w:rsidRDefault="00A84BC4" w:rsidP="00A84BC4">
            <w:pPr>
              <w:ind w:firstLineChars="100" w:firstLine="200"/>
              <w:rPr>
                <w:rFonts w:ascii="Times New Roman" w:eastAsia="Times New Roman" w:hAnsi="Times New Roman" w:cs="Times New Roman"/>
                <w:color w:val="000000"/>
                <w:sz w:val="20"/>
                <w:szCs w:val="20"/>
                <w:lang w:eastAsia="es-GT"/>
              </w:rPr>
            </w:pPr>
            <w:r w:rsidRPr="00F81469">
              <w:rPr>
                <w:rFonts w:ascii="Times New Roman" w:eastAsia="Times New Roman" w:hAnsi="Times New Roman" w:cs="Times New Roman"/>
                <w:color w:val="000000"/>
                <w:sz w:val="20"/>
                <w:szCs w:val="20"/>
                <w:lang w:eastAsia="es-GT"/>
              </w:rPr>
              <w:t>Impuestos</w:t>
            </w:r>
          </w:p>
        </w:tc>
        <w:tc>
          <w:tcPr>
            <w:tcW w:w="1213" w:type="dxa"/>
            <w:tcBorders>
              <w:top w:val="nil"/>
              <w:left w:val="nil"/>
              <w:bottom w:val="nil"/>
              <w:right w:val="nil"/>
            </w:tcBorders>
            <w:shd w:val="clear" w:color="auto" w:fill="auto"/>
            <w:noWrap/>
            <w:vAlign w:val="center"/>
            <w:hideMark/>
          </w:tcPr>
          <w:p w14:paraId="3D6571A7" w14:textId="2C4707F5" w:rsidR="00A84BC4" w:rsidRPr="00A84BC4" w:rsidRDefault="00A84BC4" w:rsidP="00A84BC4">
            <w:pPr>
              <w:jc w:val="center"/>
              <w:rPr>
                <w:rFonts w:ascii="Times New Roman" w:eastAsia="Times New Roman" w:hAnsi="Times New Roman" w:cs="Times New Roman"/>
                <w:color w:val="000000"/>
                <w:sz w:val="20"/>
                <w:szCs w:val="20"/>
                <w:lang w:eastAsia="es-GT"/>
              </w:rPr>
            </w:pPr>
            <w:r w:rsidRPr="00A84BC4">
              <w:rPr>
                <w:rFonts w:ascii="Times New Roman" w:hAnsi="Times New Roman" w:cs="Times New Roman"/>
                <w:color w:val="000000"/>
                <w:sz w:val="20"/>
                <w:szCs w:val="20"/>
              </w:rPr>
              <w:t>92,123.4</w:t>
            </w:r>
          </w:p>
        </w:tc>
        <w:tc>
          <w:tcPr>
            <w:tcW w:w="1214" w:type="dxa"/>
            <w:tcBorders>
              <w:top w:val="nil"/>
              <w:left w:val="nil"/>
              <w:bottom w:val="nil"/>
              <w:right w:val="nil"/>
            </w:tcBorders>
            <w:shd w:val="clear" w:color="auto" w:fill="auto"/>
            <w:noWrap/>
            <w:vAlign w:val="center"/>
            <w:hideMark/>
          </w:tcPr>
          <w:p w14:paraId="77C5E483" w14:textId="3F7ED8B1" w:rsidR="00A84BC4" w:rsidRPr="00A84BC4" w:rsidRDefault="00A84BC4" w:rsidP="00A84BC4">
            <w:pPr>
              <w:jc w:val="center"/>
              <w:rPr>
                <w:rFonts w:ascii="Times New Roman" w:eastAsia="Times New Roman" w:hAnsi="Times New Roman" w:cs="Times New Roman"/>
                <w:color w:val="000000"/>
                <w:sz w:val="20"/>
                <w:szCs w:val="20"/>
                <w:lang w:eastAsia="es-GT"/>
              </w:rPr>
            </w:pPr>
            <w:r w:rsidRPr="00A84BC4">
              <w:rPr>
                <w:rFonts w:ascii="Times New Roman" w:hAnsi="Times New Roman" w:cs="Times New Roman"/>
                <w:color w:val="000000"/>
                <w:sz w:val="20"/>
                <w:szCs w:val="20"/>
              </w:rPr>
              <w:t>99,432.7</w:t>
            </w:r>
          </w:p>
        </w:tc>
        <w:tc>
          <w:tcPr>
            <w:tcW w:w="1095" w:type="dxa"/>
            <w:tcBorders>
              <w:top w:val="nil"/>
              <w:left w:val="dotDash" w:sz="4" w:space="0" w:color="auto"/>
              <w:bottom w:val="nil"/>
              <w:right w:val="nil"/>
            </w:tcBorders>
            <w:shd w:val="clear" w:color="auto" w:fill="auto"/>
            <w:noWrap/>
            <w:vAlign w:val="center"/>
            <w:hideMark/>
          </w:tcPr>
          <w:p w14:paraId="7DDC756A" w14:textId="777C1C96" w:rsidR="00A84BC4" w:rsidRPr="00A84BC4" w:rsidRDefault="00A84BC4" w:rsidP="00A84BC4">
            <w:pPr>
              <w:jc w:val="center"/>
              <w:rPr>
                <w:rFonts w:ascii="Times New Roman" w:eastAsia="Times New Roman" w:hAnsi="Times New Roman" w:cs="Times New Roman"/>
                <w:color w:val="000000"/>
                <w:sz w:val="20"/>
                <w:szCs w:val="20"/>
                <w:lang w:eastAsia="es-GT"/>
              </w:rPr>
            </w:pPr>
            <w:r w:rsidRPr="00A84BC4">
              <w:rPr>
                <w:rFonts w:ascii="Times New Roman" w:hAnsi="Times New Roman" w:cs="Times New Roman"/>
                <w:color w:val="000000"/>
                <w:sz w:val="20"/>
                <w:szCs w:val="20"/>
              </w:rPr>
              <w:t>12.5</w:t>
            </w:r>
          </w:p>
        </w:tc>
        <w:tc>
          <w:tcPr>
            <w:tcW w:w="1098" w:type="dxa"/>
            <w:tcBorders>
              <w:top w:val="nil"/>
              <w:left w:val="nil"/>
              <w:bottom w:val="nil"/>
              <w:right w:val="nil"/>
            </w:tcBorders>
            <w:shd w:val="clear" w:color="auto" w:fill="auto"/>
            <w:noWrap/>
            <w:vAlign w:val="center"/>
            <w:hideMark/>
          </w:tcPr>
          <w:p w14:paraId="0D915F38" w14:textId="0D4B1CFF" w:rsidR="00A84BC4" w:rsidRPr="00A84BC4" w:rsidRDefault="00A84BC4" w:rsidP="00A84BC4">
            <w:pPr>
              <w:jc w:val="center"/>
              <w:rPr>
                <w:rFonts w:ascii="Times New Roman" w:eastAsia="Times New Roman" w:hAnsi="Times New Roman" w:cs="Times New Roman"/>
                <w:color w:val="000000"/>
                <w:sz w:val="20"/>
                <w:szCs w:val="20"/>
                <w:lang w:eastAsia="es-GT"/>
              </w:rPr>
            </w:pPr>
            <w:r w:rsidRPr="00A84BC4">
              <w:rPr>
                <w:rFonts w:ascii="Times New Roman" w:hAnsi="Times New Roman" w:cs="Times New Roman"/>
                <w:color w:val="000000"/>
                <w:sz w:val="20"/>
                <w:szCs w:val="20"/>
              </w:rPr>
              <w:t>12.4</w:t>
            </w:r>
          </w:p>
        </w:tc>
      </w:tr>
      <w:tr w:rsidR="00A84BC4" w:rsidRPr="00F81469" w14:paraId="3C570E4F" w14:textId="77777777" w:rsidTr="00B341EB">
        <w:trPr>
          <w:trHeight w:val="238"/>
          <w:jc w:val="center"/>
        </w:trPr>
        <w:tc>
          <w:tcPr>
            <w:tcW w:w="3905" w:type="dxa"/>
            <w:tcBorders>
              <w:top w:val="nil"/>
              <w:left w:val="nil"/>
              <w:bottom w:val="nil"/>
              <w:right w:val="nil"/>
            </w:tcBorders>
            <w:shd w:val="clear" w:color="auto" w:fill="auto"/>
            <w:noWrap/>
            <w:vAlign w:val="center"/>
            <w:hideMark/>
          </w:tcPr>
          <w:p w14:paraId="6DE54333" w14:textId="77777777" w:rsidR="00A84BC4" w:rsidRPr="00F81469" w:rsidRDefault="00A84BC4" w:rsidP="00A84BC4">
            <w:pPr>
              <w:ind w:firstLineChars="100" w:firstLine="200"/>
              <w:rPr>
                <w:rFonts w:ascii="Times New Roman" w:eastAsia="Times New Roman" w:hAnsi="Times New Roman" w:cs="Times New Roman"/>
                <w:color w:val="000000"/>
                <w:sz w:val="20"/>
                <w:szCs w:val="20"/>
                <w:lang w:eastAsia="es-GT"/>
              </w:rPr>
            </w:pPr>
            <w:r w:rsidRPr="00F81469">
              <w:rPr>
                <w:rFonts w:ascii="Times New Roman" w:eastAsia="Times New Roman" w:hAnsi="Times New Roman" w:cs="Times New Roman"/>
                <w:color w:val="000000"/>
                <w:sz w:val="20"/>
                <w:szCs w:val="20"/>
                <w:lang w:eastAsia="es-GT"/>
              </w:rPr>
              <w:t xml:space="preserve">Contribuciones sociales </w:t>
            </w:r>
          </w:p>
        </w:tc>
        <w:tc>
          <w:tcPr>
            <w:tcW w:w="1213" w:type="dxa"/>
            <w:tcBorders>
              <w:top w:val="nil"/>
              <w:left w:val="nil"/>
              <w:bottom w:val="nil"/>
              <w:right w:val="nil"/>
            </w:tcBorders>
            <w:shd w:val="clear" w:color="auto" w:fill="auto"/>
            <w:noWrap/>
            <w:vAlign w:val="center"/>
            <w:hideMark/>
          </w:tcPr>
          <w:p w14:paraId="0F4FFBE2" w14:textId="54D9D238" w:rsidR="00A84BC4" w:rsidRPr="00A84BC4" w:rsidRDefault="00A84BC4" w:rsidP="00A84BC4">
            <w:pPr>
              <w:jc w:val="center"/>
              <w:rPr>
                <w:rFonts w:ascii="Times New Roman" w:eastAsia="Times New Roman" w:hAnsi="Times New Roman" w:cs="Times New Roman"/>
                <w:color w:val="000000"/>
                <w:sz w:val="20"/>
                <w:szCs w:val="20"/>
                <w:lang w:eastAsia="es-GT"/>
              </w:rPr>
            </w:pPr>
            <w:r w:rsidRPr="00A84BC4">
              <w:rPr>
                <w:rFonts w:ascii="Times New Roman" w:hAnsi="Times New Roman" w:cs="Times New Roman"/>
                <w:color w:val="000000"/>
                <w:sz w:val="20"/>
                <w:szCs w:val="20"/>
              </w:rPr>
              <w:t>19,760.7</w:t>
            </w:r>
          </w:p>
        </w:tc>
        <w:tc>
          <w:tcPr>
            <w:tcW w:w="1214" w:type="dxa"/>
            <w:tcBorders>
              <w:top w:val="nil"/>
              <w:left w:val="nil"/>
              <w:bottom w:val="nil"/>
              <w:right w:val="nil"/>
            </w:tcBorders>
            <w:shd w:val="clear" w:color="auto" w:fill="auto"/>
            <w:noWrap/>
            <w:vAlign w:val="center"/>
            <w:hideMark/>
          </w:tcPr>
          <w:p w14:paraId="0A7EC66D" w14:textId="3A3C94A3" w:rsidR="00A84BC4" w:rsidRPr="00A84BC4" w:rsidRDefault="00A84BC4" w:rsidP="00A84BC4">
            <w:pPr>
              <w:jc w:val="center"/>
              <w:rPr>
                <w:rFonts w:ascii="Times New Roman" w:eastAsia="Times New Roman" w:hAnsi="Times New Roman" w:cs="Times New Roman"/>
                <w:color w:val="000000"/>
                <w:sz w:val="20"/>
                <w:szCs w:val="20"/>
                <w:lang w:eastAsia="es-GT"/>
              </w:rPr>
            </w:pPr>
            <w:r w:rsidRPr="00A84BC4">
              <w:rPr>
                <w:rFonts w:ascii="Times New Roman" w:hAnsi="Times New Roman" w:cs="Times New Roman"/>
                <w:color w:val="000000"/>
                <w:sz w:val="20"/>
                <w:szCs w:val="20"/>
              </w:rPr>
              <w:t>22,971.9</w:t>
            </w:r>
          </w:p>
        </w:tc>
        <w:tc>
          <w:tcPr>
            <w:tcW w:w="1095" w:type="dxa"/>
            <w:tcBorders>
              <w:top w:val="nil"/>
              <w:left w:val="dotDash" w:sz="4" w:space="0" w:color="auto"/>
              <w:bottom w:val="nil"/>
              <w:right w:val="nil"/>
            </w:tcBorders>
            <w:shd w:val="clear" w:color="auto" w:fill="auto"/>
            <w:noWrap/>
            <w:vAlign w:val="center"/>
            <w:hideMark/>
          </w:tcPr>
          <w:p w14:paraId="3C8EF55A" w14:textId="5F2027F2" w:rsidR="00A84BC4" w:rsidRPr="00A84BC4" w:rsidRDefault="00A84BC4" w:rsidP="00A84BC4">
            <w:pPr>
              <w:jc w:val="center"/>
              <w:rPr>
                <w:rFonts w:ascii="Times New Roman" w:eastAsia="Times New Roman" w:hAnsi="Times New Roman" w:cs="Times New Roman"/>
                <w:color w:val="000000"/>
                <w:sz w:val="20"/>
                <w:szCs w:val="20"/>
                <w:lang w:eastAsia="es-GT"/>
              </w:rPr>
            </w:pPr>
            <w:r w:rsidRPr="00A84BC4">
              <w:rPr>
                <w:rFonts w:ascii="Times New Roman" w:hAnsi="Times New Roman" w:cs="Times New Roman"/>
                <w:color w:val="000000"/>
                <w:sz w:val="20"/>
                <w:szCs w:val="20"/>
              </w:rPr>
              <w:t>2.7</w:t>
            </w:r>
          </w:p>
        </w:tc>
        <w:tc>
          <w:tcPr>
            <w:tcW w:w="1098" w:type="dxa"/>
            <w:tcBorders>
              <w:top w:val="nil"/>
              <w:left w:val="nil"/>
              <w:bottom w:val="nil"/>
              <w:right w:val="nil"/>
            </w:tcBorders>
            <w:shd w:val="clear" w:color="auto" w:fill="auto"/>
            <w:noWrap/>
            <w:vAlign w:val="center"/>
            <w:hideMark/>
          </w:tcPr>
          <w:p w14:paraId="5367488C" w14:textId="4F21C5B6" w:rsidR="00A84BC4" w:rsidRPr="00A84BC4" w:rsidRDefault="00A84BC4" w:rsidP="00A84BC4">
            <w:pPr>
              <w:jc w:val="center"/>
              <w:rPr>
                <w:rFonts w:ascii="Times New Roman" w:eastAsia="Times New Roman" w:hAnsi="Times New Roman" w:cs="Times New Roman"/>
                <w:color w:val="000000"/>
                <w:sz w:val="20"/>
                <w:szCs w:val="20"/>
                <w:lang w:eastAsia="es-GT"/>
              </w:rPr>
            </w:pPr>
            <w:r w:rsidRPr="00A84BC4">
              <w:rPr>
                <w:rFonts w:ascii="Times New Roman" w:hAnsi="Times New Roman" w:cs="Times New Roman"/>
                <w:color w:val="000000"/>
                <w:sz w:val="20"/>
                <w:szCs w:val="20"/>
              </w:rPr>
              <w:t>2.9</w:t>
            </w:r>
          </w:p>
        </w:tc>
      </w:tr>
      <w:tr w:rsidR="00A84BC4" w:rsidRPr="00F81469" w14:paraId="26AE8A06" w14:textId="77777777" w:rsidTr="00B341EB">
        <w:trPr>
          <w:trHeight w:val="238"/>
          <w:jc w:val="center"/>
        </w:trPr>
        <w:tc>
          <w:tcPr>
            <w:tcW w:w="3905" w:type="dxa"/>
            <w:tcBorders>
              <w:top w:val="nil"/>
              <w:left w:val="nil"/>
              <w:bottom w:val="nil"/>
              <w:right w:val="nil"/>
            </w:tcBorders>
            <w:shd w:val="clear" w:color="auto" w:fill="auto"/>
            <w:noWrap/>
            <w:vAlign w:val="center"/>
            <w:hideMark/>
          </w:tcPr>
          <w:p w14:paraId="72CCB24E" w14:textId="77777777" w:rsidR="00A84BC4" w:rsidRPr="00F81469" w:rsidRDefault="00A84BC4" w:rsidP="00A84BC4">
            <w:pPr>
              <w:ind w:firstLineChars="100" w:firstLine="200"/>
              <w:rPr>
                <w:rFonts w:ascii="Times New Roman" w:eastAsia="Times New Roman" w:hAnsi="Times New Roman" w:cs="Times New Roman"/>
                <w:color w:val="000000"/>
                <w:sz w:val="20"/>
                <w:szCs w:val="20"/>
                <w:lang w:eastAsia="es-GT"/>
              </w:rPr>
            </w:pPr>
            <w:r w:rsidRPr="00F81469">
              <w:rPr>
                <w:rFonts w:ascii="Times New Roman" w:eastAsia="Times New Roman" w:hAnsi="Times New Roman" w:cs="Times New Roman"/>
                <w:color w:val="000000"/>
                <w:sz w:val="20"/>
                <w:szCs w:val="20"/>
                <w:lang w:eastAsia="es-GT"/>
              </w:rPr>
              <w:t>Donaciones</w:t>
            </w:r>
          </w:p>
        </w:tc>
        <w:tc>
          <w:tcPr>
            <w:tcW w:w="1213" w:type="dxa"/>
            <w:tcBorders>
              <w:top w:val="nil"/>
              <w:left w:val="nil"/>
              <w:bottom w:val="nil"/>
              <w:right w:val="nil"/>
            </w:tcBorders>
            <w:shd w:val="clear" w:color="auto" w:fill="auto"/>
            <w:noWrap/>
            <w:vAlign w:val="center"/>
            <w:hideMark/>
          </w:tcPr>
          <w:p w14:paraId="31E150B9" w14:textId="7A58E165" w:rsidR="00A84BC4" w:rsidRPr="00A84BC4" w:rsidRDefault="00A84BC4" w:rsidP="00A84BC4">
            <w:pPr>
              <w:jc w:val="center"/>
              <w:rPr>
                <w:rFonts w:ascii="Times New Roman" w:eastAsia="Times New Roman" w:hAnsi="Times New Roman" w:cs="Times New Roman"/>
                <w:color w:val="000000"/>
                <w:sz w:val="20"/>
                <w:szCs w:val="20"/>
                <w:lang w:eastAsia="es-GT"/>
              </w:rPr>
            </w:pPr>
            <w:r w:rsidRPr="00A84BC4">
              <w:rPr>
                <w:rFonts w:ascii="Times New Roman" w:hAnsi="Times New Roman" w:cs="Times New Roman"/>
                <w:color w:val="000000"/>
                <w:sz w:val="20"/>
                <w:szCs w:val="20"/>
              </w:rPr>
              <w:t>159.2</w:t>
            </w:r>
          </w:p>
        </w:tc>
        <w:tc>
          <w:tcPr>
            <w:tcW w:w="1214" w:type="dxa"/>
            <w:tcBorders>
              <w:top w:val="nil"/>
              <w:left w:val="nil"/>
              <w:bottom w:val="nil"/>
              <w:right w:val="nil"/>
            </w:tcBorders>
            <w:shd w:val="clear" w:color="auto" w:fill="auto"/>
            <w:noWrap/>
            <w:vAlign w:val="center"/>
            <w:hideMark/>
          </w:tcPr>
          <w:p w14:paraId="2BE2A2BF" w14:textId="2C597CF6" w:rsidR="00A84BC4" w:rsidRPr="00A84BC4" w:rsidRDefault="00A84BC4" w:rsidP="00A84BC4">
            <w:pPr>
              <w:jc w:val="center"/>
              <w:rPr>
                <w:rFonts w:ascii="Times New Roman" w:eastAsia="Times New Roman" w:hAnsi="Times New Roman" w:cs="Times New Roman"/>
                <w:color w:val="000000"/>
                <w:sz w:val="20"/>
                <w:szCs w:val="20"/>
                <w:lang w:eastAsia="es-GT"/>
              </w:rPr>
            </w:pPr>
            <w:r w:rsidRPr="00A84BC4">
              <w:rPr>
                <w:rFonts w:ascii="Times New Roman" w:hAnsi="Times New Roman" w:cs="Times New Roman"/>
                <w:color w:val="000000"/>
                <w:sz w:val="20"/>
                <w:szCs w:val="20"/>
              </w:rPr>
              <w:t>105.3</w:t>
            </w:r>
          </w:p>
        </w:tc>
        <w:tc>
          <w:tcPr>
            <w:tcW w:w="1095" w:type="dxa"/>
            <w:tcBorders>
              <w:top w:val="nil"/>
              <w:left w:val="dotDash" w:sz="4" w:space="0" w:color="auto"/>
              <w:bottom w:val="nil"/>
              <w:right w:val="nil"/>
            </w:tcBorders>
            <w:shd w:val="clear" w:color="auto" w:fill="auto"/>
            <w:noWrap/>
            <w:vAlign w:val="center"/>
            <w:hideMark/>
          </w:tcPr>
          <w:p w14:paraId="308A558D" w14:textId="400928DF" w:rsidR="00A84BC4" w:rsidRPr="00A84BC4" w:rsidRDefault="00A84BC4" w:rsidP="00A84BC4">
            <w:pPr>
              <w:jc w:val="center"/>
              <w:rPr>
                <w:rFonts w:ascii="Times New Roman" w:eastAsia="Times New Roman" w:hAnsi="Times New Roman" w:cs="Times New Roman"/>
                <w:color w:val="000000"/>
                <w:sz w:val="20"/>
                <w:szCs w:val="20"/>
                <w:lang w:eastAsia="es-GT"/>
              </w:rPr>
            </w:pPr>
            <w:r w:rsidRPr="00A84BC4">
              <w:rPr>
                <w:rFonts w:ascii="Times New Roman" w:hAnsi="Times New Roman" w:cs="Times New Roman"/>
                <w:color w:val="000000"/>
                <w:sz w:val="20"/>
                <w:szCs w:val="20"/>
              </w:rPr>
              <w:t>0.0</w:t>
            </w:r>
          </w:p>
        </w:tc>
        <w:tc>
          <w:tcPr>
            <w:tcW w:w="1098" w:type="dxa"/>
            <w:tcBorders>
              <w:top w:val="nil"/>
              <w:left w:val="nil"/>
              <w:bottom w:val="nil"/>
              <w:right w:val="nil"/>
            </w:tcBorders>
            <w:shd w:val="clear" w:color="auto" w:fill="auto"/>
            <w:noWrap/>
            <w:vAlign w:val="center"/>
            <w:hideMark/>
          </w:tcPr>
          <w:p w14:paraId="4600C5BC" w14:textId="3AB2C86B" w:rsidR="00A84BC4" w:rsidRPr="00A84BC4" w:rsidRDefault="00A84BC4" w:rsidP="00A84BC4">
            <w:pPr>
              <w:jc w:val="center"/>
              <w:rPr>
                <w:rFonts w:ascii="Times New Roman" w:eastAsia="Times New Roman" w:hAnsi="Times New Roman" w:cs="Times New Roman"/>
                <w:color w:val="000000"/>
                <w:sz w:val="20"/>
                <w:szCs w:val="20"/>
                <w:lang w:eastAsia="es-GT"/>
              </w:rPr>
            </w:pPr>
            <w:r w:rsidRPr="00A84BC4">
              <w:rPr>
                <w:rFonts w:ascii="Times New Roman" w:hAnsi="Times New Roman" w:cs="Times New Roman"/>
                <w:color w:val="000000"/>
                <w:sz w:val="20"/>
                <w:szCs w:val="20"/>
              </w:rPr>
              <w:t>0.0</w:t>
            </w:r>
          </w:p>
        </w:tc>
      </w:tr>
      <w:tr w:rsidR="00A84BC4" w:rsidRPr="00F81469" w14:paraId="13ABDFA3" w14:textId="77777777" w:rsidTr="00B341EB">
        <w:trPr>
          <w:trHeight w:val="238"/>
          <w:jc w:val="center"/>
        </w:trPr>
        <w:tc>
          <w:tcPr>
            <w:tcW w:w="3905" w:type="dxa"/>
            <w:tcBorders>
              <w:top w:val="nil"/>
              <w:left w:val="nil"/>
              <w:bottom w:val="nil"/>
              <w:right w:val="nil"/>
            </w:tcBorders>
            <w:shd w:val="clear" w:color="auto" w:fill="auto"/>
            <w:noWrap/>
            <w:vAlign w:val="center"/>
            <w:hideMark/>
          </w:tcPr>
          <w:p w14:paraId="10F1E206" w14:textId="77777777" w:rsidR="00A84BC4" w:rsidRPr="00F81469" w:rsidRDefault="00A84BC4" w:rsidP="00A84BC4">
            <w:pPr>
              <w:ind w:firstLineChars="100" w:firstLine="200"/>
              <w:rPr>
                <w:rFonts w:ascii="Times New Roman" w:eastAsia="Times New Roman" w:hAnsi="Times New Roman" w:cs="Times New Roman"/>
                <w:color w:val="000000"/>
                <w:sz w:val="20"/>
                <w:szCs w:val="20"/>
                <w:lang w:eastAsia="es-GT"/>
              </w:rPr>
            </w:pPr>
            <w:r w:rsidRPr="00F81469">
              <w:rPr>
                <w:rFonts w:ascii="Times New Roman" w:eastAsia="Times New Roman" w:hAnsi="Times New Roman" w:cs="Times New Roman"/>
                <w:color w:val="000000"/>
                <w:sz w:val="20"/>
                <w:szCs w:val="20"/>
                <w:lang w:eastAsia="es-GT"/>
              </w:rPr>
              <w:t xml:space="preserve">Otros ingresos </w:t>
            </w:r>
          </w:p>
        </w:tc>
        <w:tc>
          <w:tcPr>
            <w:tcW w:w="1213" w:type="dxa"/>
            <w:tcBorders>
              <w:top w:val="nil"/>
              <w:left w:val="nil"/>
              <w:bottom w:val="nil"/>
              <w:right w:val="nil"/>
            </w:tcBorders>
            <w:shd w:val="clear" w:color="auto" w:fill="auto"/>
            <w:noWrap/>
            <w:vAlign w:val="center"/>
            <w:hideMark/>
          </w:tcPr>
          <w:p w14:paraId="2A78AB7D" w14:textId="093F250B" w:rsidR="00A84BC4" w:rsidRPr="00A84BC4" w:rsidRDefault="00A84BC4" w:rsidP="00A84BC4">
            <w:pPr>
              <w:jc w:val="center"/>
              <w:rPr>
                <w:rFonts w:ascii="Times New Roman" w:eastAsia="Times New Roman" w:hAnsi="Times New Roman" w:cs="Times New Roman"/>
                <w:color w:val="000000"/>
                <w:sz w:val="20"/>
                <w:szCs w:val="20"/>
                <w:lang w:eastAsia="es-GT"/>
              </w:rPr>
            </w:pPr>
            <w:r w:rsidRPr="00A84BC4">
              <w:rPr>
                <w:rFonts w:ascii="Times New Roman" w:hAnsi="Times New Roman" w:cs="Times New Roman"/>
                <w:color w:val="000000"/>
                <w:sz w:val="20"/>
                <w:szCs w:val="20"/>
              </w:rPr>
              <w:t>9,219.8</w:t>
            </w:r>
          </w:p>
        </w:tc>
        <w:tc>
          <w:tcPr>
            <w:tcW w:w="1214" w:type="dxa"/>
            <w:tcBorders>
              <w:top w:val="nil"/>
              <w:left w:val="nil"/>
              <w:bottom w:val="nil"/>
              <w:right w:val="nil"/>
            </w:tcBorders>
            <w:shd w:val="clear" w:color="auto" w:fill="auto"/>
            <w:noWrap/>
            <w:vAlign w:val="center"/>
            <w:hideMark/>
          </w:tcPr>
          <w:p w14:paraId="7257B3CC" w14:textId="0E5EBF63" w:rsidR="00A84BC4" w:rsidRPr="00A84BC4" w:rsidRDefault="00A84BC4" w:rsidP="00A84BC4">
            <w:pPr>
              <w:jc w:val="center"/>
              <w:rPr>
                <w:rFonts w:ascii="Times New Roman" w:eastAsia="Times New Roman" w:hAnsi="Times New Roman" w:cs="Times New Roman"/>
                <w:color w:val="000000"/>
                <w:sz w:val="20"/>
                <w:szCs w:val="20"/>
                <w:lang w:eastAsia="es-GT"/>
              </w:rPr>
            </w:pPr>
            <w:r w:rsidRPr="00A84BC4">
              <w:rPr>
                <w:rFonts w:ascii="Times New Roman" w:hAnsi="Times New Roman" w:cs="Times New Roman"/>
                <w:color w:val="000000"/>
                <w:sz w:val="20"/>
                <w:szCs w:val="20"/>
              </w:rPr>
              <w:t>11,776.8</w:t>
            </w:r>
          </w:p>
        </w:tc>
        <w:tc>
          <w:tcPr>
            <w:tcW w:w="1095" w:type="dxa"/>
            <w:tcBorders>
              <w:top w:val="nil"/>
              <w:left w:val="dotDash" w:sz="4" w:space="0" w:color="auto"/>
              <w:bottom w:val="nil"/>
              <w:right w:val="nil"/>
            </w:tcBorders>
            <w:shd w:val="clear" w:color="auto" w:fill="auto"/>
            <w:noWrap/>
            <w:vAlign w:val="center"/>
            <w:hideMark/>
          </w:tcPr>
          <w:p w14:paraId="29998DB3" w14:textId="49CC9AD7" w:rsidR="00A84BC4" w:rsidRPr="00A84BC4" w:rsidRDefault="00A84BC4" w:rsidP="00A84BC4">
            <w:pPr>
              <w:jc w:val="center"/>
              <w:rPr>
                <w:rFonts w:ascii="Times New Roman" w:eastAsia="Times New Roman" w:hAnsi="Times New Roman" w:cs="Times New Roman"/>
                <w:color w:val="000000"/>
                <w:sz w:val="20"/>
                <w:szCs w:val="20"/>
                <w:lang w:eastAsia="es-GT"/>
              </w:rPr>
            </w:pPr>
            <w:r w:rsidRPr="00A84BC4">
              <w:rPr>
                <w:rFonts w:ascii="Times New Roman" w:hAnsi="Times New Roman" w:cs="Times New Roman"/>
                <w:color w:val="000000"/>
                <w:sz w:val="20"/>
                <w:szCs w:val="20"/>
              </w:rPr>
              <w:t>1.3</w:t>
            </w:r>
          </w:p>
        </w:tc>
        <w:tc>
          <w:tcPr>
            <w:tcW w:w="1098" w:type="dxa"/>
            <w:tcBorders>
              <w:top w:val="nil"/>
              <w:left w:val="nil"/>
              <w:bottom w:val="nil"/>
              <w:right w:val="nil"/>
            </w:tcBorders>
            <w:shd w:val="clear" w:color="auto" w:fill="auto"/>
            <w:noWrap/>
            <w:vAlign w:val="center"/>
            <w:hideMark/>
          </w:tcPr>
          <w:p w14:paraId="02DDD7C9" w14:textId="0F8736EF" w:rsidR="00A84BC4" w:rsidRPr="00A84BC4" w:rsidRDefault="00A84BC4" w:rsidP="00A84BC4">
            <w:pPr>
              <w:jc w:val="center"/>
              <w:rPr>
                <w:rFonts w:ascii="Times New Roman" w:eastAsia="Times New Roman" w:hAnsi="Times New Roman" w:cs="Times New Roman"/>
                <w:color w:val="000000"/>
                <w:sz w:val="20"/>
                <w:szCs w:val="20"/>
                <w:lang w:eastAsia="es-GT"/>
              </w:rPr>
            </w:pPr>
            <w:r w:rsidRPr="00A84BC4">
              <w:rPr>
                <w:rFonts w:ascii="Times New Roman" w:hAnsi="Times New Roman" w:cs="Times New Roman"/>
                <w:color w:val="000000"/>
                <w:sz w:val="20"/>
                <w:szCs w:val="20"/>
              </w:rPr>
              <w:t>1.5</w:t>
            </w:r>
          </w:p>
        </w:tc>
      </w:tr>
      <w:tr w:rsidR="00A84BC4" w:rsidRPr="00F81469" w14:paraId="6072D35A" w14:textId="77777777" w:rsidTr="00B341EB">
        <w:trPr>
          <w:trHeight w:val="238"/>
          <w:jc w:val="center"/>
        </w:trPr>
        <w:tc>
          <w:tcPr>
            <w:tcW w:w="3905" w:type="dxa"/>
            <w:tcBorders>
              <w:top w:val="nil"/>
              <w:left w:val="nil"/>
              <w:bottom w:val="nil"/>
              <w:right w:val="nil"/>
            </w:tcBorders>
            <w:shd w:val="clear" w:color="auto" w:fill="auto"/>
            <w:noWrap/>
            <w:vAlign w:val="center"/>
            <w:hideMark/>
          </w:tcPr>
          <w:p w14:paraId="43AF2ABC" w14:textId="77777777" w:rsidR="00A84BC4" w:rsidRPr="00F81469" w:rsidRDefault="00A84BC4" w:rsidP="00A84BC4">
            <w:pPr>
              <w:jc w:val="both"/>
              <w:rPr>
                <w:rFonts w:ascii="Times New Roman" w:eastAsia="Times New Roman" w:hAnsi="Times New Roman" w:cs="Times New Roman"/>
                <w:b/>
                <w:bCs/>
                <w:color w:val="000000"/>
                <w:sz w:val="20"/>
                <w:szCs w:val="20"/>
                <w:lang w:eastAsia="es-GT"/>
              </w:rPr>
            </w:pPr>
            <w:r w:rsidRPr="00F81469">
              <w:rPr>
                <w:rFonts w:ascii="Times New Roman" w:eastAsia="Times New Roman" w:hAnsi="Times New Roman" w:cs="Times New Roman"/>
                <w:b/>
                <w:bCs/>
                <w:color w:val="000000"/>
                <w:sz w:val="20"/>
                <w:szCs w:val="20"/>
                <w:lang w:eastAsia="es-GT"/>
              </w:rPr>
              <w:t>GASTO</w:t>
            </w:r>
          </w:p>
        </w:tc>
        <w:tc>
          <w:tcPr>
            <w:tcW w:w="1213" w:type="dxa"/>
            <w:tcBorders>
              <w:top w:val="nil"/>
              <w:left w:val="nil"/>
              <w:bottom w:val="nil"/>
              <w:right w:val="nil"/>
            </w:tcBorders>
            <w:shd w:val="clear" w:color="auto" w:fill="auto"/>
            <w:noWrap/>
            <w:vAlign w:val="center"/>
            <w:hideMark/>
          </w:tcPr>
          <w:p w14:paraId="320759D2" w14:textId="00B04F1C" w:rsidR="00A84BC4" w:rsidRPr="00A84BC4" w:rsidRDefault="00A84BC4" w:rsidP="00A84BC4">
            <w:pPr>
              <w:jc w:val="center"/>
              <w:rPr>
                <w:rFonts w:ascii="Times New Roman" w:eastAsia="Times New Roman" w:hAnsi="Times New Roman" w:cs="Times New Roman"/>
                <w:b/>
                <w:bCs/>
                <w:color w:val="000000"/>
                <w:sz w:val="20"/>
                <w:szCs w:val="20"/>
                <w:lang w:eastAsia="es-GT"/>
              </w:rPr>
            </w:pPr>
            <w:r w:rsidRPr="00A84BC4">
              <w:rPr>
                <w:rFonts w:ascii="Times New Roman" w:hAnsi="Times New Roman" w:cs="Times New Roman"/>
                <w:b/>
                <w:bCs/>
                <w:color w:val="000000"/>
                <w:sz w:val="20"/>
                <w:szCs w:val="20"/>
              </w:rPr>
              <w:t>112,126.7</w:t>
            </w:r>
          </w:p>
        </w:tc>
        <w:tc>
          <w:tcPr>
            <w:tcW w:w="1214" w:type="dxa"/>
            <w:tcBorders>
              <w:top w:val="nil"/>
              <w:left w:val="nil"/>
              <w:bottom w:val="nil"/>
              <w:right w:val="nil"/>
            </w:tcBorders>
            <w:shd w:val="clear" w:color="auto" w:fill="auto"/>
            <w:noWrap/>
            <w:vAlign w:val="center"/>
            <w:hideMark/>
          </w:tcPr>
          <w:p w14:paraId="5F0D99DD" w14:textId="17E56B88" w:rsidR="00A84BC4" w:rsidRPr="00A84BC4" w:rsidRDefault="00A84BC4" w:rsidP="00A84BC4">
            <w:pPr>
              <w:jc w:val="center"/>
              <w:rPr>
                <w:rFonts w:ascii="Times New Roman" w:eastAsia="Times New Roman" w:hAnsi="Times New Roman" w:cs="Times New Roman"/>
                <w:b/>
                <w:bCs/>
                <w:color w:val="000000"/>
                <w:sz w:val="20"/>
                <w:szCs w:val="20"/>
                <w:lang w:eastAsia="es-GT"/>
              </w:rPr>
            </w:pPr>
            <w:r w:rsidRPr="00A84BC4">
              <w:rPr>
                <w:rFonts w:ascii="Times New Roman" w:hAnsi="Times New Roman" w:cs="Times New Roman"/>
                <w:b/>
                <w:bCs/>
                <w:color w:val="000000"/>
                <w:sz w:val="20"/>
                <w:szCs w:val="20"/>
              </w:rPr>
              <w:t>121,382.4</w:t>
            </w:r>
          </w:p>
        </w:tc>
        <w:tc>
          <w:tcPr>
            <w:tcW w:w="1095" w:type="dxa"/>
            <w:tcBorders>
              <w:top w:val="nil"/>
              <w:left w:val="dotDash" w:sz="4" w:space="0" w:color="auto"/>
              <w:bottom w:val="nil"/>
              <w:right w:val="nil"/>
            </w:tcBorders>
            <w:shd w:val="clear" w:color="auto" w:fill="auto"/>
            <w:noWrap/>
            <w:vAlign w:val="center"/>
            <w:hideMark/>
          </w:tcPr>
          <w:p w14:paraId="27D4A58D" w14:textId="5A9C608E" w:rsidR="00A84BC4" w:rsidRPr="00A84BC4" w:rsidRDefault="00A84BC4" w:rsidP="00A84BC4">
            <w:pPr>
              <w:jc w:val="center"/>
              <w:rPr>
                <w:rFonts w:ascii="Times New Roman" w:eastAsia="Times New Roman" w:hAnsi="Times New Roman" w:cs="Times New Roman"/>
                <w:b/>
                <w:bCs/>
                <w:color w:val="000000"/>
                <w:sz w:val="20"/>
                <w:szCs w:val="20"/>
                <w:lang w:eastAsia="es-GT"/>
              </w:rPr>
            </w:pPr>
            <w:r w:rsidRPr="00A84BC4">
              <w:rPr>
                <w:rFonts w:ascii="Times New Roman" w:hAnsi="Times New Roman" w:cs="Times New Roman"/>
                <w:b/>
                <w:bCs/>
                <w:color w:val="000000"/>
                <w:sz w:val="20"/>
                <w:szCs w:val="20"/>
              </w:rPr>
              <w:t>15.2</w:t>
            </w:r>
          </w:p>
        </w:tc>
        <w:tc>
          <w:tcPr>
            <w:tcW w:w="1098" w:type="dxa"/>
            <w:tcBorders>
              <w:top w:val="nil"/>
              <w:left w:val="nil"/>
              <w:bottom w:val="nil"/>
              <w:right w:val="nil"/>
            </w:tcBorders>
            <w:shd w:val="clear" w:color="auto" w:fill="auto"/>
            <w:noWrap/>
            <w:vAlign w:val="center"/>
            <w:hideMark/>
          </w:tcPr>
          <w:p w14:paraId="23DFEC23" w14:textId="4357B2FF" w:rsidR="00A84BC4" w:rsidRPr="00A84BC4" w:rsidRDefault="00A84BC4" w:rsidP="00A84BC4">
            <w:pPr>
              <w:jc w:val="center"/>
              <w:rPr>
                <w:rFonts w:ascii="Times New Roman" w:eastAsia="Times New Roman" w:hAnsi="Times New Roman" w:cs="Times New Roman"/>
                <w:b/>
                <w:bCs/>
                <w:color w:val="000000"/>
                <w:sz w:val="20"/>
                <w:szCs w:val="20"/>
                <w:lang w:eastAsia="es-GT"/>
              </w:rPr>
            </w:pPr>
            <w:r w:rsidRPr="00A84BC4">
              <w:rPr>
                <w:rFonts w:ascii="Times New Roman" w:hAnsi="Times New Roman" w:cs="Times New Roman"/>
                <w:b/>
                <w:bCs/>
                <w:color w:val="000000"/>
                <w:sz w:val="20"/>
                <w:szCs w:val="20"/>
              </w:rPr>
              <w:t>15.2</w:t>
            </w:r>
          </w:p>
        </w:tc>
      </w:tr>
      <w:tr w:rsidR="00A84BC4" w:rsidRPr="00F81469" w14:paraId="483727A4" w14:textId="77777777" w:rsidTr="00B341EB">
        <w:trPr>
          <w:trHeight w:val="238"/>
          <w:jc w:val="center"/>
        </w:trPr>
        <w:tc>
          <w:tcPr>
            <w:tcW w:w="3905" w:type="dxa"/>
            <w:tcBorders>
              <w:top w:val="nil"/>
              <w:left w:val="nil"/>
              <w:bottom w:val="nil"/>
              <w:right w:val="nil"/>
            </w:tcBorders>
            <w:shd w:val="clear" w:color="auto" w:fill="auto"/>
            <w:noWrap/>
            <w:vAlign w:val="center"/>
            <w:hideMark/>
          </w:tcPr>
          <w:p w14:paraId="30231F54" w14:textId="77777777" w:rsidR="00A84BC4" w:rsidRPr="00F81469" w:rsidRDefault="00A84BC4" w:rsidP="00A84BC4">
            <w:pPr>
              <w:ind w:firstLineChars="100" w:firstLine="200"/>
              <w:rPr>
                <w:rFonts w:ascii="Times New Roman" w:eastAsia="Times New Roman" w:hAnsi="Times New Roman" w:cs="Times New Roman"/>
                <w:color w:val="000000"/>
                <w:sz w:val="20"/>
                <w:szCs w:val="20"/>
                <w:lang w:eastAsia="es-GT"/>
              </w:rPr>
            </w:pPr>
            <w:r w:rsidRPr="00F81469">
              <w:rPr>
                <w:rFonts w:ascii="Times New Roman" w:eastAsia="Times New Roman" w:hAnsi="Times New Roman" w:cs="Times New Roman"/>
                <w:color w:val="000000"/>
                <w:sz w:val="20"/>
                <w:szCs w:val="20"/>
                <w:lang w:eastAsia="es-GT"/>
              </w:rPr>
              <w:t xml:space="preserve">Remuneración a los empleados </w:t>
            </w:r>
          </w:p>
        </w:tc>
        <w:tc>
          <w:tcPr>
            <w:tcW w:w="1213" w:type="dxa"/>
            <w:tcBorders>
              <w:top w:val="nil"/>
              <w:left w:val="nil"/>
              <w:bottom w:val="nil"/>
              <w:right w:val="nil"/>
            </w:tcBorders>
            <w:shd w:val="clear" w:color="auto" w:fill="auto"/>
            <w:noWrap/>
            <w:vAlign w:val="center"/>
            <w:hideMark/>
          </w:tcPr>
          <w:p w14:paraId="4E75A81D" w14:textId="7DA9C7FB" w:rsidR="00A84BC4" w:rsidRPr="00A84BC4" w:rsidRDefault="00A84BC4" w:rsidP="00A84BC4">
            <w:pPr>
              <w:jc w:val="center"/>
              <w:rPr>
                <w:rFonts w:ascii="Times New Roman" w:eastAsia="Times New Roman" w:hAnsi="Times New Roman" w:cs="Times New Roman"/>
                <w:color w:val="000000"/>
                <w:sz w:val="20"/>
                <w:szCs w:val="20"/>
                <w:lang w:eastAsia="es-GT"/>
              </w:rPr>
            </w:pPr>
            <w:r w:rsidRPr="00A84BC4">
              <w:rPr>
                <w:rFonts w:ascii="Times New Roman" w:hAnsi="Times New Roman" w:cs="Times New Roman"/>
                <w:color w:val="000000"/>
                <w:sz w:val="20"/>
                <w:szCs w:val="20"/>
              </w:rPr>
              <w:t>50,766.3</w:t>
            </w:r>
          </w:p>
        </w:tc>
        <w:tc>
          <w:tcPr>
            <w:tcW w:w="1214" w:type="dxa"/>
            <w:tcBorders>
              <w:top w:val="nil"/>
              <w:left w:val="nil"/>
              <w:bottom w:val="nil"/>
              <w:right w:val="nil"/>
            </w:tcBorders>
            <w:shd w:val="clear" w:color="auto" w:fill="auto"/>
            <w:noWrap/>
            <w:vAlign w:val="center"/>
            <w:hideMark/>
          </w:tcPr>
          <w:p w14:paraId="12BF4F22" w14:textId="790DE644" w:rsidR="00A84BC4" w:rsidRPr="00A84BC4" w:rsidRDefault="00A84BC4" w:rsidP="00A84BC4">
            <w:pPr>
              <w:jc w:val="center"/>
              <w:rPr>
                <w:rFonts w:ascii="Times New Roman" w:eastAsia="Times New Roman" w:hAnsi="Times New Roman" w:cs="Times New Roman"/>
                <w:color w:val="000000"/>
                <w:sz w:val="20"/>
                <w:szCs w:val="20"/>
                <w:lang w:eastAsia="es-GT"/>
              </w:rPr>
            </w:pPr>
            <w:r w:rsidRPr="00A84BC4">
              <w:rPr>
                <w:rFonts w:ascii="Times New Roman" w:hAnsi="Times New Roman" w:cs="Times New Roman"/>
                <w:color w:val="000000"/>
                <w:sz w:val="20"/>
                <w:szCs w:val="20"/>
              </w:rPr>
              <w:t>56,754.1</w:t>
            </w:r>
          </w:p>
        </w:tc>
        <w:tc>
          <w:tcPr>
            <w:tcW w:w="1095" w:type="dxa"/>
            <w:tcBorders>
              <w:top w:val="nil"/>
              <w:left w:val="dotDash" w:sz="4" w:space="0" w:color="auto"/>
              <w:bottom w:val="nil"/>
              <w:right w:val="nil"/>
            </w:tcBorders>
            <w:shd w:val="clear" w:color="auto" w:fill="auto"/>
            <w:noWrap/>
            <w:vAlign w:val="center"/>
            <w:hideMark/>
          </w:tcPr>
          <w:p w14:paraId="504B82B9" w14:textId="4B3D29FF" w:rsidR="00A84BC4" w:rsidRPr="00A84BC4" w:rsidRDefault="00A84BC4" w:rsidP="00A84BC4">
            <w:pPr>
              <w:jc w:val="center"/>
              <w:rPr>
                <w:rFonts w:ascii="Times New Roman" w:eastAsia="Times New Roman" w:hAnsi="Times New Roman" w:cs="Times New Roman"/>
                <w:color w:val="000000"/>
                <w:sz w:val="20"/>
                <w:szCs w:val="20"/>
                <w:lang w:eastAsia="es-GT"/>
              </w:rPr>
            </w:pPr>
            <w:r w:rsidRPr="00A84BC4">
              <w:rPr>
                <w:rFonts w:ascii="Times New Roman" w:hAnsi="Times New Roman" w:cs="Times New Roman"/>
                <w:color w:val="000000"/>
                <w:sz w:val="20"/>
                <w:szCs w:val="20"/>
              </w:rPr>
              <w:t>6.9</w:t>
            </w:r>
          </w:p>
        </w:tc>
        <w:tc>
          <w:tcPr>
            <w:tcW w:w="1098" w:type="dxa"/>
            <w:tcBorders>
              <w:top w:val="nil"/>
              <w:left w:val="nil"/>
              <w:bottom w:val="nil"/>
              <w:right w:val="nil"/>
            </w:tcBorders>
            <w:shd w:val="clear" w:color="auto" w:fill="auto"/>
            <w:noWrap/>
            <w:vAlign w:val="center"/>
            <w:hideMark/>
          </w:tcPr>
          <w:p w14:paraId="7BE2D5F6" w14:textId="6105CA1F" w:rsidR="00A84BC4" w:rsidRPr="00A84BC4" w:rsidRDefault="00A84BC4" w:rsidP="00A84BC4">
            <w:pPr>
              <w:jc w:val="center"/>
              <w:rPr>
                <w:rFonts w:ascii="Times New Roman" w:eastAsia="Times New Roman" w:hAnsi="Times New Roman" w:cs="Times New Roman"/>
                <w:color w:val="000000"/>
                <w:sz w:val="20"/>
                <w:szCs w:val="20"/>
                <w:lang w:eastAsia="es-GT"/>
              </w:rPr>
            </w:pPr>
            <w:r w:rsidRPr="00A84BC4">
              <w:rPr>
                <w:rFonts w:ascii="Times New Roman" w:hAnsi="Times New Roman" w:cs="Times New Roman"/>
                <w:color w:val="000000"/>
                <w:sz w:val="20"/>
                <w:szCs w:val="20"/>
              </w:rPr>
              <w:t>7.1</w:t>
            </w:r>
          </w:p>
        </w:tc>
      </w:tr>
      <w:tr w:rsidR="00A84BC4" w:rsidRPr="00F81469" w14:paraId="1F815826" w14:textId="77777777" w:rsidTr="00B341EB">
        <w:trPr>
          <w:trHeight w:val="238"/>
          <w:jc w:val="center"/>
        </w:trPr>
        <w:tc>
          <w:tcPr>
            <w:tcW w:w="3905" w:type="dxa"/>
            <w:tcBorders>
              <w:top w:val="nil"/>
              <w:left w:val="nil"/>
              <w:bottom w:val="nil"/>
              <w:right w:val="nil"/>
            </w:tcBorders>
            <w:shd w:val="clear" w:color="auto" w:fill="auto"/>
            <w:noWrap/>
            <w:vAlign w:val="center"/>
            <w:hideMark/>
          </w:tcPr>
          <w:p w14:paraId="06F8A05D" w14:textId="77777777" w:rsidR="00A84BC4" w:rsidRPr="00F81469" w:rsidRDefault="00A84BC4" w:rsidP="00A84BC4">
            <w:pPr>
              <w:ind w:firstLineChars="100" w:firstLine="200"/>
              <w:rPr>
                <w:rFonts w:ascii="Times New Roman" w:eastAsia="Times New Roman" w:hAnsi="Times New Roman" w:cs="Times New Roman"/>
                <w:color w:val="000000"/>
                <w:sz w:val="20"/>
                <w:szCs w:val="20"/>
                <w:lang w:eastAsia="es-GT"/>
              </w:rPr>
            </w:pPr>
            <w:r w:rsidRPr="00F81469">
              <w:rPr>
                <w:rFonts w:ascii="Times New Roman" w:eastAsia="Times New Roman" w:hAnsi="Times New Roman" w:cs="Times New Roman"/>
                <w:color w:val="000000"/>
                <w:sz w:val="20"/>
                <w:szCs w:val="20"/>
                <w:lang w:eastAsia="es-GT"/>
              </w:rPr>
              <w:t xml:space="preserve">Uso de bienes y servicios  </w:t>
            </w:r>
          </w:p>
        </w:tc>
        <w:tc>
          <w:tcPr>
            <w:tcW w:w="1213" w:type="dxa"/>
            <w:tcBorders>
              <w:top w:val="nil"/>
              <w:left w:val="nil"/>
              <w:bottom w:val="nil"/>
              <w:right w:val="nil"/>
            </w:tcBorders>
            <w:shd w:val="clear" w:color="auto" w:fill="auto"/>
            <w:noWrap/>
            <w:vAlign w:val="center"/>
            <w:hideMark/>
          </w:tcPr>
          <w:p w14:paraId="0B2CC4D7" w14:textId="3626AF43" w:rsidR="00A84BC4" w:rsidRPr="00A84BC4" w:rsidRDefault="00A84BC4" w:rsidP="00A84BC4">
            <w:pPr>
              <w:jc w:val="center"/>
              <w:rPr>
                <w:rFonts w:ascii="Times New Roman" w:eastAsia="Times New Roman" w:hAnsi="Times New Roman" w:cs="Times New Roman"/>
                <w:color w:val="000000"/>
                <w:sz w:val="20"/>
                <w:szCs w:val="20"/>
                <w:lang w:eastAsia="es-GT"/>
              </w:rPr>
            </w:pPr>
            <w:r w:rsidRPr="00A84BC4">
              <w:rPr>
                <w:rFonts w:ascii="Times New Roman" w:hAnsi="Times New Roman" w:cs="Times New Roman"/>
                <w:color w:val="000000"/>
                <w:sz w:val="20"/>
                <w:szCs w:val="20"/>
              </w:rPr>
              <w:t>24,470.4</w:t>
            </w:r>
          </w:p>
        </w:tc>
        <w:tc>
          <w:tcPr>
            <w:tcW w:w="1214" w:type="dxa"/>
            <w:tcBorders>
              <w:top w:val="nil"/>
              <w:left w:val="nil"/>
              <w:bottom w:val="nil"/>
              <w:right w:val="nil"/>
            </w:tcBorders>
            <w:shd w:val="clear" w:color="auto" w:fill="auto"/>
            <w:noWrap/>
            <w:vAlign w:val="center"/>
            <w:hideMark/>
          </w:tcPr>
          <w:p w14:paraId="4F88104C" w14:textId="79343AE5" w:rsidR="00A84BC4" w:rsidRPr="00A84BC4" w:rsidRDefault="00A84BC4" w:rsidP="00A84BC4">
            <w:pPr>
              <w:jc w:val="center"/>
              <w:rPr>
                <w:rFonts w:ascii="Times New Roman" w:eastAsia="Times New Roman" w:hAnsi="Times New Roman" w:cs="Times New Roman"/>
                <w:color w:val="000000"/>
                <w:sz w:val="20"/>
                <w:szCs w:val="20"/>
                <w:lang w:eastAsia="es-GT"/>
              </w:rPr>
            </w:pPr>
            <w:r w:rsidRPr="00A84BC4">
              <w:rPr>
                <w:rFonts w:ascii="Times New Roman" w:hAnsi="Times New Roman" w:cs="Times New Roman"/>
                <w:color w:val="000000"/>
                <w:sz w:val="20"/>
                <w:szCs w:val="20"/>
              </w:rPr>
              <w:t>26,193.8</w:t>
            </w:r>
          </w:p>
        </w:tc>
        <w:tc>
          <w:tcPr>
            <w:tcW w:w="1095" w:type="dxa"/>
            <w:tcBorders>
              <w:top w:val="nil"/>
              <w:left w:val="dotDash" w:sz="4" w:space="0" w:color="auto"/>
              <w:bottom w:val="nil"/>
              <w:right w:val="nil"/>
            </w:tcBorders>
            <w:shd w:val="clear" w:color="auto" w:fill="auto"/>
            <w:noWrap/>
            <w:vAlign w:val="center"/>
            <w:hideMark/>
          </w:tcPr>
          <w:p w14:paraId="31E6032F" w14:textId="7D1AEE68" w:rsidR="00A84BC4" w:rsidRPr="00A84BC4" w:rsidRDefault="00A84BC4" w:rsidP="00A84BC4">
            <w:pPr>
              <w:jc w:val="center"/>
              <w:rPr>
                <w:rFonts w:ascii="Times New Roman" w:eastAsia="Times New Roman" w:hAnsi="Times New Roman" w:cs="Times New Roman"/>
                <w:color w:val="000000"/>
                <w:sz w:val="20"/>
                <w:szCs w:val="20"/>
                <w:lang w:eastAsia="es-GT"/>
              </w:rPr>
            </w:pPr>
            <w:r w:rsidRPr="00A84BC4">
              <w:rPr>
                <w:rFonts w:ascii="Times New Roman" w:hAnsi="Times New Roman" w:cs="Times New Roman"/>
                <w:color w:val="000000"/>
                <w:sz w:val="20"/>
                <w:szCs w:val="20"/>
              </w:rPr>
              <w:t>3.3</w:t>
            </w:r>
          </w:p>
        </w:tc>
        <w:tc>
          <w:tcPr>
            <w:tcW w:w="1098" w:type="dxa"/>
            <w:tcBorders>
              <w:top w:val="nil"/>
              <w:left w:val="nil"/>
              <w:bottom w:val="nil"/>
              <w:right w:val="nil"/>
            </w:tcBorders>
            <w:shd w:val="clear" w:color="auto" w:fill="auto"/>
            <w:noWrap/>
            <w:vAlign w:val="center"/>
            <w:hideMark/>
          </w:tcPr>
          <w:p w14:paraId="6014F82A" w14:textId="61202DC5" w:rsidR="00A84BC4" w:rsidRPr="00A84BC4" w:rsidRDefault="00A84BC4" w:rsidP="00A84BC4">
            <w:pPr>
              <w:jc w:val="center"/>
              <w:rPr>
                <w:rFonts w:ascii="Times New Roman" w:eastAsia="Times New Roman" w:hAnsi="Times New Roman" w:cs="Times New Roman"/>
                <w:color w:val="000000"/>
                <w:sz w:val="20"/>
                <w:szCs w:val="20"/>
                <w:lang w:eastAsia="es-GT"/>
              </w:rPr>
            </w:pPr>
            <w:r w:rsidRPr="00A84BC4">
              <w:rPr>
                <w:rFonts w:ascii="Times New Roman" w:hAnsi="Times New Roman" w:cs="Times New Roman"/>
                <w:color w:val="000000"/>
                <w:sz w:val="20"/>
                <w:szCs w:val="20"/>
              </w:rPr>
              <w:t>3.3</w:t>
            </w:r>
          </w:p>
        </w:tc>
      </w:tr>
      <w:tr w:rsidR="00A84BC4" w:rsidRPr="00F81469" w14:paraId="7B564771" w14:textId="77777777" w:rsidTr="00B341EB">
        <w:trPr>
          <w:trHeight w:val="238"/>
          <w:jc w:val="center"/>
        </w:trPr>
        <w:tc>
          <w:tcPr>
            <w:tcW w:w="3905" w:type="dxa"/>
            <w:tcBorders>
              <w:top w:val="nil"/>
              <w:left w:val="nil"/>
              <w:bottom w:val="nil"/>
              <w:right w:val="nil"/>
            </w:tcBorders>
            <w:shd w:val="clear" w:color="auto" w:fill="auto"/>
            <w:noWrap/>
            <w:vAlign w:val="center"/>
            <w:hideMark/>
          </w:tcPr>
          <w:p w14:paraId="401F6B11" w14:textId="77777777" w:rsidR="00A84BC4" w:rsidRPr="00F81469" w:rsidRDefault="00A84BC4" w:rsidP="00A84BC4">
            <w:pPr>
              <w:ind w:firstLineChars="100" w:firstLine="200"/>
              <w:rPr>
                <w:rFonts w:ascii="Times New Roman" w:eastAsia="Times New Roman" w:hAnsi="Times New Roman" w:cs="Times New Roman"/>
                <w:color w:val="000000"/>
                <w:sz w:val="20"/>
                <w:szCs w:val="20"/>
                <w:lang w:eastAsia="es-GT"/>
              </w:rPr>
            </w:pPr>
            <w:r w:rsidRPr="00F81469">
              <w:rPr>
                <w:rFonts w:ascii="Times New Roman" w:eastAsia="Times New Roman" w:hAnsi="Times New Roman" w:cs="Times New Roman"/>
                <w:color w:val="000000"/>
                <w:sz w:val="20"/>
                <w:szCs w:val="20"/>
                <w:lang w:eastAsia="es-GT"/>
              </w:rPr>
              <w:t xml:space="preserve">Intereses </w:t>
            </w:r>
          </w:p>
        </w:tc>
        <w:tc>
          <w:tcPr>
            <w:tcW w:w="1213" w:type="dxa"/>
            <w:tcBorders>
              <w:top w:val="nil"/>
              <w:left w:val="nil"/>
              <w:bottom w:val="nil"/>
              <w:right w:val="nil"/>
            </w:tcBorders>
            <w:shd w:val="clear" w:color="auto" w:fill="auto"/>
            <w:noWrap/>
            <w:vAlign w:val="center"/>
            <w:hideMark/>
          </w:tcPr>
          <w:p w14:paraId="105B4D09" w14:textId="5F1C25A5" w:rsidR="00A84BC4" w:rsidRPr="00A84BC4" w:rsidRDefault="00A84BC4" w:rsidP="00A84BC4">
            <w:pPr>
              <w:jc w:val="center"/>
              <w:rPr>
                <w:rFonts w:ascii="Times New Roman" w:eastAsia="Times New Roman" w:hAnsi="Times New Roman" w:cs="Times New Roman"/>
                <w:color w:val="000000"/>
                <w:sz w:val="20"/>
                <w:szCs w:val="20"/>
                <w:lang w:eastAsia="es-GT"/>
              </w:rPr>
            </w:pPr>
            <w:r w:rsidRPr="00A84BC4">
              <w:rPr>
                <w:rFonts w:ascii="Times New Roman" w:hAnsi="Times New Roman" w:cs="Times New Roman"/>
                <w:color w:val="000000"/>
                <w:sz w:val="20"/>
                <w:szCs w:val="20"/>
              </w:rPr>
              <w:t>11,006.1</w:t>
            </w:r>
          </w:p>
        </w:tc>
        <w:tc>
          <w:tcPr>
            <w:tcW w:w="1214" w:type="dxa"/>
            <w:tcBorders>
              <w:top w:val="nil"/>
              <w:left w:val="nil"/>
              <w:bottom w:val="nil"/>
              <w:right w:val="nil"/>
            </w:tcBorders>
            <w:shd w:val="clear" w:color="auto" w:fill="auto"/>
            <w:noWrap/>
            <w:vAlign w:val="center"/>
            <w:hideMark/>
          </w:tcPr>
          <w:p w14:paraId="19A70E4A" w14:textId="1AE22045" w:rsidR="00A84BC4" w:rsidRPr="00A84BC4" w:rsidRDefault="00A84BC4" w:rsidP="00A84BC4">
            <w:pPr>
              <w:jc w:val="center"/>
              <w:rPr>
                <w:rFonts w:ascii="Times New Roman" w:eastAsia="Times New Roman" w:hAnsi="Times New Roman" w:cs="Times New Roman"/>
                <w:color w:val="000000"/>
                <w:sz w:val="20"/>
                <w:szCs w:val="20"/>
                <w:lang w:eastAsia="es-GT"/>
              </w:rPr>
            </w:pPr>
            <w:r w:rsidRPr="00A84BC4">
              <w:rPr>
                <w:rFonts w:ascii="Times New Roman" w:hAnsi="Times New Roman" w:cs="Times New Roman"/>
                <w:color w:val="000000"/>
                <w:sz w:val="20"/>
                <w:szCs w:val="20"/>
              </w:rPr>
              <w:t>12,046.8</w:t>
            </w:r>
          </w:p>
        </w:tc>
        <w:tc>
          <w:tcPr>
            <w:tcW w:w="1095" w:type="dxa"/>
            <w:tcBorders>
              <w:top w:val="nil"/>
              <w:left w:val="dotDash" w:sz="4" w:space="0" w:color="auto"/>
              <w:bottom w:val="nil"/>
              <w:right w:val="nil"/>
            </w:tcBorders>
            <w:shd w:val="clear" w:color="auto" w:fill="auto"/>
            <w:noWrap/>
            <w:vAlign w:val="center"/>
            <w:hideMark/>
          </w:tcPr>
          <w:p w14:paraId="38DBF351" w14:textId="4E99E077" w:rsidR="00A84BC4" w:rsidRPr="00A84BC4" w:rsidRDefault="00A84BC4" w:rsidP="00A84BC4">
            <w:pPr>
              <w:jc w:val="center"/>
              <w:rPr>
                <w:rFonts w:ascii="Times New Roman" w:eastAsia="Times New Roman" w:hAnsi="Times New Roman" w:cs="Times New Roman"/>
                <w:color w:val="000000"/>
                <w:sz w:val="20"/>
                <w:szCs w:val="20"/>
                <w:lang w:eastAsia="es-GT"/>
              </w:rPr>
            </w:pPr>
            <w:r w:rsidRPr="00A84BC4">
              <w:rPr>
                <w:rFonts w:ascii="Times New Roman" w:hAnsi="Times New Roman" w:cs="Times New Roman"/>
                <w:color w:val="000000"/>
                <w:sz w:val="20"/>
                <w:szCs w:val="20"/>
              </w:rPr>
              <w:t>1.5</w:t>
            </w:r>
          </w:p>
        </w:tc>
        <w:tc>
          <w:tcPr>
            <w:tcW w:w="1098" w:type="dxa"/>
            <w:tcBorders>
              <w:top w:val="nil"/>
              <w:left w:val="nil"/>
              <w:bottom w:val="nil"/>
              <w:right w:val="nil"/>
            </w:tcBorders>
            <w:shd w:val="clear" w:color="auto" w:fill="auto"/>
            <w:noWrap/>
            <w:vAlign w:val="center"/>
            <w:hideMark/>
          </w:tcPr>
          <w:p w14:paraId="69123A5F" w14:textId="7471366F" w:rsidR="00A84BC4" w:rsidRPr="00A84BC4" w:rsidRDefault="00A84BC4" w:rsidP="00A84BC4">
            <w:pPr>
              <w:jc w:val="center"/>
              <w:rPr>
                <w:rFonts w:ascii="Times New Roman" w:eastAsia="Times New Roman" w:hAnsi="Times New Roman" w:cs="Times New Roman"/>
                <w:color w:val="000000"/>
                <w:sz w:val="20"/>
                <w:szCs w:val="20"/>
                <w:lang w:eastAsia="es-GT"/>
              </w:rPr>
            </w:pPr>
            <w:r w:rsidRPr="00A84BC4">
              <w:rPr>
                <w:rFonts w:ascii="Times New Roman" w:hAnsi="Times New Roman" w:cs="Times New Roman"/>
                <w:color w:val="000000"/>
                <w:sz w:val="20"/>
                <w:szCs w:val="20"/>
              </w:rPr>
              <w:t>1.5</w:t>
            </w:r>
          </w:p>
        </w:tc>
      </w:tr>
      <w:tr w:rsidR="00A84BC4" w:rsidRPr="00F81469" w14:paraId="740C7080" w14:textId="77777777" w:rsidTr="00B341EB">
        <w:trPr>
          <w:trHeight w:val="238"/>
          <w:jc w:val="center"/>
        </w:trPr>
        <w:tc>
          <w:tcPr>
            <w:tcW w:w="3905" w:type="dxa"/>
            <w:tcBorders>
              <w:top w:val="nil"/>
              <w:left w:val="nil"/>
              <w:bottom w:val="nil"/>
              <w:right w:val="nil"/>
            </w:tcBorders>
            <w:shd w:val="clear" w:color="auto" w:fill="auto"/>
            <w:noWrap/>
            <w:vAlign w:val="center"/>
            <w:hideMark/>
          </w:tcPr>
          <w:p w14:paraId="37FFC0B3" w14:textId="77777777" w:rsidR="00A84BC4" w:rsidRPr="00F81469" w:rsidRDefault="00A84BC4" w:rsidP="00A84BC4">
            <w:pPr>
              <w:ind w:firstLineChars="100" w:firstLine="200"/>
              <w:rPr>
                <w:rFonts w:ascii="Times New Roman" w:eastAsia="Times New Roman" w:hAnsi="Times New Roman" w:cs="Times New Roman"/>
                <w:color w:val="000000"/>
                <w:sz w:val="20"/>
                <w:szCs w:val="20"/>
                <w:lang w:eastAsia="es-GT"/>
              </w:rPr>
            </w:pPr>
            <w:r w:rsidRPr="00F81469">
              <w:rPr>
                <w:rFonts w:ascii="Times New Roman" w:eastAsia="Times New Roman" w:hAnsi="Times New Roman" w:cs="Times New Roman"/>
                <w:color w:val="000000"/>
                <w:sz w:val="20"/>
                <w:szCs w:val="20"/>
                <w:lang w:eastAsia="es-GT"/>
              </w:rPr>
              <w:t xml:space="preserve">Subsidios </w:t>
            </w:r>
          </w:p>
        </w:tc>
        <w:tc>
          <w:tcPr>
            <w:tcW w:w="1213" w:type="dxa"/>
            <w:tcBorders>
              <w:top w:val="nil"/>
              <w:left w:val="nil"/>
              <w:bottom w:val="nil"/>
              <w:right w:val="nil"/>
            </w:tcBorders>
            <w:shd w:val="clear" w:color="auto" w:fill="auto"/>
            <w:noWrap/>
            <w:vAlign w:val="center"/>
            <w:hideMark/>
          </w:tcPr>
          <w:p w14:paraId="6990563C" w14:textId="22EC86A2" w:rsidR="00A84BC4" w:rsidRPr="00A84BC4" w:rsidRDefault="00A84BC4" w:rsidP="00A84BC4">
            <w:pPr>
              <w:jc w:val="center"/>
              <w:rPr>
                <w:rFonts w:ascii="Times New Roman" w:eastAsia="Times New Roman" w:hAnsi="Times New Roman" w:cs="Times New Roman"/>
                <w:color w:val="000000"/>
                <w:sz w:val="20"/>
                <w:szCs w:val="20"/>
                <w:lang w:eastAsia="es-GT"/>
              </w:rPr>
            </w:pPr>
            <w:r w:rsidRPr="00A84BC4">
              <w:rPr>
                <w:rFonts w:ascii="Times New Roman" w:hAnsi="Times New Roman" w:cs="Times New Roman"/>
                <w:color w:val="000000"/>
                <w:sz w:val="20"/>
                <w:szCs w:val="20"/>
              </w:rPr>
              <w:t>3,825.8</w:t>
            </w:r>
          </w:p>
        </w:tc>
        <w:tc>
          <w:tcPr>
            <w:tcW w:w="1214" w:type="dxa"/>
            <w:tcBorders>
              <w:top w:val="nil"/>
              <w:left w:val="nil"/>
              <w:bottom w:val="nil"/>
              <w:right w:val="nil"/>
            </w:tcBorders>
            <w:shd w:val="clear" w:color="auto" w:fill="auto"/>
            <w:noWrap/>
            <w:vAlign w:val="center"/>
            <w:hideMark/>
          </w:tcPr>
          <w:p w14:paraId="61493960" w14:textId="7A138701" w:rsidR="00A84BC4" w:rsidRPr="00A84BC4" w:rsidRDefault="00A84BC4" w:rsidP="00A84BC4">
            <w:pPr>
              <w:jc w:val="center"/>
              <w:rPr>
                <w:rFonts w:ascii="Times New Roman" w:eastAsia="Times New Roman" w:hAnsi="Times New Roman" w:cs="Times New Roman"/>
                <w:color w:val="000000"/>
                <w:sz w:val="20"/>
                <w:szCs w:val="20"/>
                <w:lang w:eastAsia="es-GT"/>
              </w:rPr>
            </w:pPr>
            <w:r w:rsidRPr="00A84BC4">
              <w:rPr>
                <w:rFonts w:ascii="Times New Roman" w:hAnsi="Times New Roman" w:cs="Times New Roman"/>
                <w:color w:val="000000"/>
                <w:sz w:val="20"/>
                <w:szCs w:val="20"/>
              </w:rPr>
              <w:t>1,345.6</w:t>
            </w:r>
          </w:p>
        </w:tc>
        <w:tc>
          <w:tcPr>
            <w:tcW w:w="1095" w:type="dxa"/>
            <w:tcBorders>
              <w:top w:val="nil"/>
              <w:left w:val="dotDash" w:sz="4" w:space="0" w:color="auto"/>
              <w:bottom w:val="nil"/>
              <w:right w:val="nil"/>
            </w:tcBorders>
            <w:shd w:val="clear" w:color="auto" w:fill="auto"/>
            <w:noWrap/>
            <w:vAlign w:val="center"/>
            <w:hideMark/>
          </w:tcPr>
          <w:p w14:paraId="512B0233" w14:textId="5BE163A3" w:rsidR="00A84BC4" w:rsidRPr="00A84BC4" w:rsidRDefault="00A84BC4" w:rsidP="00A84BC4">
            <w:pPr>
              <w:jc w:val="center"/>
              <w:rPr>
                <w:rFonts w:ascii="Times New Roman" w:eastAsia="Times New Roman" w:hAnsi="Times New Roman" w:cs="Times New Roman"/>
                <w:color w:val="000000"/>
                <w:sz w:val="20"/>
                <w:szCs w:val="20"/>
                <w:lang w:eastAsia="es-GT"/>
              </w:rPr>
            </w:pPr>
            <w:r w:rsidRPr="00A84BC4">
              <w:rPr>
                <w:rFonts w:ascii="Times New Roman" w:hAnsi="Times New Roman" w:cs="Times New Roman"/>
                <w:color w:val="000000"/>
                <w:sz w:val="20"/>
                <w:szCs w:val="20"/>
              </w:rPr>
              <w:t>0.5</w:t>
            </w:r>
          </w:p>
        </w:tc>
        <w:tc>
          <w:tcPr>
            <w:tcW w:w="1098" w:type="dxa"/>
            <w:tcBorders>
              <w:top w:val="nil"/>
              <w:left w:val="nil"/>
              <w:bottom w:val="nil"/>
              <w:right w:val="nil"/>
            </w:tcBorders>
            <w:shd w:val="clear" w:color="auto" w:fill="auto"/>
            <w:noWrap/>
            <w:vAlign w:val="center"/>
            <w:hideMark/>
          </w:tcPr>
          <w:p w14:paraId="7A002EB3" w14:textId="67DB0920" w:rsidR="00A84BC4" w:rsidRPr="00A84BC4" w:rsidRDefault="00A84BC4" w:rsidP="00A84BC4">
            <w:pPr>
              <w:jc w:val="center"/>
              <w:rPr>
                <w:rFonts w:ascii="Times New Roman" w:eastAsia="Times New Roman" w:hAnsi="Times New Roman" w:cs="Times New Roman"/>
                <w:color w:val="000000"/>
                <w:sz w:val="20"/>
                <w:szCs w:val="20"/>
                <w:lang w:eastAsia="es-GT"/>
              </w:rPr>
            </w:pPr>
            <w:r w:rsidRPr="00A84BC4">
              <w:rPr>
                <w:rFonts w:ascii="Times New Roman" w:hAnsi="Times New Roman" w:cs="Times New Roman"/>
                <w:color w:val="000000"/>
                <w:sz w:val="20"/>
                <w:szCs w:val="20"/>
              </w:rPr>
              <w:t>0.2</w:t>
            </w:r>
          </w:p>
        </w:tc>
      </w:tr>
      <w:tr w:rsidR="00A84BC4" w:rsidRPr="00F81469" w14:paraId="267DA62F" w14:textId="77777777" w:rsidTr="00B341EB">
        <w:trPr>
          <w:trHeight w:val="238"/>
          <w:jc w:val="center"/>
        </w:trPr>
        <w:tc>
          <w:tcPr>
            <w:tcW w:w="3905" w:type="dxa"/>
            <w:tcBorders>
              <w:top w:val="nil"/>
              <w:left w:val="nil"/>
              <w:bottom w:val="nil"/>
              <w:right w:val="nil"/>
            </w:tcBorders>
            <w:shd w:val="clear" w:color="auto" w:fill="auto"/>
            <w:noWrap/>
            <w:vAlign w:val="center"/>
            <w:hideMark/>
          </w:tcPr>
          <w:p w14:paraId="1C44D8DC" w14:textId="77777777" w:rsidR="00A84BC4" w:rsidRPr="00F81469" w:rsidRDefault="00A84BC4" w:rsidP="00A84BC4">
            <w:pPr>
              <w:ind w:firstLineChars="100" w:firstLine="200"/>
              <w:rPr>
                <w:rFonts w:ascii="Times New Roman" w:eastAsia="Times New Roman" w:hAnsi="Times New Roman" w:cs="Times New Roman"/>
                <w:color w:val="000000"/>
                <w:sz w:val="20"/>
                <w:szCs w:val="20"/>
                <w:lang w:eastAsia="es-GT"/>
              </w:rPr>
            </w:pPr>
            <w:r w:rsidRPr="00F81469">
              <w:rPr>
                <w:rFonts w:ascii="Times New Roman" w:eastAsia="Times New Roman" w:hAnsi="Times New Roman" w:cs="Times New Roman"/>
                <w:color w:val="000000"/>
                <w:sz w:val="20"/>
                <w:szCs w:val="20"/>
                <w:lang w:eastAsia="es-GT"/>
              </w:rPr>
              <w:t xml:space="preserve">Donaciones </w:t>
            </w:r>
          </w:p>
        </w:tc>
        <w:tc>
          <w:tcPr>
            <w:tcW w:w="1213" w:type="dxa"/>
            <w:tcBorders>
              <w:top w:val="nil"/>
              <w:left w:val="nil"/>
              <w:bottom w:val="nil"/>
              <w:right w:val="nil"/>
            </w:tcBorders>
            <w:shd w:val="clear" w:color="auto" w:fill="auto"/>
            <w:noWrap/>
            <w:vAlign w:val="center"/>
            <w:hideMark/>
          </w:tcPr>
          <w:p w14:paraId="18403B3A" w14:textId="0A64BDB6" w:rsidR="00A84BC4" w:rsidRPr="00A84BC4" w:rsidRDefault="00A84BC4" w:rsidP="00A84BC4">
            <w:pPr>
              <w:jc w:val="center"/>
              <w:rPr>
                <w:rFonts w:ascii="Times New Roman" w:eastAsia="Times New Roman" w:hAnsi="Times New Roman" w:cs="Times New Roman"/>
                <w:color w:val="000000"/>
                <w:sz w:val="20"/>
                <w:szCs w:val="20"/>
                <w:lang w:eastAsia="es-GT"/>
              </w:rPr>
            </w:pPr>
            <w:r w:rsidRPr="00A84BC4">
              <w:rPr>
                <w:rFonts w:ascii="Times New Roman" w:hAnsi="Times New Roman" w:cs="Times New Roman"/>
                <w:color w:val="000000"/>
                <w:sz w:val="20"/>
                <w:szCs w:val="20"/>
              </w:rPr>
              <w:t>516.0</w:t>
            </w:r>
          </w:p>
        </w:tc>
        <w:tc>
          <w:tcPr>
            <w:tcW w:w="1214" w:type="dxa"/>
            <w:tcBorders>
              <w:top w:val="nil"/>
              <w:left w:val="nil"/>
              <w:bottom w:val="nil"/>
              <w:right w:val="nil"/>
            </w:tcBorders>
            <w:shd w:val="clear" w:color="auto" w:fill="auto"/>
            <w:noWrap/>
            <w:vAlign w:val="center"/>
            <w:hideMark/>
          </w:tcPr>
          <w:p w14:paraId="732CE899" w14:textId="73E16BA5" w:rsidR="00A84BC4" w:rsidRPr="00A84BC4" w:rsidRDefault="00A84BC4" w:rsidP="00A84BC4">
            <w:pPr>
              <w:jc w:val="center"/>
              <w:rPr>
                <w:rFonts w:ascii="Times New Roman" w:eastAsia="Times New Roman" w:hAnsi="Times New Roman" w:cs="Times New Roman"/>
                <w:color w:val="000000"/>
                <w:sz w:val="20"/>
                <w:szCs w:val="20"/>
                <w:lang w:eastAsia="es-GT"/>
              </w:rPr>
            </w:pPr>
            <w:r w:rsidRPr="00A84BC4">
              <w:rPr>
                <w:rFonts w:ascii="Times New Roman" w:hAnsi="Times New Roman" w:cs="Times New Roman"/>
                <w:color w:val="000000"/>
                <w:sz w:val="20"/>
                <w:szCs w:val="20"/>
              </w:rPr>
              <w:t>389.9</w:t>
            </w:r>
          </w:p>
        </w:tc>
        <w:tc>
          <w:tcPr>
            <w:tcW w:w="1095" w:type="dxa"/>
            <w:tcBorders>
              <w:top w:val="nil"/>
              <w:left w:val="dotDash" w:sz="4" w:space="0" w:color="auto"/>
              <w:bottom w:val="nil"/>
              <w:right w:val="nil"/>
            </w:tcBorders>
            <w:shd w:val="clear" w:color="auto" w:fill="auto"/>
            <w:noWrap/>
            <w:vAlign w:val="center"/>
            <w:hideMark/>
          </w:tcPr>
          <w:p w14:paraId="1CE42F31" w14:textId="4E36B400" w:rsidR="00A84BC4" w:rsidRPr="00A84BC4" w:rsidRDefault="00A84BC4" w:rsidP="00A84BC4">
            <w:pPr>
              <w:jc w:val="center"/>
              <w:rPr>
                <w:rFonts w:ascii="Times New Roman" w:eastAsia="Times New Roman" w:hAnsi="Times New Roman" w:cs="Times New Roman"/>
                <w:color w:val="000000"/>
                <w:sz w:val="20"/>
                <w:szCs w:val="20"/>
                <w:lang w:eastAsia="es-GT"/>
              </w:rPr>
            </w:pPr>
            <w:r w:rsidRPr="00A84BC4">
              <w:rPr>
                <w:rFonts w:ascii="Times New Roman" w:hAnsi="Times New Roman" w:cs="Times New Roman"/>
                <w:color w:val="000000"/>
                <w:sz w:val="20"/>
                <w:szCs w:val="20"/>
              </w:rPr>
              <w:t>0.1</w:t>
            </w:r>
          </w:p>
        </w:tc>
        <w:tc>
          <w:tcPr>
            <w:tcW w:w="1098" w:type="dxa"/>
            <w:tcBorders>
              <w:top w:val="nil"/>
              <w:left w:val="nil"/>
              <w:bottom w:val="nil"/>
              <w:right w:val="nil"/>
            </w:tcBorders>
            <w:shd w:val="clear" w:color="auto" w:fill="auto"/>
            <w:noWrap/>
            <w:vAlign w:val="center"/>
            <w:hideMark/>
          </w:tcPr>
          <w:p w14:paraId="78F33D25" w14:textId="6D05285F" w:rsidR="00A84BC4" w:rsidRPr="00A84BC4" w:rsidRDefault="00A84BC4" w:rsidP="00A84BC4">
            <w:pPr>
              <w:jc w:val="center"/>
              <w:rPr>
                <w:rFonts w:ascii="Times New Roman" w:eastAsia="Times New Roman" w:hAnsi="Times New Roman" w:cs="Times New Roman"/>
                <w:color w:val="000000"/>
                <w:sz w:val="20"/>
                <w:szCs w:val="20"/>
                <w:lang w:eastAsia="es-GT"/>
              </w:rPr>
            </w:pPr>
            <w:r w:rsidRPr="00A84BC4">
              <w:rPr>
                <w:rFonts w:ascii="Times New Roman" w:hAnsi="Times New Roman" w:cs="Times New Roman"/>
                <w:color w:val="000000"/>
                <w:sz w:val="20"/>
                <w:szCs w:val="20"/>
              </w:rPr>
              <w:t>0.0</w:t>
            </w:r>
          </w:p>
        </w:tc>
      </w:tr>
      <w:tr w:rsidR="00A84BC4" w:rsidRPr="00F81469" w14:paraId="2CC0645D" w14:textId="77777777" w:rsidTr="00B341EB">
        <w:trPr>
          <w:trHeight w:val="238"/>
          <w:jc w:val="center"/>
        </w:trPr>
        <w:tc>
          <w:tcPr>
            <w:tcW w:w="3905" w:type="dxa"/>
            <w:tcBorders>
              <w:top w:val="nil"/>
              <w:left w:val="nil"/>
              <w:bottom w:val="nil"/>
              <w:right w:val="nil"/>
            </w:tcBorders>
            <w:shd w:val="clear" w:color="auto" w:fill="auto"/>
            <w:noWrap/>
            <w:vAlign w:val="center"/>
            <w:hideMark/>
          </w:tcPr>
          <w:p w14:paraId="3D5D28B9" w14:textId="77777777" w:rsidR="00A84BC4" w:rsidRPr="00F81469" w:rsidRDefault="00A84BC4" w:rsidP="00A84BC4">
            <w:pPr>
              <w:ind w:firstLineChars="100" w:firstLine="200"/>
              <w:rPr>
                <w:rFonts w:ascii="Times New Roman" w:eastAsia="Times New Roman" w:hAnsi="Times New Roman" w:cs="Times New Roman"/>
                <w:color w:val="000000"/>
                <w:sz w:val="20"/>
                <w:szCs w:val="20"/>
                <w:lang w:eastAsia="es-GT"/>
              </w:rPr>
            </w:pPr>
            <w:r w:rsidRPr="00F81469">
              <w:rPr>
                <w:rFonts w:ascii="Times New Roman" w:eastAsia="Times New Roman" w:hAnsi="Times New Roman" w:cs="Times New Roman"/>
                <w:color w:val="000000"/>
                <w:sz w:val="20"/>
                <w:szCs w:val="20"/>
                <w:lang w:eastAsia="es-GT"/>
              </w:rPr>
              <w:t xml:space="preserve">Prestaciones sociales </w:t>
            </w:r>
          </w:p>
        </w:tc>
        <w:tc>
          <w:tcPr>
            <w:tcW w:w="1213" w:type="dxa"/>
            <w:tcBorders>
              <w:top w:val="nil"/>
              <w:left w:val="nil"/>
              <w:bottom w:val="nil"/>
              <w:right w:val="nil"/>
            </w:tcBorders>
            <w:shd w:val="clear" w:color="auto" w:fill="auto"/>
            <w:noWrap/>
            <w:vAlign w:val="center"/>
            <w:hideMark/>
          </w:tcPr>
          <w:p w14:paraId="39F01E45" w14:textId="3E1F1716" w:rsidR="00A84BC4" w:rsidRPr="00A84BC4" w:rsidRDefault="00A84BC4" w:rsidP="00A84BC4">
            <w:pPr>
              <w:jc w:val="center"/>
              <w:rPr>
                <w:rFonts w:ascii="Times New Roman" w:eastAsia="Times New Roman" w:hAnsi="Times New Roman" w:cs="Times New Roman"/>
                <w:color w:val="000000"/>
                <w:sz w:val="20"/>
                <w:szCs w:val="20"/>
                <w:lang w:eastAsia="es-GT"/>
              </w:rPr>
            </w:pPr>
            <w:r w:rsidRPr="00A84BC4">
              <w:rPr>
                <w:rFonts w:ascii="Times New Roman" w:hAnsi="Times New Roman" w:cs="Times New Roman"/>
                <w:color w:val="000000"/>
                <w:sz w:val="20"/>
                <w:szCs w:val="20"/>
              </w:rPr>
              <w:t>12,921.5</w:t>
            </w:r>
          </w:p>
        </w:tc>
        <w:tc>
          <w:tcPr>
            <w:tcW w:w="1214" w:type="dxa"/>
            <w:tcBorders>
              <w:top w:val="nil"/>
              <w:left w:val="nil"/>
              <w:bottom w:val="nil"/>
              <w:right w:val="nil"/>
            </w:tcBorders>
            <w:shd w:val="clear" w:color="auto" w:fill="auto"/>
            <w:noWrap/>
            <w:vAlign w:val="center"/>
            <w:hideMark/>
          </w:tcPr>
          <w:p w14:paraId="4BC60778" w14:textId="3ACF2753" w:rsidR="00A84BC4" w:rsidRPr="00A84BC4" w:rsidRDefault="00A84BC4" w:rsidP="00A84BC4">
            <w:pPr>
              <w:jc w:val="center"/>
              <w:rPr>
                <w:rFonts w:ascii="Times New Roman" w:eastAsia="Times New Roman" w:hAnsi="Times New Roman" w:cs="Times New Roman"/>
                <w:color w:val="000000"/>
                <w:sz w:val="20"/>
                <w:szCs w:val="20"/>
                <w:lang w:eastAsia="es-GT"/>
              </w:rPr>
            </w:pPr>
            <w:r w:rsidRPr="00A84BC4">
              <w:rPr>
                <w:rFonts w:ascii="Times New Roman" w:hAnsi="Times New Roman" w:cs="Times New Roman"/>
                <w:color w:val="000000"/>
                <w:sz w:val="20"/>
                <w:szCs w:val="20"/>
              </w:rPr>
              <w:t>15,211.9</w:t>
            </w:r>
          </w:p>
        </w:tc>
        <w:tc>
          <w:tcPr>
            <w:tcW w:w="1095" w:type="dxa"/>
            <w:tcBorders>
              <w:top w:val="nil"/>
              <w:left w:val="dotDash" w:sz="4" w:space="0" w:color="auto"/>
              <w:bottom w:val="nil"/>
              <w:right w:val="nil"/>
            </w:tcBorders>
            <w:shd w:val="clear" w:color="auto" w:fill="auto"/>
            <w:noWrap/>
            <w:vAlign w:val="center"/>
            <w:hideMark/>
          </w:tcPr>
          <w:p w14:paraId="07196E99" w14:textId="6952C9D3" w:rsidR="00A84BC4" w:rsidRPr="00A84BC4" w:rsidRDefault="00A84BC4" w:rsidP="00A84BC4">
            <w:pPr>
              <w:jc w:val="center"/>
              <w:rPr>
                <w:rFonts w:ascii="Times New Roman" w:eastAsia="Times New Roman" w:hAnsi="Times New Roman" w:cs="Times New Roman"/>
                <w:color w:val="000000"/>
                <w:sz w:val="20"/>
                <w:szCs w:val="20"/>
                <w:lang w:eastAsia="es-GT"/>
              </w:rPr>
            </w:pPr>
            <w:r w:rsidRPr="00A84BC4">
              <w:rPr>
                <w:rFonts w:ascii="Times New Roman" w:hAnsi="Times New Roman" w:cs="Times New Roman"/>
                <w:color w:val="000000"/>
                <w:sz w:val="20"/>
                <w:szCs w:val="20"/>
              </w:rPr>
              <w:t>1.8</w:t>
            </w:r>
          </w:p>
        </w:tc>
        <w:tc>
          <w:tcPr>
            <w:tcW w:w="1098" w:type="dxa"/>
            <w:tcBorders>
              <w:top w:val="nil"/>
              <w:left w:val="nil"/>
              <w:bottom w:val="nil"/>
              <w:right w:val="nil"/>
            </w:tcBorders>
            <w:shd w:val="clear" w:color="auto" w:fill="auto"/>
            <w:noWrap/>
            <w:vAlign w:val="center"/>
            <w:hideMark/>
          </w:tcPr>
          <w:p w14:paraId="75B49B8D" w14:textId="5CB28E7A" w:rsidR="00A84BC4" w:rsidRPr="00A84BC4" w:rsidRDefault="00A84BC4" w:rsidP="00A84BC4">
            <w:pPr>
              <w:jc w:val="center"/>
              <w:rPr>
                <w:rFonts w:ascii="Times New Roman" w:eastAsia="Times New Roman" w:hAnsi="Times New Roman" w:cs="Times New Roman"/>
                <w:color w:val="000000"/>
                <w:sz w:val="20"/>
                <w:szCs w:val="20"/>
                <w:lang w:eastAsia="es-GT"/>
              </w:rPr>
            </w:pPr>
            <w:r w:rsidRPr="00A84BC4">
              <w:rPr>
                <w:rFonts w:ascii="Times New Roman" w:hAnsi="Times New Roman" w:cs="Times New Roman"/>
                <w:color w:val="000000"/>
                <w:sz w:val="20"/>
                <w:szCs w:val="20"/>
              </w:rPr>
              <w:t>1.9</w:t>
            </w:r>
          </w:p>
        </w:tc>
      </w:tr>
      <w:tr w:rsidR="00A84BC4" w:rsidRPr="00F81469" w14:paraId="59EFE051" w14:textId="77777777" w:rsidTr="00B341EB">
        <w:trPr>
          <w:trHeight w:val="238"/>
          <w:jc w:val="center"/>
        </w:trPr>
        <w:tc>
          <w:tcPr>
            <w:tcW w:w="3905" w:type="dxa"/>
            <w:tcBorders>
              <w:top w:val="nil"/>
              <w:left w:val="nil"/>
              <w:bottom w:val="nil"/>
              <w:right w:val="nil"/>
            </w:tcBorders>
            <w:shd w:val="clear" w:color="auto" w:fill="auto"/>
            <w:noWrap/>
            <w:vAlign w:val="center"/>
            <w:hideMark/>
          </w:tcPr>
          <w:p w14:paraId="6BD70C3D" w14:textId="77777777" w:rsidR="00A84BC4" w:rsidRPr="00F81469" w:rsidRDefault="00A84BC4" w:rsidP="00A84BC4">
            <w:pPr>
              <w:ind w:firstLineChars="100" w:firstLine="200"/>
              <w:rPr>
                <w:rFonts w:ascii="Times New Roman" w:eastAsia="Times New Roman" w:hAnsi="Times New Roman" w:cs="Times New Roman"/>
                <w:color w:val="000000"/>
                <w:sz w:val="20"/>
                <w:szCs w:val="20"/>
                <w:lang w:eastAsia="es-GT"/>
              </w:rPr>
            </w:pPr>
            <w:r w:rsidRPr="00F81469">
              <w:rPr>
                <w:rFonts w:ascii="Times New Roman" w:eastAsia="Times New Roman" w:hAnsi="Times New Roman" w:cs="Times New Roman"/>
                <w:color w:val="000000"/>
                <w:sz w:val="20"/>
                <w:szCs w:val="20"/>
                <w:lang w:eastAsia="es-GT"/>
              </w:rPr>
              <w:t xml:space="preserve">Otros gastos </w:t>
            </w:r>
          </w:p>
        </w:tc>
        <w:tc>
          <w:tcPr>
            <w:tcW w:w="1213" w:type="dxa"/>
            <w:tcBorders>
              <w:top w:val="nil"/>
              <w:left w:val="nil"/>
              <w:bottom w:val="nil"/>
              <w:right w:val="nil"/>
            </w:tcBorders>
            <w:shd w:val="clear" w:color="auto" w:fill="auto"/>
            <w:noWrap/>
            <w:vAlign w:val="center"/>
            <w:hideMark/>
          </w:tcPr>
          <w:p w14:paraId="33FD72CD" w14:textId="23AEF4F6" w:rsidR="00A84BC4" w:rsidRPr="00A84BC4" w:rsidRDefault="00A84BC4" w:rsidP="00A84BC4">
            <w:pPr>
              <w:jc w:val="center"/>
              <w:rPr>
                <w:rFonts w:ascii="Times New Roman" w:eastAsia="Times New Roman" w:hAnsi="Times New Roman" w:cs="Times New Roman"/>
                <w:color w:val="000000"/>
                <w:sz w:val="20"/>
                <w:szCs w:val="20"/>
                <w:lang w:eastAsia="es-GT"/>
              </w:rPr>
            </w:pPr>
            <w:r w:rsidRPr="00A84BC4">
              <w:rPr>
                <w:rFonts w:ascii="Times New Roman" w:hAnsi="Times New Roman" w:cs="Times New Roman"/>
                <w:color w:val="000000"/>
                <w:sz w:val="20"/>
                <w:szCs w:val="20"/>
              </w:rPr>
              <w:t>8,620.6</w:t>
            </w:r>
          </w:p>
        </w:tc>
        <w:tc>
          <w:tcPr>
            <w:tcW w:w="1214" w:type="dxa"/>
            <w:tcBorders>
              <w:top w:val="nil"/>
              <w:left w:val="nil"/>
              <w:bottom w:val="nil"/>
              <w:right w:val="nil"/>
            </w:tcBorders>
            <w:shd w:val="clear" w:color="auto" w:fill="auto"/>
            <w:noWrap/>
            <w:vAlign w:val="center"/>
            <w:hideMark/>
          </w:tcPr>
          <w:p w14:paraId="1D29F904" w14:textId="1631E48D" w:rsidR="00A84BC4" w:rsidRPr="00A84BC4" w:rsidRDefault="00A84BC4" w:rsidP="00A84BC4">
            <w:pPr>
              <w:jc w:val="center"/>
              <w:rPr>
                <w:rFonts w:ascii="Times New Roman" w:eastAsia="Times New Roman" w:hAnsi="Times New Roman" w:cs="Times New Roman"/>
                <w:color w:val="000000"/>
                <w:sz w:val="20"/>
                <w:szCs w:val="20"/>
                <w:lang w:eastAsia="es-GT"/>
              </w:rPr>
            </w:pPr>
            <w:r w:rsidRPr="00A84BC4">
              <w:rPr>
                <w:rFonts w:ascii="Times New Roman" w:hAnsi="Times New Roman" w:cs="Times New Roman"/>
                <w:color w:val="000000"/>
                <w:sz w:val="20"/>
                <w:szCs w:val="20"/>
              </w:rPr>
              <w:t>9,440.4</w:t>
            </w:r>
          </w:p>
        </w:tc>
        <w:tc>
          <w:tcPr>
            <w:tcW w:w="1095" w:type="dxa"/>
            <w:tcBorders>
              <w:top w:val="nil"/>
              <w:left w:val="dotDash" w:sz="4" w:space="0" w:color="auto"/>
              <w:bottom w:val="nil"/>
              <w:right w:val="nil"/>
            </w:tcBorders>
            <w:shd w:val="clear" w:color="auto" w:fill="auto"/>
            <w:noWrap/>
            <w:vAlign w:val="center"/>
            <w:hideMark/>
          </w:tcPr>
          <w:p w14:paraId="6E42E06C" w14:textId="5D0A4E6F" w:rsidR="00A84BC4" w:rsidRPr="00A84BC4" w:rsidRDefault="00A84BC4" w:rsidP="00A84BC4">
            <w:pPr>
              <w:jc w:val="center"/>
              <w:rPr>
                <w:rFonts w:ascii="Times New Roman" w:eastAsia="Times New Roman" w:hAnsi="Times New Roman" w:cs="Times New Roman"/>
                <w:color w:val="000000"/>
                <w:sz w:val="20"/>
                <w:szCs w:val="20"/>
                <w:lang w:eastAsia="es-GT"/>
              </w:rPr>
            </w:pPr>
            <w:r w:rsidRPr="00A84BC4">
              <w:rPr>
                <w:rFonts w:ascii="Times New Roman" w:hAnsi="Times New Roman" w:cs="Times New Roman"/>
                <w:color w:val="000000"/>
                <w:sz w:val="20"/>
                <w:szCs w:val="20"/>
              </w:rPr>
              <w:t>1.2</w:t>
            </w:r>
          </w:p>
        </w:tc>
        <w:tc>
          <w:tcPr>
            <w:tcW w:w="1098" w:type="dxa"/>
            <w:tcBorders>
              <w:top w:val="nil"/>
              <w:left w:val="nil"/>
              <w:bottom w:val="nil"/>
              <w:right w:val="nil"/>
            </w:tcBorders>
            <w:shd w:val="clear" w:color="auto" w:fill="auto"/>
            <w:noWrap/>
            <w:vAlign w:val="center"/>
            <w:hideMark/>
          </w:tcPr>
          <w:p w14:paraId="16A88480" w14:textId="34C3AE8B" w:rsidR="00A84BC4" w:rsidRPr="00A84BC4" w:rsidRDefault="00A84BC4" w:rsidP="00A84BC4">
            <w:pPr>
              <w:jc w:val="center"/>
              <w:rPr>
                <w:rFonts w:ascii="Times New Roman" w:eastAsia="Times New Roman" w:hAnsi="Times New Roman" w:cs="Times New Roman"/>
                <w:color w:val="000000"/>
                <w:sz w:val="20"/>
                <w:szCs w:val="20"/>
                <w:lang w:eastAsia="es-GT"/>
              </w:rPr>
            </w:pPr>
            <w:r w:rsidRPr="00A84BC4">
              <w:rPr>
                <w:rFonts w:ascii="Times New Roman" w:hAnsi="Times New Roman" w:cs="Times New Roman"/>
                <w:color w:val="000000"/>
                <w:sz w:val="20"/>
                <w:szCs w:val="20"/>
              </w:rPr>
              <w:t>1.2</w:t>
            </w:r>
          </w:p>
        </w:tc>
      </w:tr>
      <w:tr w:rsidR="00A84BC4" w:rsidRPr="00F81469" w14:paraId="6AB876C1" w14:textId="77777777" w:rsidTr="00B341EB">
        <w:trPr>
          <w:trHeight w:val="238"/>
          <w:jc w:val="center"/>
        </w:trPr>
        <w:tc>
          <w:tcPr>
            <w:tcW w:w="3905" w:type="dxa"/>
            <w:tcBorders>
              <w:top w:val="nil"/>
              <w:left w:val="nil"/>
              <w:bottom w:val="nil"/>
              <w:right w:val="nil"/>
            </w:tcBorders>
            <w:shd w:val="clear" w:color="auto" w:fill="auto"/>
            <w:noWrap/>
            <w:vAlign w:val="center"/>
            <w:hideMark/>
          </w:tcPr>
          <w:p w14:paraId="627D57A5" w14:textId="77777777" w:rsidR="00A84BC4" w:rsidRPr="00F81469" w:rsidRDefault="00A84BC4" w:rsidP="00A84BC4">
            <w:pPr>
              <w:jc w:val="both"/>
              <w:rPr>
                <w:rFonts w:ascii="Times New Roman" w:eastAsia="Times New Roman" w:hAnsi="Times New Roman" w:cs="Times New Roman"/>
                <w:b/>
                <w:bCs/>
                <w:color w:val="000000"/>
                <w:sz w:val="20"/>
                <w:szCs w:val="20"/>
                <w:lang w:eastAsia="es-GT"/>
              </w:rPr>
            </w:pPr>
            <w:r w:rsidRPr="00F81469">
              <w:rPr>
                <w:rFonts w:ascii="Times New Roman" w:eastAsia="Times New Roman" w:hAnsi="Times New Roman" w:cs="Times New Roman"/>
                <w:b/>
                <w:bCs/>
                <w:color w:val="000000"/>
                <w:sz w:val="20"/>
                <w:szCs w:val="20"/>
                <w:lang w:eastAsia="es-GT"/>
              </w:rPr>
              <w:t>Resultado Operativo Primario</w:t>
            </w:r>
          </w:p>
        </w:tc>
        <w:tc>
          <w:tcPr>
            <w:tcW w:w="1213" w:type="dxa"/>
            <w:tcBorders>
              <w:top w:val="nil"/>
              <w:left w:val="nil"/>
              <w:bottom w:val="nil"/>
              <w:right w:val="nil"/>
            </w:tcBorders>
            <w:shd w:val="clear" w:color="auto" w:fill="auto"/>
            <w:noWrap/>
            <w:vAlign w:val="center"/>
            <w:hideMark/>
          </w:tcPr>
          <w:p w14:paraId="7D983512" w14:textId="2E297E92" w:rsidR="00A84BC4" w:rsidRPr="00A84BC4" w:rsidRDefault="00A84BC4" w:rsidP="00A84BC4">
            <w:pPr>
              <w:jc w:val="center"/>
              <w:rPr>
                <w:rFonts w:ascii="Times New Roman" w:eastAsia="Times New Roman" w:hAnsi="Times New Roman" w:cs="Times New Roman"/>
                <w:b/>
                <w:bCs/>
                <w:color w:val="000000"/>
                <w:sz w:val="20"/>
                <w:szCs w:val="20"/>
                <w:lang w:eastAsia="es-GT"/>
              </w:rPr>
            </w:pPr>
            <w:r w:rsidRPr="00A84BC4">
              <w:rPr>
                <w:rFonts w:ascii="Times New Roman" w:hAnsi="Times New Roman" w:cs="Times New Roman"/>
                <w:b/>
                <w:bCs/>
                <w:color w:val="000000"/>
                <w:sz w:val="20"/>
                <w:szCs w:val="20"/>
              </w:rPr>
              <w:t>20,142.4</w:t>
            </w:r>
          </w:p>
        </w:tc>
        <w:tc>
          <w:tcPr>
            <w:tcW w:w="1214" w:type="dxa"/>
            <w:tcBorders>
              <w:top w:val="nil"/>
              <w:left w:val="nil"/>
              <w:bottom w:val="nil"/>
              <w:right w:val="nil"/>
            </w:tcBorders>
            <w:shd w:val="clear" w:color="auto" w:fill="auto"/>
            <w:noWrap/>
            <w:vAlign w:val="center"/>
            <w:hideMark/>
          </w:tcPr>
          <w:p w14:paraId="5338F577" w14:textId="7D86F17F" w:rsidR="00A84BC4" w:rsidRPr="00A84BC4" w:rsidRDefault="00A84BC4" w:rsidP="00A84BC4">
            <w:pPr>
              <w:jc w:val="center"/>
              <w:rPr>
                <w:rFonts w:ascii="Times New Roman" w:eastAsia="Times New Roman" w:hAnsi="Times New Roman" w:cs="Times New Roman"/>
                <w:b/>
                <w:bCs/>
                <w:color w:val="000000"/>
                <w:sz w:val="20"/>
                <w:szCs w:val="20"/>
                <w:lang w:eastAsia="es-GT"/>
              </w:rPr>
            </w:pPr>
            <w:r w:rsidRPr="00A84BC4">
              <w:rPr>
                <w:rFonts w:ascii="Times New Roman" w:hAnsi="Times New Roman" w:cs="Times New Roman"/>
                <w:b/>
                <w:bCs/>
                <w:color w:val="000000"/>
                <w:sz w:val="20"/>
                <w:szCs w:val="20"/>
              </w:rPr>
              <w:t>24,951.1</w:t>
            </w:r>
          </w:p>
        </w:tc>
        <w:tc>
          <w:tcPr>
            <w:tcW w:w="1095" w:type="dxa"/>
            <w:tcBorders>
              <w:top w:val="nil"/>
              <w:left w:val="dotDash" w:sz="4" w:space="0" w:color="auto"/>
              <w:bottom w:val="nil"/>
              <w:right w:val="nil"/>
            </w:tcBorders>
            <w:shd w:val="clear" w:color="auto" w:fill="auto"/>
            <w:noWrap/>
            <w:vAlign w:val="center"/>
            <w:hideMark/>
          </w:tcPr>
          <w:p w14:paraId="4B2DAEDF" w14:textId="36766937" w:rsidR="00A84BC4" w:rsidRPr="00A84BC4" w:rsidRDefault="00A84BC4" w:rsidP="00A84BC4">
            <w:pPr>
              <w:jc w:val="center"/>
              <w:rPr>
                <w:rFonts w:ascii="Times New Roman" w:eastAsia="Times New Roman" w:hAnsi="Times New Roman" w:cs="Times New Roman"/>
                <w:b/>
                <w:bCs/>
                <w:color w:val="000000"/>
                <w:sz w:val="20"/>
                <w:szCs w:val="20"/>
                <w:lang w:eastAsia="es-GT"/>
              </w:rPr>
            </w:pPr>
            <w:r w:rsidRPr="00A84BC4">
              <w:rPr>
                <w:rFonts w:ascii="Times New Roman" w:hAnsi="Times New Roman" w:cs="Times New Roman"/>
                <w:b/>
                <w:bCs/>
                <w:color w:val="000000"/>
                <w:sz w:val="20"/>
                <w:szCs w:val="20"/>
              </w:rPr>
              <w:t>2.7</w:t>
            </w:r>
          </w:p>
        </w:tc>
        <w:tc>
          <w:tcPr>
            <w:tcW w:w="1098" w:type="dxa"/>
            <w:tcBorders>
              <w:top w:val="nil"/>
              <w:left w:val="nil"/>
              <w:bottom w:val="nil"/>
              <w:right w:val="nil"/>
            </w:tcBorders>
            <w:shd w:val="clear" w:color="auto" w:fill="auto"/>
            <w:noWrap/>
            <w:vAlign w:val="center"/>
            <w:hideMark/>
          </w:tcPr>
          <w:p w14:paraId="329A7648" w14:textId="148CE634" w:rsidR="00A84BC4" w:rsidRPr="00A84BC4" w:rsidRDefault="00A84BC4" w:rsidP="00A84BC4">
            <w:pPr>
              <w:jc w:val="center"/>
              <w:rPr>
                <w:rFonts w:ascii="Times New Roman" w:eastAsia="Times New Roman" w:hAnsi="Times New Roman" w:cs="Times New Roman"/>
                <w:b/>
                <w:bCs/>
                <w:color w:val="000000"/>
                <w:sz w:val="20"/>
                <w:szCs w:val="20"/>
                <w:lang w:eastAsia="es-GT"/>
              </w:rPr>
            </w:pPr>
            <w:r w:rsidRPr="00A84BC4">
              <w:rPr>
                <w:rFonts w:ascii="Times New Roman" w:hAnsi="Times New Roman" w:cs="Times New Roman"/>
                <w:b/>
                <w:bCs/>
                <w:color w:val="000000"/>
                <w:sz w:val="20"/>
                <w:szCs w:val="20"/>
              </w:rPr>
              <w:t>3.1</w:t>
            </w:r>
          </w:p>
        </w:tc>
      </w:tr>
      <w:tr w:rsidR="00A84BC4" w:rsidRPr="00F81469" w14:paraId="20C952FB" w14:textId="77777777" w:rsidTr="00B341EB">
        <w:trPr>
          <w:trHeight w:val="238"/>
          <w:jc w:val="center"/>
        </w:trPr>
        <w:tc>
          <w:tcPr>
            <w:tcW w:w="3905" w:type="dxa"/>
            <w:tcBorders>
              <w:top w:val="nil"/>
              <w:left w:val="nil"/>
              <w:bottom w:val="nil"/>
              <w:right w:val="nil"/>
            </w:tcBorders>
            <w:shd w:val="clear" w:color="auto" w:fill="BDD6EE" w:themeFill="accent5" w:themeFillTint="66"/>
            <w:noWrap/>
            <w:vAlign w:val="center"/>
            <w:hideMark/>
          </w:tcPr>
          <w:p w14:paraId="41B0B8B5" w14:textId="77777777" w:rsidR="00A84BC4" w:rsidRPr="00F81469" w:rsidRDefault="00A84BC4" w:rsidP="00A84BC4">
            <w:pPr>
              <w:jc w:val="both"/>
              <w:rPr>
                <w:rFonts w:ascii="Times New Roman" w:eastAsia="Times New Roman" w:hAnsi="Times New Roman" w:cs="Times New Roman"/>
                <w:b/>
                <w:bCs/>
                <w:color w:val="000000"/>
                <w:sz w:val="20"/>
                <w:szCs w:val="20"/>
                <w:lang w:eastAsia="es-GT"/>
              </w:rPr>
            </w:pPr>
            <w:r w:rsidRPr="00F81469">
              <w:rPr>
                <w:rFonts w:ascii="Times New Roman" w:eastAsia="Times New Roman" w:hAnsi="Times New Roman" w:cs="Times New Roman"/>
                <w:b/>
                <w:bCs/>
                <w:color w:val="000000"/>
                <w:sz w:val="20"/>
                <w:szCs w:val="20"/>
                <w:lang w:eastAsia="es-GT"/>
              </w:rPr>
              <w:t>Resultado Operativo</w:t>
            </w:r>
          </w:p>
        </w:tc>
        <w:tc>
          <w:tcPr>
            <w:tcW w:w="1213" w:type="dxa"/>
            <w:tcBorders>
              <w:top w:val="nil"/>
              <w:left w:val="nil"/>
              <w:bottom w:val="nil"/>
              <w:right w:val="nil"/>
            </w:tcBorders>
            <w:shd w:val="clear" w:color="auto" w:fill="BDD6EE" w:themeFill="accent5" w:themeFillTint="66"/>
            <w:noWrap/>
            <w:vAlign w:val="center"/>
            <w:hideMark/>
          </w:tcPr>
          <w:p w14:paraId="33AAD57E" w14:textId="3F057FF1" w:rsidR="00A84BC4" w:rsidRPr="00A84BC4" w:rsidRDefault="00A84BC4" w:rsidP="00A84BC4">
            <w:pPr>
              <w:jc w:val="center"/>
              <w:rPr>
                <w:rFonts w:ascii="Times New Roman" w:eastAsia="Times New Roman" w:hAnsi="Times New Roman" w:cs="Times New Roman"/>
                <w:b/>
                <w:bCs/>
                <w:color w:val="000000"/>
                <w:sz w:val="20"/>
                <w:szCs w:val="20"/>
                <w:lang w:eastAsia="es-GT"/>
              </w:rPr>
            </w:pPr>
            <w:r w:rsidRPr="00A84BC4">
              <w:rPr>
                <w:rFonts w:ascii="Times New Roman" w:hAnsi="Times New Roman" w:cs="Times New Roman"/>
                <w:b/>
                <w:bCs/>
                <w:color w:val="000000"/>
                <w:sz w:val="20"/>
                <w:szCs w:val="20"/>
              </w:rPr>
              <w:t>9,136.3</w:t>
            </w:r>
          </w:p>
        </w:tc>
        <w:tc>
          <w:tcPr>
            <w:tcW w:w="1214" w:type="dxa"/>
            <w:tcBorders>
              <w:top w:val="nil"/>
              <w:left w:val="nil"/>
              <w:bottom w:val="nil"/>
              <w:right w:val="nil"/>
            </w:tcBorders>
            <w:shd w:val="clear" w:color="auto" w:fill="BDD6EE" w:themeFill="accent5" w:themeFillTint="66"/>
            <w:noWrap/>
            <w:vAlign w:val="center"/>
            <w:hideMark/>
          </w:tcPr>
          <w:p w14:paraId="3BCCFF2B" w14:textId="0A4A4F86" w:rsidR="00A84BC4" w:rsidRPr="00A84BC4" w:rsidRDefault="00A84BC4" w:rsidP="00A84BC4">
            <w:pPr>
              <w:jc w:val="center"/>
              <w:rPr>
                <w:rFonts w:ascii="Times New Roman" w:eastAsia="Times New Roman" w:hAnsi="Times New Roman" w:cs="Times New Roman"/>
                <w:b/>
                <w:bCs/>
                <w:color w:val="000000"/>
                <w:sz w:val="20"/>
                <w:szCs w:val="20"/>
                <w:lang w:eastAsia="es-GT"/>
              </w:rPr>
            </w:pPr>
            <w:r w:rsidRPr="00A84BC4">
              <w:rPr>
                <w:rFonts w:ascii="Times New Roman" w:hAnsi="Times New Roman" w:cs="Times New Roman"/>
                <w:b/>
                <w:bCs/>
                <w:color w:val="000000"/>
                <w:sz w:val="20"/>
                <w:szCs w:val="20"/>
              </w:rPr>
              <w:t>12,904.3</w:t>
            </w:r>
          </w:p>
        </w:tc>
        <w:tc>
          <w:tcPr>
            <w:tcW w:w="1095" w:type="dxa"/>
            <w:tcBorders>
              <w:top w:val="nil"/>
              <w:left w:val="dotDash" w:sz="4" w:space="0" w:color="auto"/>
              <w:bottom w:val="nil"/>
              <w:right w:val="nil"/>
            </w:tcBorders>
            <w:shd w:val="clear" w:color="auto" w:fill="BDD6EE" w:themeFill="accent5" w:themeFillTint="66"/>
            <w:noWrap/>
            <w:vAlign w:val="center"/>
            <w:hideMark/>
          </w:tcPr>
          <w:p w14:paraId="4265D788" w14:textId="34A44739" w:rsidR="00A84BC4" w:rsidRPr="00A84BC4" w:rsidRDefault="00A84BC4" w:rsidP="00A84BC4">
            <w:pPr>
              <w:jc w:val="center"/>
              <w:rPr>
                <w:rFonts w:ascii="Times New Roman" w:eastAsia="Times New Roman" w:hAnsi="Times New Roman" w:cs="Times New Roman"/>
                <w:b/>
                <w:bCs/>
                <w:color w:val="000000"/>
                <w:sz w:val="20"/>
                <w:szCs w:val="20"/>
                <w:lang w:eastAsia="es-GT"/>
              </w:rPr>
            </w:pPr>
            <w:r w:rsidRPr="00A84BC4">
              <w:rPr>
                <w:rFonts w:ascii="Times New Roman" w:hAnsi="Times New Roman" w:cs="Times New Roman"/>
                <w:b/>
                <w:bCs/>
                <w:color w:val="000000"/>
                <w:sz w:val="20"/>
                <w:szCs w:val="20"/>
              </w:rPr>
              <w:t>1.2</w:t>
            </w:r>
          </w:p>
        </w:tc>
        <w:tc>
          <w:tcPr>
            <w:tcW w:w="1098" w:type="dxa"/>
            <w:tcBorders>
              <w:top w:val="nil"/>
              <w:left w:val="nil"/>
              <w:bottom w:val="nil"/>
              <w:right w:val="nil"/>
            </w:tcBorders>
            <w:shd w:val="clear" w:color="auto" w:fill="BDD6EE" w:themeFill="accent5" w:themeFillTint="66"/>
            <w:noWrap/>
            <w:vAlign w:val="center"/>
            <w:hideMark/>
          </w:tcPr>
          <w:p w14:paraId="580A5E1D" w14:textId="332076D0" w:rsidR="00A84BC4" w:rsidRPr="00A84BC4" w:rsidRDefault="00A84BC4" w:rsidP="00A84BC4">
            <w:pPr>
              <w:jc w:val="center"/>
              <w:rPr>
                <w:rFonts w:ascii="Times New Roman" w:eastAsia="Times New Roman" w:hAnsi="Times New Roman" w:cs="Times New Roman"/>
                <w:b/>
                <w:bCs/>
                <w:color w:val="000000"/>
                <w:sz w:val="20"/>
                <w:szCs w:val="20"/>
                <w:lang w:eastAsia="es-GT"/>
              </w:rPr>
            </w:pPr>
            <w:r w:rsidRPr="00A84BC4">
              <w:rPr>
                <w:rFonts w:ascii="Times New Roman" w:hAnsi="Times New Roman" w:cs="Times New Roman"/>
                <w:b/>
                <w:bCs/>
                <w:color w:val="000000"/>
                <w:sz w:val="20"/>
                <w:szCs w:val="20"/>
              </w:rPr>
              <w:t>1.6</w:t>
            </w:r>
          </w:p>
        </w:tc>
      </w:tr>
      <w:tr w:rsidR="00975EDA" w:rsidRPr="00F81469" w14:paraId="05FC0820" w14:textId="77777777" w:rsidTr="00B341EB">
        <w:trPr>
          <w:trHeight w:val="238"/>
          <w:jc w:val="center"/>
        </w:trPr>
        <w:tc>
          <w:tcPr>
            <w:tcW w:w="8525" w:type="dxa"/>
            <w:gridSpan w:val="5"/>
            <w:tcBorders>
              <w:top w:val="single" w:sz="8" w:space="0" w:color="auto"/>
              <w:left w:val="nil"/>
              <w:bottom w:val="double" w:sz="6" w:space="0" w:color="auto"/>
              <w:right w:val="nil"/>
            </w:tcBorders>
            <w:shd w:val="clear" w:color="auto" w:fill="auto"/>
            <w:noWrap/>
            <w:vAlign w:val="center"/>
            <w:hideMark/>
          </w:tcPr>
          <w:p w14:paraId="668135DB" w14:textId="77777777" w:rsidR="00975EDA" w:rsidRPr="00F81469" w:rsidRDefault="00975EDA" w:rsidP="00B341EB">
            <w:pPr>
              <w:jc w:val="both"/>
              <w:rPr>
                <w:rFonts w:ascii="Times New Roman" w:eastAsia="Times New Roman" w:hAnsi="Times New Roman" w:cs="Times New Roman"/>
                <w:b/>
                <w:bCs/>
                <w:color w:val="4472C4"/>
                <w:sz w:val="20"/>
                <w:szCs w:val="20"/>
                <w:lang w:eastAsia="es-GT"/>
              </w:rPr>
            </w:pPr>
            <w:r w:rsidRPr="00F81469">
              <w:rPr>
                <w:rFonts w:ascii="Times New Roman" w:eastAsia="Times New Roman" w:hAnsi="Times New Roman" w:cs="Times New Roman"/>
                <w:b/>
                <w:bCs/>
                <w:color w:val="4472C4"/>
                <w:sz w:val="20"/>
                <w:szCs w:val="20"/>
                <w:lang w:eastAsia="es-GT"/>
              </w:rPr>
              <w:t>TRANSACCIONES EN ACTIVOS NO FINANCIEROS</w:t>
            </w:r>
          </w:p>
        </w:tc>
      </w:tr>
      <w:tr w:rsidR="00A84BC4" w:rsidRPr="00F81469" w14:paraId="6E7BB75A" w14:textId="77777777" w:rsidTr="00B341EB">
        <w:trPr>
          <w:trHeight w:val="238"/>
          <w:jc w:val="center"/>
        </w:trPr>
        <w:tc>
          <w:tcPr>
            <w:tcW w:w="3905" w:type="dxa"/>
            <w:tcBorders>
              <w:top w:val="nil"/>
              <w:left w:val="nil"/>
              <w:bottom w:val="nil"/>
              <w:right w:val="nil"/>
            </w:tcBorders>
            <w:shd w:val="clear" w:color="auto" w:fill="auto"/>
            <w:noWrap/>
            <w:vAlign w:val="center"/>
            <w:hideMark/>
          </w:tcPr>
          <w:p w14:paraId="30D066E1" w14:textId="77777777" w:rsidR="00A84BC4" w:rsidRPr="00F81469" w:rsidRDefault="00A84BC4" w:rsidP="00A84BC4">
            <w:pPr>
              <w:jc w:val="both"/>
              <w:rPr>
                <w:rFonts w:ascii="Times New Roman" w:eastAsia="Times New Roman" w:hAnsi="Times New Roman" w:cs="Times New Roman"/>
                <w:color w:val="000000"/>
                <w:sz w:val="20"/>
                <w:szCs w:val="20"/>
                <w:lang w:eastAsia="es-GT"/>
              </w:rPr>
            </w:pPr>
            <w:r w:rsidRPr="00F81469">
              <w:rPr>
                <w:rFonts w:ascii="Times New Roman" w:eastAsia="Times New Roman" w:hAnsi="Times New Roman" w:cs="Times New Roman"/>
                <w:color w:val="000000"/>
                <w:sz w:val="20"/>
                <w:szCs w:val="20"/>
                <w:lang w:eastAsia="es-GT"/>
              </w:rPr>
              <w:t>Inversión bruta en activos no financieros</w:t>
            </w:r>
          </w:p>
        </w:tc>
        <w:tc>
          <w:tcPr>
            <w:tcW w:w="1213" w:type="dxa"/>
            <w:tcBorders>
              <w:top w:val="nil"/>
              <w:left w:val="nil"/>
              <w:bottom w:val="nil"/>
              <w:right w:val="nil"/>
            </w:tcBorders>
            <w:shd w:val="clear" w:color="auto" w:fill="auto"/>
            <w:noWrap/>
            <w:vAlign w:val="center"/>
            <w:hideMark/>
          </w:tcPr>
          <w:p w14:paraId="46078281" w14:textId="0B723A32" w:rsidR="00A84BC4" w:rsidRPr="00A84BC4" w:rsidRDefault="00A84BC4" w:rsidP="00A84BC4">
            <w:pPr>
              <w:jc w:val="center"/>
              <w:rPr>
                <w:rFonts w:ascii="Times New Roman" w:eastAsia="Times New Roman" w:hAnsi="Times New Roman" w:cs="Times New Roman"/>
                <w:color w:val="000000"/>
                <w:sz w:val="20"/>
                <w:szCs w:val="20"/>
                <w:lang w:eastAsia="es-GT"/>
              </w:rPr>
            </w:pPr>
            <w:r w:rsidRPr="00A84BC4">
              <w:rPr>
                <w:rFonts w:ascii="Times New Roman" w:hAnsi="Times New Roman" w:cs="Times New Roman"/>
                <w:color w:val="000000"/>
                <w:sz w:val="20"/>
                <w:szCs w:val="20"/>
              </w:rPr>
              <w:t>16,703.6</w:t>
            </w:r>
          </w:p>
        </w:tc>
        <w:tc>
          <w:tcPr>
            <w:tcW w:w="1214" w:type="dxa"/>
            <w:tcBorders>
              <w:top w:val="nil"/>
              <w:left w:val="nil"/>
              <w:bottom w:val="nil"/>
              <w:right w:val="nil"/>
            </w:tcBorders>
            <w:shd w:val="clear" w:color="auto" w:fill="auto"/>
            <w:noWrap/>
            <w:vAlign w:val="center"/>
            <w:hideMark/>
          </w:tcPr>
          <w:p w14:paraId="2926749E" w14:textId="0859BB38" w:rsidR="00A84BC4" w:rsidRPr="00A84BC4" w:rsidRDefault="00A84BC4" w:rsidP="00A84BC4">
            <w:pPr>
              <w:jc w:val="center"/>
              <w:rPr>
                <w:rFonts w:ascii="Times New Roman" w:eastAsia="Times New Roman" w:hAnsi="Times New Roman" w:cs="Times New Roman"/>
                <w:color w:val="000000"/>
                <w:sz w:val="20"/>
                <w:szCs w:val="20"/>
                <w:lang w:eastAsia="es-GT"/>
              </w:rPr>
            </w:pPr>
            <w:r w:rsidRPr="00A84BC4">
              <w:rPr>
                <w:rFonts w:ascii="Times New Roman" w:hAnsi="Times New Roman" w:cs="Times New Roman"/>
                <w:color w:val="000000"/>
                <w:sz w:val="20"/>
                <w:szCs w:val="20"/>
              </w:rPr>
              <w:t>19,834.7</w:t>
            </w:r>
          </w:p>
        </w:tc>
        <w:tc>
          <w:tcPr>
            <w:tcW w:w="1095" w:type="dxa"/>
            <w:tcBorders>
              <w:top w:val="double" w:sz="6" w:space="0" w:color="auto"/>
              <w:left w:val="dotDash" w:sz="4" w:space="0" w:color="auto"/>
              <w:bottom w:val="nil"/>
              <w:right w:val="nil"/>
            </w:tcBorders>
            <w:shd w:val="clear" w:color="auto" w:fill="auto"/>
            <w:noWrap/>
            <w:vAlign w:val="center"/>
            <w:hideMark/>
          </w:tcPr>
          <w:p w14:paraId="43549E80" w14:textId="66802F6C" w:rsidR="00A84BC4" w:rsidRPr="00A84BC4" w:rsidRDefault="00A84BC4" w:rsidP="00A84BC4">
            <w:pPr>
              <w:jc w:val="center"/>
              <w:rPr>
                <w:rFonts w:ascii="Times New Roman" w:eastAsia="Times New Roman" w:hAnsi="Times New Roman" w:cs="Times New Roman"/>
                <w:color w:val="000000"/>
                <w:sz w:val="20"/>
                <w:szCs w:val="20"/>
                <w:lang w:eastAsia="es-GT"/>
              </w:rPr>
            </w:pPr>
            <w:r w:rsidRPr="00A84BC4">
              <w:rPr>
                <w:rFonts w:ascii="Times New Roman" w:hAnsi="Times New Roman" w:cs="Times New Roman"/>
                <w:color w:val="000000"/>
                <w:sz w:val="20"/>
                <w:szCs w:val="20"/>
              </w:rPr>
              <w:t>2.3</w:t>
            </w:r>
          </w:p>
        </w:tc>
        <w:tc>
          <w:tcPr>
            <w:tcW w:w="1098" w:type="dxa"/>
            <w:tcBorders>
              <w:top w:val="nil"/>
              <w:left w:val="nil"/>
              <w:bottom w:val="nil"/>
              <w:right w:val="nil"/>
            </w:tcBorders>
            <w:shd w:val="clear" w:color="auto" w:fill="auto"/>
            <w:noWrap/>
            <w:vAlign w:val="center"/>
            <w:hideMark/>
          </w:tcPr>
          <w:p w14:paraId="20516AD2" w14:textId="77741B15" w:rsidR="00A84BC4" w:rsidRPr="00A84BC4" w:rsidRDefault="00A84BC4" w:rsidP="00A84BC4">
            <w:pPr>
              <w:jc w:val="center"/>
              <w:rPr>
                <w:rFonts w:ascii="Times New Roman" w:eastAsia="Times New Roman" w:hAnsi="Times New Roman" w:cs="Times New Roman"/>
                <w:color w:val="000000"/>
                <w:sz w:val="20"/>
                <w:szCs w:val="20"/>
                <w:lang w:eastAsia="es-GT"/>
              </w:rPr>
            </w:pPr>
            <w:r w:rsidRPr="00A84BC4">
              <w:rPr>
                <w:rFonts w:ascii="Times New Roman" w:hAnsi="Times New Roman" w:cs="Times New Roman"/>
                <w:color w:val="000000"/>
                <w:sz w:val="20"/>
                <w:szCs w:val="20"/>
              </w:rPr>
              <w:t>2.5</w:t>
            </w:r>
          </w:p>
        </w:tc>
      </w:tr>
      <w:tr w:rsidR="00A84BC4" w:rsidRPr="00F81469" w14:paraId="03453F02" w14:textId="77777777" w:rsidTr="00B341EB">
        <w:trPr>
          <w:trHeight w:val="238"/>
          <w:jc w:val="center"/>
        </w:trPr>
        <w:tc>
          <w:tcPr>
            <w:tcW w:w="3905" w:type="dxa"/>
            <w:tcBorders>
              <w:top w:val="nil"/>
              <w:left w:val="nil"/>
              <w:bottom w:val="nil"/>
              <w:right w:val="nil"/>
            </w:tcBorders>
            <w:shd w:val="clear" w:color="auto" w:fill="auto"/>
            <w:noWrap/>
            <w:vAlign w:val="center"/>
            <w:hideMark/>
          </w:tcPr>
          <w:p w14:paraId="1B35F953" w14:textId="77777777" w:rsidR="00A84BC4" w:rsidRPr="00F81469" w:rsidRDefault="00A84BC4" w:rsidP="00A84BC4">
            <w:pPr>
              <w:jc w:val="both"/>
              <w:rPr>
                <w:rFonts w:ascii="Times New Roman" w:eastAsia="Times New Roman" w:hAnsi="Times New Roman" w:cs="Times New Roman"/>
                <w:color w:val="000000"/>
                <w:sz w:val="20"/>
                <w:szCs w:val="20"/>
                <w:lang w:eastAsia="es-GT"/>
              </w:rPr>
            </w:pPr>
            <w:r w:rsidRPr="00F81469">
              <w:rPr>
                <w:rFonts w:ascii="Times New Roman" w:eastAsia="Times New Roman" w:hAnsi="Times New Roman" w:cs="Times New Roman"/>
                <w:color w:val="000000"/>
                <w:sz w:val="20"/>
                <w:szCs w:val="20"/>
                <w:lang w:eastAsia="es-GT"/>
              </w:rPr>
              <w:t>Erogación</w:t>
            </w:r>
          </w:p>
        </w:tc>
        <w:tc>
          <w:tcPr>
            <w:tcW w:w="1213" w:type="dxa"/>
            <w:tcBorders>
              <w:top w:val="nil"/>
              <w:left w:val="nil"/>
              <w:bottom w:val="nil"/>
              <w:right w:val="nil"/>
            </w:tcBorders>
            <w:shd w:val="clear" w:color="auto" w:fill="auto"/>
            <w:noWrap/>
            <w:vAlign w:val="center"/>
            <w:hideMark/>
          </w:tcPr>
          <w:p w14:paraId="00AAA1EC" w14:textId="7A2DBD51" w:rsidR="00A84BC4" w:rsidRPr="00A84BC4" w:rsidRDefault="00A84BC4" w:rsidP="00A84BC4">
            <w:pPr>
              <w:jc w:val="center"/>
              <w:rPr>
                <w:rFonts w:ascii="Times New Roman" w:eastAsia="Times New Roman" w:hAnsi="Times New Roman" w:cs="Times New Roman"/>
                <w:color w:val="000000"/>
                <w:sz w:val="20"/>
                <w:szCs w:val="20"/>
                <w:lang w:eastAsia="es-GT"/>
              </w:rPr>
            </w:pPr>
            <w:r w:rsidRPr="00A84BC4">
              <w:rPr>
                <w:rFonts w:ascii="Times New Roman" w:hAnsi="Times New Roman" w:cs="Times New Roman"/>
                <w:color w:val="000000"/>
                <w:sz w:val="20"/>
                <w:szCs w:val="20"/>
              </w:rPr>
              <w:t>128,830.3</w:t>
            </w:r>
          </w:p>
        </w:tc>
        <w:tc>
          <w:tcPr>
            <w:tcW w:w="1214" w:type="dxa"/>
            <w:tcBorders>
              <w:top w:val="nil"/>
              <w:left w:val="nil"/>
              <w:bottom w:val="nil"/>
              <w:right w:val="nil"/>
            </w:tcBorders>
            <w:shd w:val="clear" w:color="auto" w:fill="auto"/>
            <w:noWrap/>
            <w:vAlign w:val="center"/>
            <w:hideMark/>
          </w:tcPr>
          <w:p w14:paraId="2D129A20" w14:textId="618C8972" w:rsidR="00A84BC4" w:rsidRPr="00A84BC4" w:rsidRDefault="00A84BC4" w:rsidP="00A84BC4">
            <w:pPr>
              <w:jc w:val="center"/>
              <w:rPr>
                <w:rFonts w:ascii="Times New Roman" w:eastAsia="Times New Roman" w:hAnsi="Times New Roman" w:cs="Times New Roman"/>
                <w:color w:val="000000"/>
                <w:sz w:val="20"/>
                <w:szCs w:val="20"/>
                <w:lang w:eastAsia="es-GT"/>
              </w:rPr>
            </w:pPr>
            <w:r w:rsidRPr="00A84BC4">
              <w:rPr>
                <w:rFonts w:ascii="Times New Roman" w:hAnsi="Times New Roman" w:cs="Times New Roman"/>
                <w:color w:val="000000"/>
                <w:sz w:val="20"/>
                <w:szCs w:val="20"/>
              </w:rPr>
              <w:t>141,217.1</w:t>
            </w:r>
          </w:p>
        </w:tc>
        <w:tc>
          <w:tcPr>
            <w:tcW w:w="1095" w:type="dxa"/>
            <w:tcBorders>
              <w:top w:val="nil"/>
              <w:left w:val="dotDash" w:sz="4" w:space="0" w:color="auto"/>
              <w:bottom w:val="nil"/>
              <w:right w:val="nil"/>
            </w:tcBorders>
            <w:shd w:val="clear" w:color="auto" w:fill="auto"/>
            <w:noWrap/>
            <w:vAlign w:val="center"/>
            <w:hideMark/>
          </w:tcPr>
          <w:p w14:paraId="3DAF8ABA" w14:textId="79AFE7F5" w:rsidR="00A84BC4" w:rsidRPr="00A84BC4" w:rsidRDefault="00A84BC4" w:rsidP="00A84BC4">
            <w:pPr>
              <w:jc w:val="center"/>
              <w:rPr>
                <w:rFonts w:ascii="Times New Roman" w:eastAsia="Times New Roman" w:hAnsi="Times New Roman" w:cs="Times New Roman"/>
                <w:color w:val="000000"/>
                <w:sz w:val="20"/>
                <w:szCs w:val="20"/>
                <w:lang w:eastAsia="es-GT"/>
              </w:rPr>
            </w:pPr>
            <w:r w:rsidRPr="00A84BC4">
              <w:rPr>
                <w:rFonts w:ascii="Times New Roman" w:hAnsi="Times New Roman" w:cs="Times New Roman"/>
                <w:color w:val="000000"/>
                <w:sz w:val="20"/>
                <w:szCs w:val="20"/>
              </w:rPr>
              <w:t>17.5</w:t>
            </w:r>
          </w:p>
        </w:tc>
        <w:tc>
          <w:tcPr>
            <w:tcW w:w="1098" w:type="dxa"/>
            <w:tcBorders>
              <w:top w:val="nil"/>
              <w:left w:val="nil"/>
              <w:bottom w:val="nil"/>
              <w:right w:val="nil"/>
            </w:tcBorders>
            <w:shd w:val="clear" w:color="auto" w:fill="auto"/>
            <w:noWrap/>
            <w:vAlign w:val="center"/>
            <w:hideMark/>
          </w:tcPr>
          <w:p w14:paraId="1269E364" w14:textId="1EF87CCC" w:rsidR="00A84BC4" w:rsidRPr="00A84BC4" w:rsidRDefault="00A84BC4" w:rsidP="00A84BC4">
            <w:pPr>
              <w:jc w:val="center"/>
              <w:rPr>
                <w:rFonts w:ascii="Times New Roman" w:eastAsia="Times New Roman" w:hAnsi="Times New Roman" w:cs="Times New Roman"/>
                <w:color w:val="000000"/>
                <w:sz w:val="20"/>
                <w:szCs w:val="20"/>
                <w:lang w:eastAsia="es-GT"/>
              </w:rPr>
            </w:pPr>
            <w:r w:rsidRPr="00A84BC4">
              <w:rPr>
                <w:rFonts w:ascii="Times New Roman" w:hAnsi="Times New Roman" w:cs="Times New Roman"/>
                <w:color w:val="000000"/>
                <w:sz w:val="20"/>
                <w:szCs w:val="20"/>
              </w:rPr>
              <w:t>17.7</w:t>
            </w:r>
          </w:p>
        </w:tc>
      </w:tr>
      <w:tr w:rsidR="00A84BC4" w:rsidRPr="00F81469" w14:paraId="3DD3D281" w14:textId="77777777" w:rsidTr="00B341EB">
        <w:trPr>
          <w:trHeight w:val="238"/>
          <w:jc w:val="center"/>
        </w:trPr>
        <w:tc>
          <w:tcPr>
            <w:tcW w:w="3905" w:type="dxa"/>
            <w:tcBorders>
              <w:top w:val="nil"/>
              <w:left w:val="nil"/>
              <w:bottom w:val="nil"/>
              <w:right w:val="nil"/>
            </w:tcBorders>
            <w:shd w:val="clear" w:color="auto" w:fill="auto"/>
            <w:noWrap/>
            <w:vAlign w:val="center"/>
            <w:hideMark/>
          </w:tcPr>
          <w:p w14:paraId="128EF4BD" w14:textId="77777777" w:rsidR="00A84BC4" w:rsidRPr="00F81469" w:rsidRDefault="00A84BC4" w:rsidP="00A84BC4">
            <w:pPr>
              <w:jc w:val="both"/>
              <w:rPr>
                <w:rFonts w:ascii="Times New Roman" w:eastAsia="Times New Roman" w:hAnsi="Times New Roman" w:cs="Times New Roman"/>
                <w:b/>
                <w:bCs/>
                <w:color w:val="000000"/>
                <w:sz w:val="20"/>
                <w:szCs w:val="20"/>
                <w:lang w:eastAsia="es-GT"/>
              </w:rPr>
            </w:pPr>
            <w:r w:rsidRPr="00F81469">
              <w:rPr>
                <w:rFonts w:ascii="Times New Roman" w:eastAsia="Times New Roman" w:hAnsi="Times New Roman" w:cs="Times New Roman"/>
                <w:b/>
                <w:bCs/>
                <w:color w:val="000000"/>
                <w:sz w:val="20"/>
                <w:szCs w:val="20"/>
                <w:lang w:eastAsia="es-GT"/>
              </w:rPr>
              <w:t>Resultado Primario</w:t>
            </w:r>
          </w:p>
        </w:tc>
        <w:tc>
          <w:tcPr>
            <w:tcW w:w="1213" w:type="dxa"/>
            <w:tcBorders>
              <w:top w:val="nil"/>
              <w:left w:val="nil"/>
              <w:bottom w:val="nil"/>
              <w:right w:val="nil"/>
            </w:tcBorders>
            <w:shd w:val="clear" w:color="auto" w:fill="auto"/>
            <w:noWrap/>
            <w:vAlign w:val="center"/>
            <w:hideMark/>
          </w:tcPr>
          <w:p w14:paraId="114FB54E" w14:textId="33D1FEB6" w:rsidR="00A84BC4" w:rsidRPr="00A84BC4" w:rsidRDefault="00A84BC4" w:rsidP="00A84BC4">
            <w:pPr>
              <w:jc w:val="center"/>
              <w:rPr>
                <w:rFonts w:ascii="Times New Roman" w:eastAsia="Times New Roman" w:hAnsi="Times New Roman" w:cs="Times New Roman"/>
                <w:b/>
                <w:bCs/>
                <w:color w:val="000000"/>
                <w:sz w:val="20"/>
                <w:szCs w:val="20"/>
                <w:lang w:eastAsia="es-GT"/>
              </w:rPr>
            </w:pPr>
            <w:r w:rsidRPr="00A84BC4">
              <w:rPr>
                <w:rFonts w:ascii="Times New Roman" w:hAnsi="Times New Roman" w:cs="Times New Roman"/>
                <w:b/>
                <w:bCs/>
                <w:color w:val="000000"/>
                <w:sz w:val="20"/>
                <w:szCs w:val="20"/>
              </w:rPr>
              <w:t>3,438.8</w:t>
            </w:r>
          </w:p>
        </w:tc>
        <w:tc>
          <w:tcPr>
            <w:tcW w:w="1214" w:type="dxa"/>
            <w:tcBorders>
              <w:top w:val="nil"/>
              <w:left w:val="nil"/>
              <w:bottom w:val="nil"/>
              <w:right w:val="nil"/>
            </w:tcBorders>
            <w:shd w:val="clear" w:color="auto" w:fill="auto"/>
            <w:noWrap/>
            <w:vAlign w:val="center"/>
            <w:hideMark/>
          </w:tcPr>
          <w:p w14:paraId="39EB361F" w14:textId="24839F2F" w:rsidR="00A84BC4" w:rsidRPr="00A84BC4" w:rsidRDefault="00A84BC4" w:rsidP="00A84BC4">
            <w:pPr>
              <w:jc w:val="center"/>
              <w:rPr>
                <w:rFonts w:ascii="Times New Roman" w:eastAsia="Times New Roman" w:hAnsi="Times New Roman" w:cs="Times New Roman"/>
                <w:b/>
                <w:bCs/>
                <w:color w:val="000000"/>
                <w:sz w:val="20"/>
                <w:szCs w:val="20"/>
                <w:lang w:eastAsia="es-GT"/>
              </w:rPr>
            </w:pPr>
            <w:r w:rsidRPr="00A84BC4">
              <w:rPr>
                <w:rFonts w:ascii="Times New Roman" w:hAnsi="Times New Roman" w:cs="Times New Roman"/>
                <w:b/>
                <w:bCs/>
                <w:color w:val="000000"/>
                <w:sz w:val="20"/>
                <w:szCs w:val="20"/>
              </w:rPr>
              <w:t>2,280.6</w:t>
            </w:r>
          </w:p>
        </w:tc>
        <w:tc>
          <w:tcPr>
            <w:tcW w:w="1095" w:type="dxa"/>
            <w:tcBorders>
              <w:top w:val="nil"/>
              <w:left w:val="dotDash" w:sz="4" w:space="0" w:color="auto"/>
              <w:bottom w:val="nil"/>
              <w:right w:val="nil"/>
            </w:tcBorders>
            <w:shd w:val="clear" w:color="auto" w:fill="auto"/>
            <w:noWrap/>
            <w:vAlign w:val="center"/>
            <w:hideMark/>
          </w:tcPr>
          <w:p w14:paraId="0F88135D" w14:textId="590BC695" w:rsidR="00A84BC4" w:rsidRPr="00A84BC4" w:rsidRDefault="00A84BC4" w:rsidP="00A84BC4">
            <w:pPr>
              <w:jc w:val="center"/>
              <w:rPr>
                <w:rFonts w:ascii="Times New Roman" w:eastAsia="Times New Roman" w:hAnsi="Times New Roman" w:cs="Times New Roman"/>
                <w:b/>
                <w:bCs/>
                <w:color w:val="000000"/>
                <w:sz w:val="20"/>
                <w:szCs w:val="20"/>
                <w:lang w:eastAsia="es-GT"/>
              </w:rPr>
            </w:pPr>
            <w:r w:rsidRPr="00A84BC4">
              <w:rPr>
                <w:rFonts w:ascii="Times New Roman" w:hAnsi="Times New Roman" w:cs="Times New Roman"/>
                <w:b/>
                <w:bCs/>
                <w:color w:val="000000"/>
                <w:sz w:val="20"/>
                <w:szCs w:val="20"/>
              </w:rPr>
              <w:t>0.5</w:t>
            </w:r>
          </w:p>
        </w:tc>
        <w:tc>
          <w:tcPr>
            <w:tcW w:w="1098" w:type="dxa"/>
            <w:tcBorders>
              <w:top w:val="nil"/>
              <w:left w:val="nil"/>
              <w:bottom w:val="nil"/>
              <w:right w:val="nil"/>
            </w:tcBorders>
            <w:shd w:val="clear" w:color="auto" w:fill="auto"/>
            <w:noWrap/>
            <w:vAlign w:val="center"/>
            <w:hideMark/>
          </w:tcPr>
          <w:p w14:paraId="725B90ED" w14:textId="068979F5" w:rsidR="00A84BC4" w:rsidRPr="00A84BC4" w:rsidRDefault="00A84BC4" w:rsidP="00A84BC4">
            <w:pPr>
              <w:jc w:val="center"/>
              <w:rPr>
                <w:rFonts w:ascii="Times New Roman" w:eastAsia="Times New Roman" w:hAnsi="Times New Roman" w:cs="Times New Roman"/>
                <w:b/>
                <w:bCs/>
                <w:color w:val="000000"/>
                <w:sz w:val="20"/>
                <w:szCs w:val="20"/>
                <w:lang w:eastAsia="es-GT"/>
              </w:rPr>
            </w:pPr>
            <w:r w:rsidRPr="00A84BC4">
              <w:rPr>
                <w:rFonts w:ascii="Times New Roman" w:hAnsi="Times New Roman" w:cs="Times New Roman"/>
                <w:b/>
                <w:bCs/>
                <w:color w:val="000000"/>
                <w:sz w:val="20"/>
                <w:szCs w:val="20"/>
              </w:rPr>
              <w:t>0.3</w:t>
            </w:r>
          </w:p>
        </w:tc>
      </w:tr>
      <w:tr w:rsidR="00A84BC4" w:rsidRPr="00F81469" w14:paraId="76E78F65" w14:textId="77777777" w:rsidTr="00B341EB">
        <w:trPr>
          <w:trHeight w:val="238"/>
          <w:jc w:val="center"/>
        </w:trPr>
        <w:tc>
          <w:tcPr>
            <w:tcW w:w="3905" w:type="dxa"/>
            <w:tcBorders>
              <w:top w:val="nil"/>
              <w:left w:val="nil"/>
              <w:bottom w:val="nil"/>
              <w:right w:val="nil"/>
            </w:tcBorders>
            <w:shd w:val="clear" w:color="auto" w:fill="8496B0" w:themeFill="text2" w:themeFillTint="99"/>
            <w:noWrap/>
            <w:vAlign w:val="center"/>
            <w:hideMark/>
          </w:tcPr>
          <w:p w14:paraId="023F62D4" w14:textId="77777777" w:rsidR="00A84BC4" w:rsidRPr="00F81469" w:rsidRDefault="00A84BC4" w:rsidP="00A84BC4">
            <w:pPr>
              <w:jc w:val="both"/>
              <w:rPr>
                <w:rFonts w:ascii="Times New Roman" w:eastAsia="Times New Roman" w:hAnsi="Times New Roman" w:cs="Times New Roman"/>
                <w:b/>
                <w:bCs/>
                <w:color w:val="000000"/>
                <w:sz w:val="20"/>
                <w:szCs w:val="20"/>
                <w:lang w:eastAsia="es-GT"/>
              </w:rPr>
            </w:pPr>
            <w:r w:rsidRPr="00F81469">
              <w:rPr>
                <w:rFonts w:ascii="Times New Roman" w:eastAsia="Times New Roman" w:hAnsi="Times New Roman" w:cs="Times New Roman"/>
                <w:b/>
                <w:bCs/>
                <w:color w:val="000000"/>
                <w:sz w:val="20"/>
                <w:szCs w:val="20"/>
                <w:lang w:eastAsia="es-GT"/>
              </w:rPr>
              <w:t>Préstamo (+) / endeudamiento (-)</w:t>
            </w:r>
          </w:p>
        </w:tc>
        <w:tc>
          <w:tcPr>
            <w:tcW w:w="1213" w:type="dxa"/>
            <w:tcBorders>
              <w:top w:val="nil"/>
              <w:left w:val="nil"/>
              <w:bottom w:val="nil"/>
              <w:right w:val="nil"/>
            </w:tcBorders>
            <w:shd w:val="clear" w:color="auto" w:fill="8496B0" w:themeFill="text2" w:themeFillTint="99"/>
            <w:noWrap/>
            <w:vAlign w:val="center"/>
            <w:hideMark/>
          </w:tcPr>
          <w:p w14:paraId="54BF08D3" w14:textId="393641CE" w:rsidR="00A84BC4" w:rsidRPr="00A84BC4" w:rsidRDefault="00A84BC4" w:rsidP="00A84BC4">
            <w:pPr>
              <w:jc w:val="center"/>
              <w:rPr>
                <w:rFonts w:ascii="Times New Roman" w:eastAsia="Times New Roman" w:hAnsi="Times New Roman" w:cs="Times New Roman"/>
                <w:b/>
                <w:bCs/>
                <w:color w:val="000000"/>
                <w:sz w:val="20"/>
                <w:szCs w:val="20"/>
                <w:lang w:eastAsia="es-GT"/>
              </w:rPr>
            </w:pPr>
            <w:r w:rsidRPr="00A84BC4">
              <w:rPr>
                <w:rFonts w:ascii="Times New Roman" w:hAnsi="Times New Roman" w:cs="Times New Roman"/>
                <w:b/>
                <w:bCs/>
                <w:color w:val="000000"/>
                <w:sz w:val="20"/>
                <w:szCs w:val="20"/>
              </w:rPr>
              <w:t>-7,567.3</w:t>
            </w:r>
          </w:p>
        </w:tc>
        <w:tc>
          <w:tcPr>
            <w:tcW w:w="1214" w:type="dxa"/>
            <w:tcBorders>
              <w:top w:val="nil"/>
              <w:left w:val="nil"/>
              <w:bottom w:val="nil"/>
              <w:right w:val="nil"/>
            </w:tcBorders>
            <w:shd w:val="clear" w:color="auto" w:fill="8496B0" w:themeFill="text2" w:themeFillTint="99"/>
            <w:noWrap/>
            <w:vAlign w:val="center"/>
            <w:hideMark/>
          </w:tcPr>
          <w:p w14:paraId="3FC26E22" w14:textId="6E33F36F" w:rsidR="00A84BC4" w:rsidRPr="00A84BC4" w:rsidRDefault="00A84BC4" w:rsidP="00A84BC4">
            <w:pPr>
              <w:jc w:val="center"/>
              <w:rPr>
                <w:rFonts w:ascii="Times New Roman" w:eastAsia="Times New Roman" w:hAnsi="Times New Roman" w:cs="Times New Roman"/>
                <w:b/>
                <w:bCs/>
                <w:color w:val="000000"/>
                <w:sz w:val="20"/>
                <w:szCs w:val="20"/>
                <w:lang w:eastAsia="es-GT"/>
              </w:rPr>
            </w:pPr>
            <w:r w:rsidRPr="00A84BC4">
              <w:rPr>
                <w:rFonts w:ascii="Times New Roman" w:hAnsi="Times New Roman" w:cs="Times New Roman"/>
                <w:b/>
                <w:bCs/>
                <w:color w:val="000000"/>
                <w:sz w:val="20"/>
                <w:szCs w:val="20"/>
              </w:rPr>
              <w:t>-6,930.4</w:t>
            </w:r>
          </w:p>
        </w:tc>
        <w:tc>
          <w:tcPr>
            <w:tcW w:w="1095" w:type="dxa"/>
            <w:tcBorders>
              <w:top w:val="nil"/>
              <w:left w:val="dotDash" w:sz="4" w:space="0" w:color="auto"/>
              <w:bottom w:val="nil"/>
              <w:right w:val="nil"/>
            </w:tcBorders>
            <w:shd w:val="clear" w:color="auto" w:fill="8496B0" w:themeFill="text2" w:themeFillTint="99"/>
            <w:noWrap/>
            <w:vAlign w:val="center"/>
            <w:hideMark/>
          </w:tcPr>
          <w:p w14:paraId="2107D2EA" w14:textId="066FD0D5" w:rsidR="00A84BC4" w:rsidRPr="00A84BC4" w:rsidRDefault="00A84BC4" w:rsidP="00A84BC4">
            <w:pPr>
              <w:jc w:val="center"/>
              <w:rPr>
                <w:rFonts w:ascii="Times New Roman" w:eastAsia="Times New Roman" w:hAnsi="Times New Roman" w:cs="Times New Roman"/>
                <w:b/>
                <w:bCs/>
                <w:color w:val="000000"/>
                <w:sz w:val="20"/>
                <w:szCs w:val="20"/>
                <w:lang w:eastAsia="es-GT"/>
              </w:rPr>
            </w:pPr>
            <w:r w:rsidRPr="00A84BC4">
              <w:rPr>
                <w:rFonts w:ascii="Times New Roman" w:hAnsi="Times New Roman" w:cs="Times New Roman"/>
                <w:b/>
                <w:bCs/>
                <w:color w:val="000000"/>
                <w:sz w:val="20"/>
                <w:szCs w:val="20"/>
              </w:rPr>
              <w:t>-1.0</w:t>
            </w:r>
          </w:p>
        </w:tc>
        <w:tc>
          <w:tcPr>
            <w:tcW w:w="1098" w:type="dxa"/>
            <w:tcBorders>
              <w:top w:val="nil"/>
              <w:left w:val="nil"/>
              <w:bottom w:val="nil"/>
              <w:right w:val="nil"/>
            </w:tcBorders>
            <w:shd w:val="clear" w:color="auto" w:fill="8496B0" w:themeFill="text2" w:themeFillTint="99"/>
            <w:noWrap/>
            <w:vAlign w:val="center"/>
            <w:hideMark/>
          </w:tcPr>
          <w:p w14:paraId="44331634" w14:textId="63E97C76" w:rsidR="00A84BC4" w:rsidRPr="00A84BC4" w:rsidRDefault="00A84BC4" w:rsidP="00A84BC4">
            <w:pPr>
              <w:jc w:val="center"/>
              <w:rPr>
                <w:rFonts w:ascii="Times New Roman" w:eastAsia="Times New Roman" w:hAnsi="Times New Roman" w:cs="Times New Roman"/>
                <w:b/>
                <w:bCs/>
                <w:color w:val="000000"/>
                <w:sz w:val="20"/>
                <w:szCs w:val="20"/>
                <w:lang w:eastAsia="es-GT"/>
              </w:rPr>
            </w:pPr>
            <w:r w:rsidRPr="00A84BC4">
              <w:rPr>
                <w:rFonts w:ascii="Times New Roman" w:hAnsi="Times New Roman" w:cs="Times New Roman"/>
                <w:b/>
                <w:bCs/>
                <w:color w:val="000000"/>
                <w:sz w:val="20"/>
                <w:szCs w:val="20"/>
              </w:rPr>
              <w:t>-0.9</w:t>
            </w:r>
          </w:p>
        </w:tc>
      </w:tr>
      <w:tr w:rsidR="00975EDA" w:rsidRPr="00F81469" w14:paraId="2265A8E9" w14:textId="77777777" w:rsidTr="00B341EB">
        <w:trPr>
          <w:trHeight w:val="238"/>
          <w:jc w:val="center"/>
        </w:trPr>
        <w:tc>
          <w:tcPr>
            <w:tcW w:w="8525" w:type="dxa"/>
            <w:gridSpan w:val="5"/>
            <w:tcBorders>
              <w:top w:val="single" w:sz="8" w:space="0" w:color="auto"/>
              <w:left w:val="nil"/>
              <w:bottom w:val="double" w:sz="6" w:space="0" w:color="auto"/>
              <w:right w:val="nil"/>
            </w:tcBorders>
            <w:shd w:val="clear" w:color="auto" w:fill="auto"/>
            <w:noWrap/>
            <w:vAlign w:val="center"/>
            <w:hideMark/>
          </w:tcPr>
          <w:p w14:paraId="2C7512F9" w14:textId="77777777" w:rsidR="00975EDA" w:rsidRPr="00F81469" w:rsidRDefault="00975EDA" w:rsidP="00B341EB">
            <w:pPr>
              <w:jc w:val="both"/>
              <w:rPr>
                <w:rFonts w:ascii="Times New Roman" w:eastAsia="Times New Roman" w:hAnsi="Times New Roman" w:cs="Times New Roman"/>
                <w:b/>
                <w:bCs/>
                <w:color w:val="4472C4"/>
                <w:sz w:val="20"/>
                <w:szCs w:val="20"/>
                <w:lang w:eastAsia="es-GT"/>
              </w:rPr>
            </w:pPr>
            <w:r w:rsidRPr="00F81469">
              <w:rPr>
                <w:rFonts w:ascii="Times New Roman" w:eastAsia="Times New Roman" w:hAnsi="Times New Roman" w:cs="Times New Roman"/>
                <w:b/>
                <w:bCs/>
                <w:color w:val="4472C4"/>
                <w:sz w:val="20"/>
                <w:szCs w:val="20"/>
                <w:lang w:eastAsia="es-GT"/>
              </w:rPr>
              <w:t>TRANSACCIONES EN ACTIVOS Y PASIVOS FINANCIEROS (FINANCIMIENTO)</w:t>
            </w:r>
          </w:p>
        </w:tc>
      </w:tr>
      <w:tr w:rsidR="00574DD9" w:rsidRPr="00F81469" w14:paraId="51694C31" w14:textId="77777777" w:rsidTr="00B341EB">
        <w:trPr>
          <w:trHeight w:val="238"/>
          <w:jc w:val="center"/>
        </w:trPr>
        <w:tc>
          <w:tcPr>
            <w:tcW w:w="3905" w:type="dxa"/>
            <w:tcBorders>
              <w:top w:val="nil"/>
              <w:left w:val="nil"/>
              <w:bottom w:val="nil"/>
              <w:right w:val="nil"/>
            </w:tcBorders>
            <w:shd w:val="clear" w:color="auto" w:fill="auto"/>
            <w:noWrap/>
            <w:vAlign w:val="center"/>
            <w:hideMark/>
          </w:tcPr>
          <w:p w14:paraId="310DACF1" w14:textId="77777777" w:rsidR="00574DD9" w:rsidRPr="00F81469" w:rsidRDefault="00574DD9" w:rsidP="00574DD9">
            <w:pPr>
              <w:jc w:val="both"/>
              <w:rPr>
                <w:rFonts w:ascii="Times New Roman" w:eastAsia="Times New Roman" w:hAnsi="Times New Roman" w:cs="Times New Roman"/>
                <w:b/>
                <w:bCs/>
                <w:color w:val="000000"/>
                <w:sz w:val="20"/>
                <w:szCs w:val="20"/>
                <w:lang w:eastAsia="es-GT"/>
              </w:rPr>
            </w:pPr>
            <w:r w:rsidRPr="00F81469">
              <w:rPr>
                <w:rFonts w:ascii="Times New Roman" w:eastAsia="Times New Roman" w:hAnsi="Times New Roman" w:cs="Times New Roman"/>
                <w:b/>
                <w:bCs/>
                <w:color w:val="000000"/>
                <w:sz w:val="20"/>
                <w:szCs w:val="20"/>
                <w:lang w:eastAsia="es-GT"/>
              </w:rPr>
              <w:t>Adquisición neta de activos financieros</w:t>
            </w:r>
          </w:p>
        </w:tc>
        <w:tc>
          <w:tcPr>
            <w:tcW w:w="1213" w:type="dxa"/>
            <w:tcBorders>
              <w:top w:val="nil"/>
              <w:left w:val="nil"/>
              <w:bottom w:val="nil"/>
              <w:right w:val="nil"/>
            </w:tcBorders>
            <w:shd w:val="clear" w:color="auto" w:fill="auto"/>
            <w:noWrap/>
            <w:vAlign w:val="center"/>
            <w:hideMark/>
          </w:tcPr>
          <w:p w14:paraId="74B05929" w14:textId="4881B0FB" w:rsidR="00574DD9" w:rsidRPr="00574DD9" w:rsidRDefault="00574DD9" w:rsidP="00574DD9">
            <w:pPr>
              <w:jc w:val="center"/>
              <w:rPr>
                <w:rFonts w:ascii="Times New Roman" w:eastAsia="Times New Roman" w:hAnsi="Times New Roman" w:cs="Times New Roman"/>
                <w:b/>
                <w:bCs/>
                <w:color w:val="000000"/>
                <w:sz w:val="20"/>
                <w:szCs w:val="20"/>
                <w:lang w:eastAsia="es-GT"/>
              </w:rPr>
            </w:pPr>
            <w:r w:rsidRPr="00574DD9">
              <w:rPr>
                <w:rFonts w:ascii="Times New Roman" w:hAnsi="Times New Roman" w:cs="Times New Roman"/>
                <w:b/>
                <w:bCs/>
                <w:color w:val="000000"/>
                <w:sz w:val="20"/>
                <w:szCs w:val="20"/>
              </w:rPr>
              <w:t>-503.8</w:t>
            </w:r>
          </w:p>
        </w:tc>
        <w:tc>
          <w:tcPr>
            <w:tcW w:w="1214" w:type="dxa"/>
            <w:tcBorders>
              <w:top w:val="nil"/>
              <w:left w:val="nil"/>
              <w:bottom w:val="nil"/>
              <w:right w:val="nil"/>
            </w:tcBorders>
            <w:shd w:val="clear" w:color="auto" w:fill="auto"/>
            <w:noWrap/>
            <w:vAlign w:val="center"/>
            <w:hideMark/>
          </w:tcPr>
          <w:p w14:paraId="2C598244" w14:textId="793D06EA" w:rsidR="00574DD9" w:rsidRPr="00574DD9" w:rsidRDefault="00574DD9" w:rsidP="00574DD9">
            <w:pPr>
              <w:jc w:val="center"/>
              <w:rPr>
                <w:rFonts w:ascii="Times New Roman" w:eastAsia="Times New Roman" w:hAnsi="Times New Roman" w:cs="Times New Roman"/>
                <w:b/>
                <w:bCs/>
                <w:color w:val="000000"/>
                <w:sz w:val="20"/>
                <w:szCs w:val="20"/>
                <w:lang w:eastAsia="es-GT"/>
              </w:rPr>
            </w:pPr>
            <w:r w:rsidRPr="00574DD9">
              <w:rPr>
                <w:rFonts w:ascii="Times New Roman" w:hAnsi="Times New Roman" w:cs="Times New Roman"/>
                <w:b/>
                <w:bCs/>
                <w:color w:val="000000"/>
                <w:sz w:val="20"/>
                <w:szCs w:val="20"/>
              </w:rPr>
              <w:t>1,953.7</w:t>
            </w:r>
          </w:p>
        </w:tc>
        <w:tc>
          <w:tcPr>
            <w:tcW w:w="1095" w:type="dxa"/>
            <w:tcBorders>
              <w:top w:val="double" w:sz="6" w:space="0" w:color="auto"/>
              <w:left w:val="dotDash" w:sz="4" w:space="0" w:color="auto"/>
              <w:bottom w:val="nil"/>
              <w:right w:val="nil"/>
            </w:tcBorders>
            <w:shd w:val="clear" w:color="auto" w:fill="auto"/>
            <w:noWrap/>
            <w:vAlign w:val="center"/>
            <w:hideMark/>
          </w:tcPr>
          <w:p w14:paraId="00E734A9" w14:textId="552C9A97" w:rsidR="00574DD9" w:rsidRPr="00574DD9" w:rsidRDefault="00574DD9" w:rsidP="00574DD9">
            <w:pPr>
              <w:jc w:val="center"/>
              <w:rPr>
                <w:rFonts w:ascii="Times New Roman" w:eastAsia="Times New Roman" w:hAnsi="Times New Roman" w:cs="Times New Roman"/>
                <w:b/>
                <w:bCs/>
                <w:color w:val="000000"/>
                <w:sz w:val="20"/>
                <w:szCs w:val="20"/>
                <w:lang w:eastAsia="es-GT"/>
              </w:rPr>
            </w:pPr>
            <w:r w:rsidRPr="00574DD9">
              <w:rPr>
                <w:rFonts w:ascii="Times New Roman" w:hAnsi="Times New Roman" w:cs="Times New Roman"/>
                <w:b/>
                <w:bCs/>
                <w:color w:val="000000"/>
                <w:sz w:val="20"/>
                <w:szCs w:val="20"/>
              </w:rPr>
              <w:t>-0.1</w:t>
            </w:r>
          </w:p>
        </w:tc>
        <w:tc>
          <w:tcPr>
            <w:tcW w:w="1098" w:type="dxa"/>
            <w:tcBorders>
              <w:top w:val="nil"/>
              <w:left w:val="nil"/>
              <w:bottom w:val="nil"/>
              <w:right w:val="nil"/>
            </w:tcBorders>
            <w:shd w:val="clear" w:color="auto" w:fill="auto"/>
            <w:noWrap/>
            <w:vAlign w:val="center"/>
            <w:hideMark/>
          </w:tcPr>
          <w:p w14:paraId="40DBF596" w14:textId="6EC99B3D" w:rsidR="00574DD9" w:rsidRPr="00574DD9" w:rsidRDefault="00574DD9" w:rsidP="00574DD9">
            <w:pPr>
              <w:jc w:val="center"/>
              <w:rPr>
                <w:rFonts w:ascii="Times New Roman" w:eastAsia="Times New Roman" w:hAnsi="Times New Roman" w:cs="Times New Roman"/>
                <w:b/>
                <w:bCs/>
                <w:color w:val="000000"/>
                <w:sz w:val="20"/>
                <w:szCs w:val="20"/>
                <w:lang w:eastAsia="es-GT"/>
              </w:rPr>
            </w:pPr>
            <w:r w:rsidRPr="00574DD9">
              <w:rPr>
                <w:rFonts w:ascii="Times New Roman" w:hAnsi="Times New Roman" w:cs="Times New Roman"/>
                <w:b/>
                <w:bCs/>
                <w:color w:val="000000"/>
                <w:sz w:val="20"/>
                <w:szCs w:val="20"/>
              </w:rPr>
              <w:t>0.2</w:t>
            </w:r>
          </w:p>
        </w:tc>
      </w:tr>
      <w:tr w:rsidR="00574DD9" w:rsidRPr="00F81469" w14:paraId="62D4D763" w14:textId="77777777" w:rsidTr="00B341EB">
        <w:trPr>
          <w:trHeight w:val="238"/>
          <w:jc w:val="center"/>
        </w:trPr>
        <w:tc>
          <w:tcPr>
            <w:tcW w:w="3905" w:type="dxa"/>
            <w:tcBorders>
              <w:top w:val="nil"/>
              <w:left w:val="nil"/>
              <w:bottom w:val="nil"/>
              <w:right w:val="nil"/>
            </w:tcBorders>
            <w:shd w:val="clear" w:color="auto" w:fill="auto"/>
            <w:noWrap/>
            <w:vAlign w:val="center"/>
            <w:hideMark/>
          </w:tcPr>
          <w:p w14:paraId="4F9CCACB" w14:textId="77777777" w:rsidR="00574DD9" w:rsidRPr="00F81469" w:rsidRDefault="00574DD9" w:rsidP="00574DD9">
            <w:pPr>
              <w:ind w:firstLineChars="100" w:firstLine="200"/>
              <w:rPr>
                <w:rFonts w:ascii="Times New Roman" w:eastAsia="Times New Roman" w:hAnsi="Times New Roman" w:cs="Times New Roman"/>
                <w:color w:val="000000"/>
                <w:sz w:val="20"/>
                <w:szCs w:val="20"/>
                <w:lang w:eastAsia="es-GT"/>
              </w:rPr>
            </w:pPr>
            <w:r w:rsidRPr="00F81469">
              <w:rPr>
                <w:rFonts w:ascii="Times New Roman" w:eastAsia="Times New Roman" w:hAnsi="Times New Roman" w:cs="Times New Roman"/>
                <w:color w:val="000000"/>
                <w:sz w:val="20"/>
                <w:szCs w:val="20"/>
                <w:lang w:eastAsia="es-GT"/>
              </w:rPr>
              <w:t>Billetes monedas y depósitos</w:t>
            </w:r>
          </w:p>
        </w:tc>
        <w:tc>
          <w:tcPr>
            <w:tcW w:w="1213" w:type="dxa"/>
            <w:tcBorders>
              <w:top w:val="nil"/>
              <w:left w:val="nil"/>
              <w:bottom w:val="nil"/>
              <w:right w:val="nil"/>
            </w:tcBorders>
            <w:shd w:val="clear" w:color="auto" w:fill="auto"/>
            <w:noWrap/>
            <w:vAlign w:val="center"/>
            <w:hideMark/>
          </w:tcPr>
          <w:p w14:paraId="4D1CA32A" w14:textId="32B939CF" w:rsidR="00574DD9" w:rsidRPr="00574DD9" w:rsidRDefault="00574DD9" w:rsidP="00574DD9">
            <w:pPr>
              <w:jc w:val="center"/>
              <w:rPr>
                <w:rFonts w:ascii="Times New Roman" w:eastAsia="Times New Roman" w:hAnsi="Times New Roman" w:cs="Times New Roman"/>
                <w:color w:val="000000"/>
                <w:sz w:val="20"/>
                <w:szCs w:val="20"/>
                <w:lang w:eastAsia="es-GT"/>
              </w:rPr>
            </w:pPr>
            <w:r w:rsidRPr="00574DD9">
              <w:rPr>
                <w:rFonts w:ascii="Times New Roman" w:hAnsi="Times New Roman" w:cs="Times New Roman"/>
                <w:color w:val="000000"/>
                <w:sz w:val="20"/>
                <w:szCs w:val="20"/>
              </w:rPr>
              <w:t>-2,821.8</w:t>
            </w:r>
          </w:p>
        </w:tc>
        <w:tc>
          <w:tcPr>
            <w:tcW w:w="1214" w:type="dxa"/>
            <w:tcBorders>
              <w:top w:val="nil"/>
              <w:left w:val="nil"/>
              <w:bottom w:val="nil"/>
              <w:right w:val="nil"/>
            </w:tcBorders>
            <w:shd w:val="clear" w:color="auto" w:fill="auto"/>
            <w:noWrap/>
            <w:vAlign w:val="center"/>
            <w:hideMark/>
          </w:tcPr>
          <w:p w14:paraId="5EAC5ECB" w14:textId="14874D3C" w:rsidR="00574DD9" w:rsidRPr="00574DD9" w:rsidRDefault="00574DD9" w:rsidP="00574DD9">
            <w:pPr>
              <w:jc w:val="center"/>
              <w:rPr>
                <w:rFonts w:ascii="Times New Roman" w:eastAsia="Times New Roman" w:hAnsi="Times New Roman" w:cs="Times New Roman"/>
                <w:color w:val="000000"/>
                <w:sz w:val="20"/>
                <w:szCs w:val="20"/>
                <w:lang w:eastAsia="es-GT"/>
              </w:rPr>
            </w:pPr>
            <w:r w:rsidRPr="00574DD9">
              <w:rPr>
                <w:rFonts w:ascii="Times New Roman" w:hAnsi="Times New Roman" w:cs="Times New Roman"/>
                <w:color w:val="000000"/>
                <w:sz w:val="20"/>
                <w:szCs w:val="20"/>
              </w:rPr>
              <w:t>-2,748.3</w:t>
            </w:r>
          </w:p>
        </w:tc>
        <w:tc>
          <w:tcPr>
            <w:tcW w:w="1095" w:type="dxa"/>
            <w:tcBorders>
              <w:top w:val="nil"/>
              <w:left w:val="dotDash" w:sz="4" w:space="0" w:color="auto"/>
              <w:bottom w:val="nil"/>
              <w:right w:val="nil"/>
            </w:tcBorders>
            <w:shd w:val="clear" w:color="auto" w:fill="auto"/>
            <w:noWrap/>
            <w:vAlign w:val="center"/>
            <w:hideMark/>
          </w:tcPr>
          <w:p w14:paraId="15BD781A" w14:textId="1E86FA49" w:rsidR="00574DD9" w:rsidRPr="00574DD9" w:rsidRDefault="00574DD9" w:rsidP="00574DD9">
            <w:pPr>
              <w:jc w:val="center"/>
              <w:rPr>
                <w:rFonts w:ascii="Times New Roman" w:eastAsia="Times New Roman" w:hAnsi="Times New Roman" w:cs="Times New Roman"/>
                <w:color w:val="000000"/>
                <w:sz w:val="20"/>
                <w:szCs w:val="20"/>
                <w:lang w:eastAsia="es-GT"/>
              </w:rPr>
            </w:pPr>
            <w:r w:rsidRPr="00574DD9">
              <w:rPr>
                <w:rFonts w:ascii="Times New Roman" w:hAnsi="Times New Roman" w:cs="Times New Roman"/>
                <w:color w:val="000000"/>
                <w:sz w:val="20"/>
                <w:szCs w:val="20"/>
              </w:rPr>
              <w:t>-0.4</w:t>
            </w:r>
          </w:p>
        </w:tc>
        <w:tc>
          <w:tcPr>
            <w:tcW w:w="1098" w:type="dxa"/>
            <w:tcBorders>
              <w:top w:val="nil"/>
              <w:left w:val="nil"/>
              <w:bottom w:val="nil"/>
              <w:right w:val="nil"/>
            </w:tcBorders>
            <w:shd w:val="clear" w:color="auto" w:fill="auto"/>
            <w:noWrap/>
            <w:vAlign w:val="center"/>
            <w:hideMark/>
          </w:tcPr>
          <w:p w14:paraId="20B53592" w14:textId="1D110093" w:rsidR="00574DD9" w:rsidRPr="00574DD9" w:rsidRDefault="00574DD9" w:rsidP="00574DD9">
            <w:pPr>
              <w:jc w:val="center"/>
              <w:rPr>
                <w:rFonts w:ascii="Times New Roman" w:hAnsi="Times New Roman" w:cs="Times New Roman"/>
                <w:color w:val="000000"/>
                <w:sz w:val="20"/>
                <w:szCs w:val="20"/>
              </w:rPr>
            </w:pPr>
            <w:r w:rsidRPr="00574DD9">
              <w:rPr>
                <w:rFonts w:ascii="Times New Roman" w:hAnsi="Times New Roman" w:cs="Times New Roman"/>
                <w:color w:val="000000"/>
                <w:sz w:val="20"/>
                <w:szCs w:val="20"/>
              </w:rPr>
              <w:t>-0.3</w:t>
            </w:r>
          </w:p>
        </w:tc>
      </w:tr>
      <w:tr w:rsidR="00574DD9" w:rsidRPr="00F81469" w14:paraId="62B1E5FF" w14:textId="77777777" w:rsidTr="00B341EB">
        <w:trPr>
          <w:trHeight w:val="238"/>
          <w:jc w:val="center"/>
        </w:trPr>
        <w:tc>
          <w:tcPr>
            <w:tcW w:w="3905" w:type="dxa"/>
            <w:tcBorders>
              <w:top w:val="nil"/>
              <w:left w:val="nil"/>
              <w:bottom w:val="nil"/>
              <w:right w:val="nil"/>
            </w:tcBorders>
            <w:shd w:val="clear" w:color="auto" w:fill="auto"/>
            <w:noWrap/>
            <w:vAlign w:val="center"/>
            <w:hideMark/>
          </w:tcPr>
          <w:p w14:paraId="1A57D765" w14:textId="77777777" w:rsidR="00574DD9" w:rsidRPr="00F81469" w:rsidRDefault="00574DD9" w:rsidP="00574DD9">
            <w:pPr>
              <w:ind w:firstLineChars="100" w:firstLine="200"/>
              <w:rPr>
                <w:rFonts w:ascii="Times New Roman" w:eastAsia="Times New Roman" w:hAnsi="Times New Roman" w:cs="Times New Roman"/>
                <w:color w:val="000000"/>
                <w:sz w:val="20"/>
                <w:szCs w:val="20"/>
                <w:lang w:eastAsia="es-GT"/>
              </w:rPr>
            </w:pPr>
            <w:r w:rsidRPr="00F81469">
              <w:rPr>
                <w:rFonts w:ascii="Times New Roman" w:eastAsia="Times New Roman" w:hAnsi="Times New Roman" w:cs="Times New Roman"/>
                <w:color w:val="000000"/>
                <w:sz w:val="20"/>
                <w:szCs w:val="20"/>
                <w:lang w:eastAsia="es-GT"/>
              </w:rPr>
              <w:t>Préstamos</w:t>
            </w:r>
          </w:p>
        </w:tc>
        <w:tc>
          <w:tcPr>
            <w:tcW w:w="1213" w:type="dxa"/>
            <w:tcBorders>
              <w:top w:val="nil"/>
              <w:left w:val="nil"/>
              <w:bottom w:val="nil"/>
              <w:right w:val="nil"/>
            </w:tcBorders>
            <w:shd w:val="clear" w:color="auto" w:fill="auto"/>
            <w:noWrap/>
            <w:vAlign w:val="center"/>
            <w:hideMark/>
          </w:tcPr>
          <w:p w14:paraId="36EEFCC8" w14:textId="7E9E7173" w:rsidR="00574DD9" w:rsidRPr="00574DD9" w:rsidRDefault="00574DD9" w:rsidP="00574DD9">
            <w:pPr>
              <w:jc w:val="center"/>
              <w:rPr>
                <w:rFonts w:ascii="Times New Roman" w:eastAsia="Times New Roman" w:hAnsi="Times New Roman" w:cs="Times New Roman"/>
                <w:color w:val="000000"/>
                <w:sz w:val="20"/>
                <w:szCs w:val="20"/>
                <w:lang w:eastAsia="es-GT"/>
              </w:rPr>
            </w:pPr>
            <w:r w:rsidRPr="00574DD9">
              <w:rPr>
                <w:rFonts w:ascii="Times New Roman" w:hAnsi="Times New Roman" w:cs="Times New Roman"/>
                <w:color w:val="000000"/>
                <w:sz w:val="20"/>
                <w:szCs w:val="20"/>
              </w:rPr>
              <w:t>-100.4</w:t>
            </w:r>
          </w:p>
        </w:tc>
        <w:tc>
          <w:tcPr>
            <w:tcW w:w="1214" w:type="dxa"/>
            <w:tcBorders>
              <w:top w:val="nil"/>
              <w:left w:val="nil"/>
              <w:bottom w:val="nil"/>
              <w:right w:val="nil"/>
            </w:tcBorders>
            <w:shd w:val="clear" w:color="auto" w:fill="auto"/>
            <w:noWrap/>
            <w:vAlign w:val="center"/>
            <w:hideMark/>
          </w:tcPr>
          <w:p w14:paraId="09645C40" w14:textId="2322C9C2" w:rsidR="00574DD9" w:rsidRPr="00574DD9" w:rsidRDefault="00574DD9" w:rsidP="00574DD9">
            <w:pPr>
              <w:jc w:val="center"/>
              <w:rPr>
                <w:rFonts w:ascii="Times New Roman" w:eastAsia="Times New Roman" w:hAnsi="Times New Roman" w:cs="Times New Roman"/>
                <w:color w:val="000000"/>
                <w:sz w:val="20"/>
                <w:szCs w:val="20"/>
                <w:lang w:eastAsia="es-GT"/>
              </w:rPr>
            </w:pPr>
            <w:r w:rsidRPr="00574DD9">
              <w:rPr>
                <w:rFonts w:ascii="Times New Roman" w:hAnsi="Times New Roman" w:cs="Times New Roman"/>
                <w:color w:val="000000"/>
                <w:sz w:val="20"/>
                <w:szCs w:val="20"/>
              </w:rPr>
              <w:t>-288.9</w:t>
            </w:r>
          </w:p>
        </w:tc>
        <w:tc>
          <w:tcPr>
            <w:tcW w:w="1095" w:type="dxa"/>
            <w:tcBorders>
              <w:top w:val="nil"/>
              <w:left w:val="dotDash" w:sz="4" w:space="0" w:color="auto"/>
              <w:bottom w:val="nil"/>
              <w:right w:val="nil"/>
            </w:tcBorders>
            <w:shd w:val="clear" w:color="auto" w:fill="auto"/>
            <w:noWrap/>
            <w:vAlign w:val="center"/>
            <w:hideMark/>
          </w:tcPr>
          <w:p w14:paraId="6A33C3B0" w14:textId="6DA626E1" w:rsidR="00574DD9" w:rsidRPr="00574DD9" w:rsidRDefault="00574DD9" w:rsidP="00574DD9">
            <w:pPr>
              <w:jc w:val="center"/>
              <w:rPr>
                <w:rFonts w:ascii="Times New Roman" w:eastAsia="Times New Roman" w:hAnsi="Times New Roman" w:cs="Times New Roman"/>
                <w:color w:val="000000"/>
                <w:sz w:val="20"/>
                <w:szCs w:val="20"/>
                <w:lang w:eastAsia="es-GT"/>
              </w:rPr>
            </w:pPr>
            <w:r w:rsidRPr="00574DD9">
              <w:rPr>
                <w:rFonts w:ascii="Times New Roman" w:hAnsi="Times New Roman" w:cs="Times New Roman"/>
                <w:color w:val="000000"/>
                <w:sz w:val="20"/>
                <w:szCs w:val="20"/>
              </w:rPr>
              <w:t>0.0</w:t>
            </w:r>
          </w:p>
        </w:tc>
        <w:tc>
          <w:tcPr>
            <w:tcW w:w="1098" w:type="dxa"/>
            <w:tcBorders>
              <w:top w:val="nil"/>
              <w:left w:val="nil"/>
              <w:bottom w:val="nil"/>
              <w:right w:val="nil"/>
            </w:tcBorders>
            <w:shd w:val="clear" w:color="auto" w:fill="auto"/>
            <w:noWrap/>
            <w:vAlign w:val="center"/>
            <w:hideMark/>
          </w:tcPr>
          <w:p w14:paraId="5EE718DE" w14:textId="059EA2AF" w:rsidR="00574DD9" w:rsidRPr="00574DD9" w:rsidRDefault="00574DD9" w:rsidP="00574DD9">
            <w:pPr>
              <w:jc w:val="center"/>
              <w:rPr>
                <w:rFonts w:ascii="Times New Roman" w:eastAsia="Times New Roman" w:hAnsi="Times New Roman" w:cs="Times New Roman"/>
                <w:color w:val="000000"/>
                <w:sz w:val="20"/>
                <w:szCs w:val="20"/>
                <w:lang w:eastAsia="es-GT"/>
              </w:rPr>
            </w:pPr>
            <w:r w:rsidRPr="00574DD9">
              <w:rPr>
                <w:rFonts w:ascii="Times New Roman" w:hAnsi="Times New Roman" w:cs="Times New Roman"/>
                <w:color w:val="000000"/>
                <w:sz w:val="20"/>
                <w:szCs w:val="20"/>
              </w:rPr>
              <w:t>0.0</w:t>
            </w:r>
          </w:p>
        </w:tc>
      </w:tr>
      <w:tr w:rsidR="00574DD9" w:rsidRPr="00F81469" w14:paraId="5E2F016D" w14:textId="77777777" w:rsidTr="00B341EB">
        <w:trPr>
          <w:trHeight w:val="238"/>
          <w:jc w:val="center"/>
        </w:trPr>
        <w:tc>
          <w:tcPr>
            <w:tcW w:w="3905" w:type="dxa"/>
            <w:tcBorders>
              <w:top w:val="nil"/>
              <w:left w:val="nil"/>
              <w:bottom w:val="nil"/>
              <w:right w:val="nil"/>
            </w:tcBorders>
            <w:shd w:val="clear" w:color="auto" w:fill="auto"/>
            <w:noWrap/>
            <w:vAlign w:val="center"/>
            <w:hideMark/>
          </w:tcPr>
          <w:p w14:paraId="5DD1504F" w14:textId="77777777" w:rsidR="00574DD9" w:rsidRPr="00F81469" w:rsidRDefault="00574DD9" w:rsidP="00574DD9">
            <w:pPr>
              <w:ind w:firstLineChars="100" w:firstLine="200"/>
              <w:rPr>
                <w:rFonts w:ascii="Times New Roman" w:eastAsia="Times New Roman" w:hAnsi="Times New Roman" w:cs="Times New Roman"/>
                <w:color w:val="000000"/>
                <w:sz w:val="20"/>
                <w:szCs w:val="20"/>
                <w:lang w:eastAsia="es-GT"/>
              </w:rPr>
            </w:pPr>
            <w:r w:rsidRPr="00F81469">
              <w:rPr>
                <w:rFonts w:ascii="Times New Roman" w:eastAsia="Times New Roman" w:hAnsi="Times New Roman" w:cs="Times New Roman"/>
                <w:color w:val="000000"/>
                <w:sz w:val="20"/>
                <w:szCs w:val="20"/>
                <w:lang w:eastAsia="es-GT"/>
              </w:rPr>
              <w:t>Otros</w:t>
            </w:r>
          </w:p>
        </w:tc>
        <w:tc>
          <w:tcPr>
            <w:tcW w:w="1213" w:type="dxa"/>
            <w:tcBorders>
              <w:top w:val="nil"/>
              <w:left w:val="nil"/>
              <w:bottom w:val="nil"/>
              <w:right w:val="nil"/>
            </w:tcBorders>
            <w:shd w:val="clear" w:color="auto" w:fill="auto"/>
            <w:noWrap/>
            <w:vAlign w:val="center"/>
            <w:hideMark/>
          </w:tcPr>
          <w:p w14:paraId="4202DD63" w14:textId="24B32D75" w:rsidR="00574DD9" w:rsidRPr="00574DD9" w:rsidRDefault="00574DD9" w:rsidP="00574DD9">
            <w:pPr>
              <w:jc w:val="center"/>
              <w:rPr>
                <w:rFonts w:ascii="Times New Roman" w:eastAsia="Times New Roman" w:hAnsi="Times New Roman" w:cs="Times New Roman"/>
                <w:color w:val="000000"/>
                <w:sz w:val="20"/>
                <w:szCs w:val="20"/>
                <w:lang w:eastAsia="es-GT"/>
              </w:rPr>
            </w:pPr>
            <w:r w:rsidRPr="00574DD9">
              <w:rPr>
                <w:rFonts w:ascii="Times New Roman" w:hAnsi="Times New Roman" w:cs="Times New Roman"/>
                <w:color w:val="000000"/>
                <w:sz w:val="20"/>
                <w:szCs w:val="20"/>
              </w:rPr>
              <w:t>2,418.4</w:t>
            </w:r>
          </w:p>
        </w:tc>
        <w:tc>
          <w:tcPr>
            <w:tcW w:w="1214" w:type="dxa"/>
            <w:tcBorders>
              <w:top w:val="nil"/>
              <w:left w:val="nil"/>
              <w:bottom w:val="nil"/>
              <w:right w:val="nil"/>
            </w:tcBorders>
            <w:shd w:val="clear" w:color="auto" w:fill="auto"/>
            <w:noWrap/>
            <w:vAlign w:val="center"/>
            <w:hideMark/>
          </w:tcPr>
          <w:p w14:paraId="02F3EE05" w14:textId="2001F9E6" w:rsidR="00574DD9" w:rsidRPr="00574DD9" w:rsidRDefault="00574DD9" w:rsidP="00574DD9">
            <w:pPr>
              <w:jc w:val="center"/>
              <w:rPr>
                <w:rFonts w:ascii="Times New Roman" w:eastAsia="Times New Roman" w:hAnsi="Times New Roman" w:cs="Times New Roman"/>
                <w:color w:val="000000"/>
                <w:sz w:val="20"/>
                <w:szCs w:val="20"/>
                <w:lang w:eastAsia="es-GT"/>
              </w:rPr>
            </w:pPr>
            <w:r w:rsidRPr="00574DD9">
              <w:rPr>
                <w:rFonts w:ascii="Times New Roman" w:hAnsi="Times New Roman" w:cs="Times New Roman"/>
                <w:color w:val="000000"/>
                <w:sz w:val="20"/>
                <w:szCs w:val="20"/>
              </w:rPr>
              <w:t>4,990.9</w:t>
            </w:r>
          </w:p>
        </w:tc>
        <w:tc>
          <w:tcPr>
            <w:tcW w:w="1095" w:type="dxa"/>
            <w:tcBorders>
              <w:top w:val="nil"/>
              <w:left w:val="dotDash" w:sz="4" w:space="0" w:color="auto"/>
              <w:bottom w:val="nil"/>
              <w:right w:val="nil"/>
            </w:tcBorders>
            <w:shd w:val="clear" w:color="auto" w:fill="auto"/>
            <w:noWrap/>
            <w:vAlign w:val="center"/>
            <w:hideMark/>
          </w:tcPr>
          <w:p w14:paraId="62FEDB21" w14:textId="5A6CB3A3" w:rsidR="00574DD9" w:rsidRPr="00574DD9" w:rsidRDefault="00574DD9" w:rsidP="00574DD9">
            <w:pPr>
              <w:jc w:val="center"/>
              <w:rPr>
                <w:rFonts w:ascii="Times New Roman" w:eastAsia="Times New Roman" w:hAnsi="Times New Roman" w:cs="Times New Roman"/>
                <w:color w:val="000000"/>
                <w:sz w:val="20"/>
                <w:szCs w:val="20"/>
                <w:lang w:eastAsia="es-GT"/>
              </w:rPr>
            </w:pPr>
            <w:r w:rsidRPr="00574DD9">
              <w:rPr>
                <w:rFonts w:ascii="Times New Roman" w:hAnsi="Times New Roman" w:cs="Times New Roman"/>
                <w:color w:val="000000"/>
                <w:sz w:val="20"/>
                <w:szCs w:val="20"/>
              </w:rPr>
              <w:t>0.3</w:t>
            </w:r>
          </w:p>
        </w:tc>
        <w:tc>
          <w:tcPr>
            <w:tcW w:w="1098" w:type="dxa"/>
            <w:tcBorders>
              <w:top w:val="nil"/>
              <w:left w:val="nil"/>
              <w:bottom w:val="nil"/>
              <w:right w:val="nil"/>
            </w:tcBorders>
            <w:shd w:val="clear" w:color="auto" w:fill="auto"/>
            <w:noWrap/>
            <w:vAlign w:val="center"/>
            <w:hideMark/>
          </w:tcPr>
          <w:p w14:paraId="66296C5C" w14:textId="4C27A652" w:rsidR="00574DD9" w:rsidRPr="00574DD9" w:rsidRDefault="00574DD9" w:rsidP="00574DD9">
            <w:pPr>
              <w:jc w:val="center"/>
              <w:rPr>
                <w:rFonts w:ascii="Times New Roman" w:eastAsia="Times New Roman" w:hAnsi="Times New Roman" w:cs="Times New Roman"/>
                <w:color w:val="000000"/>
                <w:sz w:val="20"/>
                <w:szCs w:val="20"/>
                <w:lang w:eastAsia="es-GT"/>
              </w:rPr>
            </w:pPr>
            <w:r w:rsidRPr="00574DD9">
              <w:rPr>
                <w:rFonts w:ascii="Times New Roman" w:hAnsi="Times New Roman" w:cs="Times New Roman"/>
                <w:color w:val="000000"/>
                <w:sz w:val="20"/>
                <w:szCs w:val="20"/>
              </w:rPr>
              <w:t>0.6</w:t>
            </w:r>
          </w:p>
        </w:tc>
      </w:tr>
      <w:tr w:rsidR="00574DD9" w:rsidRPr="00F81469" w14:paraId="12928C3A" w14:textId="77777777" w:rsidTr="00B341EB">
        <w:trPr>
          <w:trHeight w:val="238"/>
          <w:jc w:val="center"/>
        </w:trPr>
        <w:tc>
          <w:tcPr>
            <w:tcW w:w="3905" w:type="dxa"/>
            <w:tcBorders>
              <w:top w:val="nil"/>
              <w:left w:val="nil"/>
              <w:bottom w:val="nil"/>
              <w:right w:val="nil"/>
            </w:tcBorders>
            <w:shd w:val="clear" w:color="auto" w:fill="auto"/>
            <w:noWrap/>
            <w:vAlign w:val="center"/>
            <w:hideMark/>
          </w:tcPr>
          <w:p w14:paraId="4C56A40A" w14:textId="77777777" w:rsidR="00574DD9" w:rsidRPr="00F81469" w:rsidRDefault="00574DD9" w:rsidP="00574DD9">
            <w:pPr>
              <w:jc w:val="both"/>
              <w:rPr>
                <w:rFonts w:ascii="Times New Roman" w:eastAsia="Times New Roman" w:hAnsi="Times New Roman" w:cs="Times New Roman"/>
                <w:b/>
                <w:bCs/>
                <w:color w:val="000000"/>
                <w:sz w:val="20"/>
                <w:szCs w:val="20"/>
                <w:lang w:eastAsia="es-GT"/>
              </w:rPr>
            </w:pPr>
            <w:r w:rsidRPr="00F81469">
              <w:rPr>
                <w:rFonts w:ascii="Times New Roman" w:eastAsia="Times New Roman" w:hAnsi="Times New Roman" w:cs="Times New Roman"/>
                <w:b/>
                <w:bCs/>
                <w:color w:val="000000"/>
                <w:sz w:val="20"/>
                <w:szCs w:val="20"/>
                <w:lang w:eastAsia="es-GT"/>
              </w:rPr>
              <w:t>Incurrimiento neto de pasivos</w:t>
            </w:r>
          </w:p>
        </w:tc>
        <w:tc>
          <w:tcPr>
            <w:tcW w:w="1213" w:type="dxa"/>
            <w:tcBorders>
              <w:top w:val="nil"/>
              <w:left w:val="nil"/>
              <w:bottom w:val="nil"/>
              <w:right w:val="nil"/>
            </w:tcBorders>
            <w:shd w:val="clear" w:color="auto" w:fill="auto"/>
            <w:noWrap/>
            <w:vAlign w:val="center"/>
            <w:hideMark/>
          </w:tcPr>
          <w:p w14:paraId="32DFED9F" w14:textId="16E63928" w:rsidR="00574DD9" w:rsidRPr="00574DD9" w:rsidRDefault="00574DD9" w:rsidP="00574DD9">
            <w:pPr>
              <w:jc w:val="center"/>
              <w:rPr>
                <w:rFonts w:ascii="Times New Roman" w:eastAsia="Times New Roman" w:hAnsi="Times New Roman" w:cs="Times New Roman"/>
                <w:b/>
                <w:bCs/>
                <w:color w:val="000000"/>
                <w:sz w:val="20"/>
                <w:szCs w:val="20"/>
                <w:lang w:eastAsia="es-GT"/>
              </w:rPr>
            </w:pPr>
            <w:r w:rsidRPr="00574DD9">
              <w:rPr>
                <w:rFonts w:ascii="Times New Roman" w:hAnsi="Times New Roman" w:cs="Times New Roman"/>
                <w:b/>
                <w:bCs/>
                <w:color w:val="000000"/>
                <w:sz w:val="20"/>
                <w:szCs w:val="20"/>
              </w:rPr>
              <w:t>7,509.5</w:t>
            </w:r>
          </w:p>
        </w:tc>
        <w:tc>
          <w:tcPr>
            <w:tcW w:w="1214" w:type="dxa"/>
            <w:tcBorders>
              <w:top w:val="nil"/>
              <w:left w:val="nil"/>
              <w:bottom w:val="nil"/>
              <w:right w:val="nil"/>
            </w:tcBorders>
            <w:shd w:val="clear" w:color="auto" w:fill="auto"/>
            <w:noWrap/>
            <w:vAlign w:val="center"/>
            <w:hideMark/>
          </w:tcPr>
          <w:p w14:paraId="53ABCC5F" w14:textId="347142FD" w:rsidR="00574DD9" w:rsidRPr="00574DD9" w:rsidRDefault="00574DD9" w:rsidP="00574DD9">
            <w:pPr>
              <w:jc w:val="center"/>
              <w:rPr>
                <w:rFonts w:ascii="Times New Roman" w:eastAsia="Times New Roman" w:hAnsi="Times New Roman" w:cs="Times New Roman"/>
                <w:b/>
                <w:bCs/>
                <w:color w:val="000000"/>
                <w:sz w:val="20"/>
                <w:szCs w:val="20"/>
                <w:lang w:eastAsia="es-GT"/>
              </w:rPr>
            </w:pPr>
            <w:r w:rsidRPr="00574DD9">
              <w:rPr>
                <w:rFonts w:ascii="Times New Roman" w:hAnsi="Times New Roman" w:cs="Times New Roman"/>
                <w:b/>
                <w:bCs/>
                <w:color w:val="000000"/>
                <w:sz w:val="20"/>
                <w:szCs w:val="20"/>
              </w:rPr>
              <w:t>7,925.4</w:t>
            </w:r>
          </w:p>
        </w:tc>
        <w:tc>
          <w:tcPr>
            <w:tcW w:w="1095" w:type="dxa"/>
            <w:tcBorders>
              <w:top w:val="nil"/>
              <w:left w:val="dotDash" w:sz="4" w:space="0" w:color="auto"/>
              <w:bottom w:val="nil"/>
              <w:right w:val="nil"/>
            </w:tcBorders>
            <w:shd w:val="clear" w:color="auto" w:fill="auto"/>
            <w:noWrap/>
            <w:vAlign w:val="center"/>
            <w:hideMark/>
          </w:tcPr>
          <w:p w14:paraId="00CC29AA" w14:textId="0EAEDADD" w:rsidR="00574DD9" w:rsidRPr="00574DD9" w:rsidRDefault="00574DD9" w:rsidP="00574DD9">
            <w:pPr>
              <w:jc w:val="center"/>
              <w:rPr>
                <w:rFonts w:ascii="Times New Roman" w:eastAsia="Times New Roman" w:hAnsi="Times New Roman" w:cs="Times New Roman"/>
                <w:b/>
                <w:bCs/>
                <w:color w:val="000000"/>
                <w:sz w:val="20"/>
                <w:szCs w:val="20"/>
                <w:lang w:eastAsia="es-GT"/>
              </w:rPr>
            </w:pPr>
            <w:r w:rsidRPr="00574DD9">
              <w:rPr>
                <w:rFonts w:ascii="Times New Roman" w:hAnsi="Times New Roman" w:cs="Times New Roman"/>
                <w:b/>
                <w:bCs/>
                <w:color w:val="000000"/>
                <w:sz w:val="20"/>
                <w:szCs w:val="20"/>
              </w:rPr>
              <w:t>1.0</w:t>
            </w:r>
          </w:p>
        </w:tc>
        <w:tc>
          <w:tcPr>
            <w:tcW w:w="1098" w:type="dxa"/>
            <w:tcBorders>
              <w:top w:val="nil"/>
              <w:left w:val="nil"/>
              <w:bottom w:val="nil"/>
              <w:right w:val="nil"/>
            </w:tcBorders>
            <w:shd w:val="clear" w:color="auto" w:fill="auto"/>
            <w:noWrap/>
            <w:vAlign w:val="center"/>
            <w:hideMark/>
          </w:tcPr>
          <w:p w14:paraId="3367075F" w14:textId="0E3248F1" w:rsidR="00574DD9" w:rsidRPr="00574DD9" w:rsidRDefault="00574DD9" w:rsidP="00574DD9">
            <w:pPr>
              <w:jc w:val="center"/>
              <w:rPr>
                <w:rFonts w:ascii="Times New Roman" w:eastAsia="Times New Roman" w:hAnsi="Times New Roman" w:cs="Times New Roman"/>
                <w:b/>
                <w:bCs/>
                <w:color w:val="000000"/>
                <w:sz w:val="20"/>
                <w:szCs w:val="20"/>
                <w:lang w:eastAsia="es-GT"/>
              </w:rPr>
            </w:pPr>
            <w:r w:rsidRPr="00574DD9">
              <w:rPr>
                <w:rFonts w:ascii="Times New Roman" w:hAnsi="Times New Roman" w:cs="Times New Roman"/>
                <w:b/>
                <w:bCs/>
                <w:color w:val="000000"/>
                <w:sz w:val="20"/>
                <w:szCs w:val="20"/>
              </w:rPr>
              <w:t>1.0</w:t>
            </w:r>
          </w:p>
        </w:tc>
      </w:tr>
      <w:tr w:rsidR="00574DD9" w:rsidRPr="00F81469" w14:paraId="485227BF" w14:textId="77777777" w:rsidTr="00B341EB">
        <w:trPr>
          <w:trHeight w:val="238"/>
          <w:jc w:val="center"/>
        </w:trPr>
        <w:tc>
          <w:tcPr>
            <w:tcW w:w="3905" w:type="dxa"/>
            <w:tcBorders>
              <w:top w:val="nil"/>
              <w:left w:val="nil"/>
              <w:bottom w:val="nil"/>
              <w:right w:val="nil"/>
            </w:tcBorders>
            <w:shd w:val="clear" w:color="auto" w:fill="auto"/>
            <w:noWrap/>
            <w:vAlign w:val="center"/>
            <w:hideMark/>
          </w:tcPr>
          <w:p w14:paraId="1B1A3B57" w14:textId="77777777" w:rsidR="00574DD9" w:rsidRPr="00F81469" w:rsidRDefault="00574DD9" w:rsidP="00574DD9">
            <w:pPr>
              <w:ind w:firstLineChars="100" w:firstLine="200"/>
              <w:rPr>
                <w:rFonts w:ascii="Times New Roman" w:eastAsia="Times New Roman" w:hAnsi="Times New Roman" w:cs="Times New Roman"/>
                <w:color w:val="000000"/>
                <w:sz w:val="20"/>
                <w:szCs w:val="20"/>
                <w:lang w:eastAsia="es-GT"/>
              </w:rPr>
            </w:pPr>
            <w:r w:rsidRPr="00F81469">
              <w:rPr>
                <w:rFonts w:ascii="Times New Roman" w:eastAsia="Times New Roman" w:hAnsi="Times New Roman" w:cs="Times New Roman"/>
                <w:color w:val="000000"/>
                <w:sz w:val="20"/>
                <w:szCs w:val="20"/>
                <w:lang w:eastAsia="es-GT"/>
              </w:rPr>
              <w:t>Títulos de deuda</w:t>
            </w:r>
          </w:p>
        </w:tc>
        <w:tc>
          <w:tcPr>
            <w:tcW w:w="1213" w:type="dxa"/>
            <w:tcBorders>
              <w:top w:val="nil"/>
              <w:left w:val="nil"/>
              <w:bottom w:val="nil"/>
              <w:right w:val="nil"/>
            </w:tcBorders>
            <w:shd w:val="clear" w:color="auto" w:fill="auto"/>
            <w:noWrap/>
            <w:vAlign w:val="center"/>
            <w:hideMark/>
          </w:tcPr>
          <w:p w14:paraId="58634585" w14:textId="3AC52CEF" w:rsidR="00574DD9" w:rsidRPr="00574DD9" w:rsidRDefault="00574DD9" w:rsidP="00574DD9">
            <w:pPr>
              <w:jc w:val="center"/>
              <w:rPr>
                <w:rFonts w:ascii="Times New Roman" w:eastAsia="Times New Roman" w:hAnsi="Times New Roman" w:cs="Times New Roman"/>
                <w:color w:val="000000"/>
                <w:sz w:val="20"/>
                <w:szCs w:val="20"/>
                <w:lang w:eastAsia="es-GT"/>
              </w:rPr>
            </w:pPr>
            <w:r w:rsidRPr="00574DD9">
              <w:rPr>
                <w:rFonts w:ascii="Times New Roman" w:hAnsi="Times New Roman" w:cs="Times New Roman"/>
                <w:color w:val="000000"/>
                <w:sz w:val="20"/>
                <w:szCs w:val="20"/>
              </w:rPr>
              <w:t>5,520.0</w:t>
            </w:r>
          </w:p>
        </w:tc>
        <w:tc>
          <w:tcPr>
            <w:tcW w:w="1214" w:type="dxa"/>
            <w:tcBorders>
              <w:top w:val="nil"/>
              <w:left w:val="nil"/>
              <w:bottom w:val="nil"/>
              <w:right w:val="nil"/>
            </w:tcBorders>
            <w:shd w:val="clear" w:color="auto" w:fill="auto"/>
            <w:noWrap/>
            <w:vAlign w:val="center"/>
            <w:hideMark/>
          </w:tcPr>
          <w:p w14:paraId="736ED764" w14:textId="40754CC2" w:rsidR="00574DD9" w:rsidRPr="00574DD9" w:rsidRDefault="00574DD9" w:rsidP="00574DD9">
            <w:pPr>
              <w:jc w:val="center"/>
              <w:rPr>
                <w:rFonts w:ascii="Times New Roman" w:eastAsia="Times New Roman" w:hAnsi="Times New Roman" w:cs="Times New Roman"/>
                <w:color w:val="000000"/>
                <w:sz w:val="20"/>
                <w:szCs w:val="20"/>
                <w:lang w:eastAsia="es-GT"/>
              </w:rPr>
            </w:pPr>
            <w:r w:rsidRPr="00574DD9">
              <w:rPr>
                <w:rFonts w:ascii="Times New Roman" w:hAnsi="Times New Roman" w:cs="Times New Roman"/>
                <w:color w:val="000000"/>
                <w:sz w:val="20"/>
                <w:szCs w:val="20"/>
              </w:rPr>
              <w:t>10,300.2</w:t>
            </w:r>
          </w:p>
        </w:tc>
        <w:tc>
          <w:tcPr>
            <w:tcW w:w="1095" w:type="dxa"/>
            <w:tcBorders>
              <w:top w:val="nil"/>
              <w:left w:val="dotDash" w:sz="4" w:space="0" w:color="auto"/>
              <w:bottom w:val="nil"/>
              <w:right w:val="nil"/>
            </w:tcBorders>
            <w:shd w:val="clear" w:color="auto" w:fill="auto"/>
            <w:noWrap/>
            <w:vAlign w:val="center"/>
            <w:hideMark/>
          </w:tcPr>
          <w:p w14:paraId="7E4A1834" w14:textId="187700CB" w:rsidR="00574DD9" w:rsidRPr="00574DD9" w:rsidRDefault="00574DD9" w:rsidP="00574DD9">
            <w:pPr>
              <w:jc w:val="center"/>
              <w:rPr>
                <w:rFonts w:ascii="Times New Roman" w:eastAsia="Times New Roman" w:hAnsi="Times New Roman" w:cs="Times New Roman"/>
                <w:color w:val="000000"/>
                <w:sz w:val="20"/>
                <w:szCs w:val="20"/>
                <w:lang w:eastAsia="es-GT"/>
              </w:rPr>
            </w:pPr>
            <w:r w:rsidRPr="00574DD9">
              <w:rPr>
                <w:rFonts w:ascii="Times New Roman" w:hAnsi="Times New Roman" w:cs="Times New Roman"/>
                <w:color w:val="000000"/>
                <w:sz w:val="20"/>
                <w:szCs w:val="20"/>
              </w:rPr>
              <w:t>0.7</w:t>
            </w:r>
          </w:p>
        </w:tc>
        <w:tc>
          <w:tcPr>
            <w:tcW w:w="1098" w:type="dxa"/>
            <w:tcBorders>
              <w:top w:val="nil"/>
              <w:left w:val="nil"/>
              <w:bottom w:val="nil"/>
              <w:right w:val="nil"/>
            </w:tcBorders>
            <w:shd w:val="clear" w:color="auto" w:fill="auto"/>
            <w:noWrap/>
            <w:vAlign w:val="center"/>
            <w:hideMark/>
          </w:tcPr>
          <w:p w14:paraId="7B8F6CE9" w14:textId="747774F5" w:rsidR="00574DD9" w:rsidRPr="00574DD9" w:rsidRDefault="00574DD9" w:rsidP="00574DD9">
            <w:pPr>
              <w:jc w:val="center"/>
              <w:rPr>
                <w:rFonts w:ascii="Times New Roman" w:eastAsia="Times New Roman" w:hAnsi="Times New Roman" w:cs="Times New Roman"/>
                <w:color w:val="000000"/>
                <w:sz w:val="20"/>
                <w:szCs w:val="20"/>
                <w:lang w:eastAsia="es-GT"/>
              </w:rPr>
            </w:pPr>
            <w:r w:rsidRPr="00574DD9">
              <w:rPr>
                <w:rFonts w:ascii="Times New Roman" w:hAnsi="Times New Roman" w:cs="Times New Roman"/>
                <w:color w:val="000000"/>
                <w:sz w:val="20"/>
                <w:szCs w:val="20"/>
              </w:rPr>
              <w:t>1.3</w:t>
            </w:r>
          </w:p>
        </w:tc>
      </w:tr>
      <w:tr w:rsidR="00574DD9" w:rsidRPr="00F81469" w14:paraId="23856833" w14:textId="77777777" w:rsidTr="00B341EB">
        <w:trPr>
          <w:trHeight w:val="238"/>
          <w:jc w:val="center"/>
        </w:trPr>
        <w:tc>
          <w:tcPr>
            <w:tcW w:w="3905" w:type="dxa"/>
            <w:tcBorders>
              <w:top w:val="nil"/>
              <w:left w:val="nil"/>
              <w:bottom w:val="nil"/>
              <w:right w:val="nil"/>
            </w:tcBorders>
            <w:shd w:val="clear" w:color="auto" w:fill="auto"/>
            <w:noWrap/>
            <w:vAlign w:val="center"/>
            <w:hideMark/>
          </w:tcPr>
          <w:p w14:paraId="12CBA308" w14:textId="77777777" w:rsidR="00574DD9" w:rsidRPr="00F81469" w:rsidRDefault="00574DD9" w:rsidP="00574DD9">
            <w:pPr>
              <w:ind w:firstLineChars="100" w:firstLine="200"/>
              <w:rPr>
                <w:rFonts w:ascii="Times New Roman" w:eastAsia="Times New Roman" w:hAnsi="Times New Roman" w:cs="Times New Roman"/>
                <w:color w:val="000000"/>
                <w:sz w:val="20"/>
                <w:szCs w:val="20"/>
                <w:lang w:eastAsia="es-GT"/>
              </w:rPr>
            </w:pPr>
            <w:r w:rsidRPr="00F81469">
              <w:rPr>
                <w:rFonts w:ascii="Times New Roman" w:eastAsia="Times New Roman" w:hAnsi="Times New Roman" w:cs="Times New Roman"/>
                <w:color w:val="000000"/>
                <w:sz w:val="20"/>
                <w:szCs w:val="20"/>
                <w:lang w:eastAsia="es-GT"/>
              </w:rPr>
              <w:t>Préstamos</w:t>
            </w:r>
          </w:p>
        </w:tc>
        <w:tc>
          <w:tcPr>
            <w:tcW w:w="1213" w:type="dxa"/>
            <w:tcBorders>
              <w:top w:val="nil"/>
              <w:left w:val="nil"/>
              <w:bottom w:val="nil"/>
              <w:right w:val="nil"/>
            </w:tcBorders>
            <w:shd w:val="clear" w:color="auto" w:fill="auto"/>
            <w:noWrap/>
            <w:vAlign w:val="center"/>
            <w:hideMark/>
          </w:tcPr>
          <w:p w14:paraId="293A18D0" w14:textId="0A52224D" w:rsidR="00574DD9" w:rsidRPr="00574DD9" w:rsidRDefault="00574DD9" w:rsidP="00574DD9">
            <w:pPr>
              <w:jc w:val="center"/>
              <w:rPr>
                <w:rFonts w:ascii="Times New Roman" w:eastAsia="Times New Roman" w:hAnsi="Times New Roman" w:cs="Times New Roman"/>
                <w:color w:val="000000"/>
                <w:sz w:val="20"/>
                <w:szCs w:val="20"/>
                <w:lang w:eastAsia="es-GT"/>
              </w:rPr>
            </w:pPr>
            <w:r w:rsidRPr="00574DD9">
              <w:rPr>
                <w:rFonts w:ascii="Times New Roman" w:hAnsi="Times New Roman" w:cs="Times New Roman"/>
                <w:color w:val="000000"/>
                <w:sz w:val="20"/>
                <w:szCs w:val="20"/>
              </w:rPr>
              <w:t>1,511.1</w:t>
            </w:r>
          </w:p>
        </w:tc>
        <w:tc>
          <w:tcPr>
            <w:tcW w:w="1214" w:type="dxa"/>
            <w:tcBorders>
              <w:top w:val="nil"/>
              <w:left w:val="nil"/>
              <w:bottom w:val="nil"/>
              <w:right w:val="nil"/>
            </w:tcBorders>
            <w:shd w:val="clear" w:color="auto" w:fill="auto"/>
            <w:noWrap/>
            <w:vAlign w:val="center"/>
            <w:hideMark/>
          </w:tcPr>
          <w:p w14:paraId="34D6B22A" w14:textId="25DEDBFB" w:rsidR="00574DD9" w:rsidRPr="00574DD9" w:rsidRDefault="00574DD9" w:rsidP="00574DD9">
            <w:pPr>
              <w:jc w:val="center"/>
              <w:rPr>
                <w:rFonts w:ascii="Times New Roman" w:eastAsia="Times New Roman" w:hAnsi="Times New Roman" w:cs="Times New Roman"/>
                <w:color w:val="000000"/>
                <w:sz w:val="20"/>
                <w:szCs w:val="20"/>
                <w:lang w:eastAsia="es-GT"/>
              </w:rPr>
            </w:pPr>
            <w:r w:rsidRPr="00574DD9">
              <w:rPr>
                <w:rFonts w:ascii="Times New Roman" w:hAnsi="Times New Roman" w:cs="Times New Roman"/>
                <w:color w:val="000000"/>
                <w:sz w:val="20"/>
                <w:szCs w:val="20"/>
              </w:rPr>
              <w:t>-2,100.7</w:t>
            </w:r>
          </w:p>
        </w:tc>
        <w:tc>
          <w:tcPr>
            <w:tcW w:w="1095" w:type="dxa"/>
            <w:tcBorders>
              <w:top w:val="nil"/>
              <w:left w:val="dotDash" w:sz="4" w:space="0" w:color="auto"/>
              <w:bottom w:val="nil"/>
              <w:right w:val="nil"/>
            </w:tcBorders>
            <w:shd w:val="clear" w:color="auto" w:fill="auto"/>
            <w:noWrap/>
            <w:vAlign w:val="center"/>
            <w:hideMark/>
          </w:tcPr>
          <w:p w14:paraId="2B7DBD7E" w14:textId="1E29BA3B" w:rsidR="00574DD9" w:rsidRPr="00574DD9" w:rsidRDefault="00574DD9" w:rsidP="00574DD9">
            <w:pPr>
              <w:jc w:val="center"/>
              <w:rPr>
                <w:rFonts w:ascii="Times New Roman" w:eastAsia="Times New Roman" w:hAnsi="Times New Roman" w:cs="Times New Roman"/>
                <w:color w:val="000000"/>
                <w:sz w:val="20"/>
                <w:szCs w:val="20"/>
                <w:lang w:eastAsia="es-GT"/>
              </w:rPr>
            </w:pPr>
            <w:r w:rsidRPr="00574DD9">
              <w:rPr>
                <w:rFonts w:ascii="Times New Roman" w:hAnsi="Times New Roman" w:cs="Times New Roman"/>
                <w:color w:val="000000"/>
                <w:sz w:val="20"/>
                <w:szCs w:val="20"/>
              </w:rPr>
              <w:t>0.2</w:t>
            </w:r>
          </w:p>
        </w:tc>
        <w:tc>
          <w:tcPr>
            <w:tcW w:w="1098" w:type="dxa"/>
            <w:tcBorders>
              <w:top w:val="nil"/>
              <w:left w:val="nil"/>
              <w:bottom w:val="nil"/>
              <w:right w:val="nil"/>
            </w:tcBorders>
            <w:shd w:val="clear" w:color="auto" w:fill="auto"/>
            <w:noWrap/>
            <w:vAlign w:val="center"/>
            <w:hideMark/>
          </w:tcPr>
          <w:p w14:paraId="11DB4226" w14:textId="6A6E0777" w:rsidR="00574DD9" w:rsidRPr="00574DD9" w:rsidRDefault="00574DD9" w:rsidP="00574DD9">
            <w:pPr>
              <w:jc w:val="center"/>
              <w:rPr>
                <w:rFonts w:ascii="Times New Roman" w:eastAsia="Times New Roman" w:hAnsi="Times New Roman" w:cs="Times New Roman"/>
                <w:color w:val="000000"/>
                <w:sz w:val="20"/>
                <w:szCs w:val="20"/>
                <w:lang w:eastAsia="es-GT"/>
              </w:rPr>
            </w:pPr>
            <w:r w:rsidRPr="00574DD9">
              <w:rPr>
                <w:rFonts w:ascii="Times New Roman" w:hAnsi="Times New Roman" w:cs="Times New Roman"/>
                <w:color w:val="000000"/>
                <w:sz w:val="20"/>
                <w:szCs w:val="20"/>
              </w:rPr>
              <w:t>-0.3</w:t>
            </w:r>
          </w:p>
        </w:tc>
      </w:tr>
      <w:tr w:rsidR="00574DD9" w:rsidRPr="00F81469" w14:paraId="0697928D" w14:textId="77777777" w:rsidTr="00B341EB">
        <w:trPr>
          <w:trHeight w:val="238"/>
          <w:jc w:val="center"/>
        </w:trPr>
        <w:tc>
          <w:tcPr>
            <w:tcW w:w="3905" w:type="dxa"/>
            <w:tcBorders>
              <w:top w:val="nil"/>
              <w:left w:val="nil"/>
              <w:bottom w:val="nil"/>
              <w:right w:val="nil"/>
            </w:tcBorders>
            <w:shd w:val="clear" w:color="auto" w:fill="auto"/>
            <w:noWrap/>
            <w:vAlign w:val="center"/>
            <w:hideMark/>
          </w:tcPr>
          <w:p w14:paraId="4FFB2F70" w14:textId="77777777" w:rsidR="00574DD9" w:rsidRPr="00F81469" w:rsidRDefault="00574DD9" w:rsidP="00574DD9">
            <w:pPr>
              <w:ind w:firstLineChars="100" w:firstLine="200"/>
              <w:rPr>
                <w:rFonts w:ascii="Times New Roman" w:eastAsia="Times New Roman" w:hAnsi="Times New Roman" w:cs="Times New Roman"/>
                <w:color w:val="000000"/>
                <w:sz w:val="20"/>
                <w:szCs w:val="20"/>
                <w:lang w:eastAsia="es-GT"/>
              </w:rPr>
            </w:pPr>
            <w:r w:rsidRPr="00F81469">
              <w:rPr>
                <w:rFonts w:ascii="Times New Roman" w:eastAsia="Times New Roman" w:hAnsi="Times New Roman" w:cs="Times New Roman"/>
                <w:color w:val="000000"/>
                <w:sz w:val="20"/>
                <w:szCs w:val="20"/>
                <w:lang w:eastAsia="es-GT"/>
              </w:rPr>
              <w:t>Otros</w:t>
            </w:r>
          </w:p>
        </w:tc>
        <w:tc>
          <w:tcPr>
            <w:tcW w:w="1213" w:type="dxa"/>
            <w:tcBorders>
              <w:top w:val="nil"/>
              <w:left w:val="nil"/>
              <w:bottom w:val="nil"/>
              <w:right w:val="nil"/>
            </w:tcBorders>
            <w:shd w:val="clear" w:color="auto" w:fill="auto"/>
            <w:noWrap/>
            <w:vAlign w:val="center"/>
            <w:hideMark/>
          </w:tcPr>
          <w:p w14:paraId="7257BD64" w14:textId="0BC867A8" w:rsidR="00574DD9" w:rsidRPr="00574DD9" w:rsidRDefault="00574DD9" w:rsidP="00574DD9">
            <w:pPr>
              <w:jc w:val="center"/>
              <w:rPr>
                <w:rFonts w:ascii="Times New Roman" w:eastAsia="Times New Roman" w:hAnsi="Times New Roman" w:cs="Times New Roman"/>
                <w:color w:val="000000"/>
                <w:sz w:val="20"/>
                <w:szCs w:val="20"/>
                <w:lang w:eastAsia="es-GT"/>
              </w:rPr>
            </w:pPr>
            <w:r w:rsidRPr="00574DD9">
              <w:rPr>
                <w:rFonts w:ascii="Times New Roman" w:hAnsi="Times New Roman" w:cs="Times New Roman"/>
                <w:color w:val="000000"/>
                <w:sz w:val="20"/>
                <w:szCs w:val="20"/>
              </w:rPr>
              <w:t>478.4</w:t>
            </w:r>
          </w:p>
        </w:tc>
        <w:tc>
          <w:tcPr>
            <w:tcW w:w="1214" w:type="dxa"/>
            <w:tcBorders>
              <w:top w:val="nil"/>
              <w:left w:val="nil"/>
              <w:bottom w:val="nil"/>
              <w:right w:val="nil"/>
            </w:tcBorders>
            <w:shd w:val="clear" w:color="auto" w:fill="auto"/>
            <w:noWrap/>
            <w:vAlign w:val="center"/>
            <w:hideMark/>
          </w:tcPr>
          <w:p w14:paraId="2B09A023" w14:textId="265836F3" w:rsidR="00574DD9" w:rsidRPr="00574DD9" w:rsidRDefault="00574DD9" w:rsidP="00574DD9">
            <w:pPr>
              <w:jc w:val="center"/>
              <w:rPr>
                <w:rFonts w:ascii="Times New Roman" w:eastAsia="Times New Roman" w:hAnsi="Times New Roman" w:cs="Times New Roman"/>
                <w:color w:val="000000"/>
                <w:sz w:val="20"/>
                <w:szCs w:val="20"/>
                <w:lang w:eastAsia="es-GT"/>
              </w:rPr>
            </w:pPr>
            <w:r w:rsidRPr="00574DD9">
              <w:rPr>
                <w:rFonts w:ascii="Times New Roman" w:hAnsi="Times New Roman" w:cs="Times New Roman"/>
                <w:color w:val="000000"/>
                <w:sz w:val="20"/>
                <w:szCs w:val="20"/>
              </w:rPr>
              <w:t>-274.1</w:t>
            </w:r>
          </w:p>
        </w:tc>
        <w:tc>
          <w:tcPr>
            <w:tcW w:w="1095" w:type="dxa"/>
            <w:tcBorders>
              <w:top w:val="nil"/>
              <w:left w:val="dotDash" w:sz="4" w:space="0" w:color="auto"/>
              <w:bottom w:val="nil"/>
              <w:right w:val="nil"/>
            </w:tcBorders>
            <w:shd w:val="clear" w:color="auto" w:fill="auto"/>
            <w:noWrap/>
            <w:vAlign w:val="center"/>
            <w:hideMark/>
          </w:tcPr>
          <w:p w14:paraId="2B512D77" w14:textId="4ECE05FD" w:rsidR="00574DD9" w:rsidRPr="00574DD9" w:rsidRDefault="00574DD9" w:rsidP="00574DD9">
            <w:pPr>
              <w:jc w:val="center"/>
              <w:rPr>
                <w:rFonts w:ascii="Times New Roman" w:eastAsia="Times New Roman" w:hAnsi="Times New Roman" w:cs="Times New Roman"/>
                <w:color w:val="000000"/>
                <w:sz w:val="20"/>
                <w:szCs w:val="20"/>
                <w:lang w:eastAsia="es-GT"/>
              </w:rPr>
            </w:pPr>
            <w:r w:rsidRPr="00574DD9">
              <w:rPr>
                <w:rFonts w:ascii="Times New Roman" w:hAnsi="Times New Roman" w:cs="Times New Roman"/>
                <w:color w:val="000000"/>
                <w:sz w:val="20"/>
                <w:szCs w:val="20"/>
              </w:rPr>
              <w:t>0.1</w:t>
            </w:r>
          </w:p>
        </w:tc>
        <w:tc>
          <w:tcPr>
            <w:tcW w:w="1098" w:type="dxa"/>
            <w:tcBorders>
              <w:top w:val="nil"/>
              <w:left w:val="nil"/>
              <w:bottom w:val="nil"/>
              <w:right w:val="nil"/>
            </w:tcBorders>
            <w:shd w:val="clear" w:color="auto" w:fill="auto"/>
            <w:noWrap/>
            <w:vAlign w:val="center"/>
            <w:hideMark/>
          </w:tcPr>
          <w:p w14:paraId="644A0465" w14:textId="38A0AB33" w:rsidR="00574DD9" w:rsidRPr="00574DD9" w:rsidRDefault="00574DD9" w:rsidP="00574DD9">
            <w:pPr>
              <w:jc w:val="center"/>
              <w:rPr>
                <w:rFonts w:ascii="Times New Roman" w:eastAsia="Times New Roman" w:hAnsi="Times New Roman" w:cs="Times New Roman"/>
                <w:color w:val="000000"/>
                <w:sz w:val="20"/>
                <w:szCs w:val="20"/>
                <w:lang w:eastAsia="es-GT"/>
              </w:rPr>
            </w:pPr>
            <w:r w:rsidRPr="00574DD9">
              <w:rPr>
                <w:rFonts w:ascii="Times New Roman" w:hAnsi="Times New Roman" w:cs="Times New Roman"/>
                <w:color w:val="000000"/>
                <w:sz w:val="20"/>
                <w:szCs w:val="20"/>
              </w:rPr>
              <w:t>0.0</w:t>
            </w:r>
          </w:p>
        </w:tc>
      </w:tr>
      <w:tr w:rsidR="00574DD9" w:rsidRPr="00F81469" w14:paraId="6B1305BE" w14:textId="77777777" w:rsidTr="00B341EB">
        <w:trPr>
          <w:trHeight w:val="238"/>
          <w:jc w:val="center"/>
        </w:trPr>
        <w:tc>
          <w:tcPr>
            <w:tcW w:w="3905" w:type="dxa"/>
            <w:tcBorders>
              <w:top w:val="nil"/>
              <w:left w:val="nil"/>
              <w:bottom w:val="nil"/>
              <w:right w:val="nil"/>
            </w:tcBorders>
            <w:shd w:val="clear" w:color="auto" w:fill="auto"/>
            <w:noWrap/>
            <w:vAlign w:val="center"/>
            <w:hideMark/>
          </w:tcPr>
          <w:p w14:paraId="7FDDE85C" w14:textId="77777777" w:rsidR="00574DD9" w:rsidRPr="00F81469" w:rsidRDefault="00574DD9" w:rsidP="00574DD9">
            <w:pPr>
              <w:jc w:val="both"/>
              <w:rPr>
                <w:rFonts w:ascii="Times New Roman" w:eastAsia="Times New Roman" w:hAnsi="Times New Roman" w:cs="Times New Roman"/>
                <w:b/>
                <w:bCs/>
                <w:color w:val="000000"/>
                <w:sz w:val="20"/>
                <w:szCs w:val="20"/>
                <w:lang w:eastAsia="es-GT"/>
              </w:rPr>
            </w:pPr>
            <w:r w:rsidRPr="00F81469">
              <w:rPr>
                <w:rFonts w:ascii="Times New Roman" w:eastAsia="Times New Roman" w:hAnsi="Times New Roman" w:cs="Times New Roman"/>
                <w:b/>
                <w:bCs/>
                <w:color w:val="000000"/>
                <w:sz w:val="20"/>
                <w:szCs w:val="20"/>
                <w:lang w:eastAsia="es-GT"/>
              </w:rPr>
              <w:t>Discrepancia estadística global</w:t>
            </w:r>
          </w:p>
        </w:tc>
        <w:tc>
          <w:tcPr>
            <w:tcW w:w="1213" w:type="dxa"/>
            <w:tcBorders>
              <w:top w:val="nil"/>
              <w:left w:val="nil"/>
              <w:bottom w:val="nil"/>
              <w:right w:val="nil"/>
            </w:tcBorders>
            <w:shd w:val="clear" w:color="auto" w:fill="auto"/>
            <w:noWrap/>
            <w:vAlign w:val="center"/>
            <w:hideMark/>
          </w:tcPr>
          <w:p w14:paraId="7F281A03" w14:textId="262FEA9D" w:rsidR="00574DD9" w:rsidRPr="00574DD9" w:rsidRDefault="00574DD9" w:rsidP="00574DD9">
            <w:pPr>
              <w:jc w:val="center"/>
              <w:rPr>
                <w:rFonts w:ascii="Times New Roman" w:eastAsia="Times New Roman" w:hAnsi="Times New Roman" w:cs="Times New Roman"/>
                <w:b/>
                <w:bCs/>
                <w:color w:val="000000"/>
                <w:sz w:val="20"/>
                <w:szCs w:val="20"/>
                <w:lang w:eastAsia="es-GT"/>
              </w:rPr>
            </w:pPr>
            <w:r w:rsidRPr="00574DD9">
              <w:rPr>
                <w:rFonts w:ascii="Times New Roman" w:hAnsi="Times New Roman" w:cs="Times New Roman"/>
                <w:b/>
                <w:bCs/>
                <w:color w:val="000000"/>
                <w:sz w:val="20"/>
                <w:szCs w:val="20"/>
              </w:rPr>
              <w:t>-446.0</w:t>
            </w:r>
          </w:p>
        </w:tc>
        <w:tc>
          <w:tcPr>
            <w:tcW w:w="1214" w:type="dxa"/>
            <w:tcBorders>
              <w:top w:val="nil"/>
              <w:left w:val="nil"/>
              <w:bottom w:val="nil"/>
              <w:right w:val="nil"/>
            </w:tcBorders>
            <w:shd w:val="clear" w:color="auto" w:fill="auto"/>
            <w:noWrap/>
            <w:vAlign w:val="center"/>
            <w:hideMark/>
          </w:tcPr>
          <w:p w14:paraId="407AEA63" w14:textId="4E0EC82B" w:rsidR="00574DD9" w:rsidRPr="00574DD9" w:rsidRDefault="00574DD9" w:rsidP="00574DD9">
            <w:pPr>
              <w:jc w:val="center"/>
              <w:rPr>
                <w:rFonts w:ascii="Times New Roman" w:eastAsia="Times New Roman" w:hAnsi="Times New Roman" w:cs="Times New Roman"/>
                <w:b/>
                <w:bCs/>
                <w:color w:val="000000"/>
                <w:sz w:val="20"/>
                <w:szCs w:val="20"/>
                <w:lang w:eastAsia="es-GT"/>
              </w:rPr>
            </w:pPr>
            <w:r w:rsidRPr="00574DD9">
              <w:rPr>
                <w:rFonts w:ascii="Times New Roman" w:hAnsi="Times New Roman" w:cs="Times New Roman"/>
                <w:b/>
                <w:bCs/>
                <w:color w:val="000000"/>
                <w:sz w:val="20"/>
                <w:szCs w:val="20"/>
              </w:rPr>
              <w:t>958.7</w:t>
            </w:r>
          </w:p>
        </w:tc>
        <w:tc>
          <w:tcPr>
            <w:tcW w:w="1095" w:type="dxa"/>
            <w:tcBorders>
              <w:top w:val="nil"/>
              <w:left w:val="dotDash" w:sz="4" w:space="0" w:color="auto"/>
              <w:bottom w:val="nil"/>
              <w:right w:val="nil"/>
            </w:tcBorders>
            <w:shd w:val="clear" w:color="auto" w:fill="auto"/>
            <w:noWrap/>
            <w:vAlign w:val="center"/>
            <w:hideMark/>
          </w:tcPr>
          <w:p w14:paraId="467EB733" w14:textId="3AD3388A" w:rsidR="00574DD9" w:rsidRPr="00574DD9" w:rsidRDefault="00574DD9" w:rsidP="00574DD9">
            <w:pPr>
              <w:jc w:val="center"/>
              <w:rPr>
                <w:rFonts w:ascii="Times New Roman" w:eastAsia="Times New Roman" w:hAnsi="Times New Roman" w:cs="Times New Roman"/>
                <w:b/>
                <w:bCs/>
                <w:color w:val="000000"/>
                <w:sz w:val="20"/>
                <w:szCs w:val="20"/>
                <w:lang w:eastAsia="es-GT"/>
              </w:rPr>
            </w:pPr>
            <w:r w:rsidRPr="00574DD9">
              <w:rPr>
                <w:rFonts w:ascii="Times New Roman" w:hAnsi="Times New Roman" w:cs="Times New Roman"/>
                <w:b/>
                <w:bCs/>
                <w:color w:val="000000"/>
                <w:sz w:val="20"/>
                <w:szCs w:val="20"/>
              </w:rPr>
              <w:t>-0.1</w:t>
            </w:r>
          </w:p>
        </w:tc>
        <w:tc>
          <w:tcPr>
            <w:tcW w:w="1098" w:type="dxa"/>
            <w:tcBorders>
              <w:top w:val="nil"/>
              <w:left w:val="nil"/>
              <w:bottom w:val="nil"/>
              <w:right w:val="nil"/>
            </w:tcBorders>
            <w:shd w:val="clear" w:color="auto" w:fill="auto"/>
            <w:noWrap/>
            <w:vAlign w:val="center"/>
            <w:hideMark/>
          </w:tcPr>
          <w:p w14:paraId="0646F433" w14:textId="55E1846D" w:rsidR="00574DD9" w:rsidRPr="00574DD9" w:rsidRDefault="00574DD9" w:rsidP="00574DD9">
            <w:pPr>
              <w:jc w:val="center"/>
              <w:rPr>
                <w:rFonts w:ascii="Times New Roman" w:eastAsia="Times New Roman" w:hAnsi="Times New Roman" w:cs="Times New Roman"/>
                <w:b/>
                <w:bCs/>
                <w:color w:val="000000"/>
                <w:sz w:val="20"/>
                <w:szCs w:val="20"/>
                <w:lang w:eastAsia="es-GT"/>
              </w:rPr>
            </w:pPr>
            <w:r w:rsidRPr="00574DD9">
              <w:rPr>
                <w:rFonts w:ascii="Times New Roman" w:hAnsi="Times New Roman" w:cs="Times New Roman"/>
                <w:b/>
                <w:bCs/>
                <w:color w:val="000000"/>
                <w:sz w:val="20"/>
                <w:szCs w:val="20"/>
              </w:rPr>
              <w:t>0.1</w:t>
            </w:r>
          </w:p>
        </w:tc>
      </w:tr>
    </w:tbl>
    <w:p w14:paraId="53D03339" w14:textId="77777777" w:rsidR="00975EDA" w:rsidRPr="00F22DD8" w:rsidRDefault="00975EDA" w:rsidP="00975EDA">
      <w:pPr>
        <w:rPr>
          <w:rFonts w:ascii="Times New Roman" w:hAnsi="Times New Roman" w:cs="Times New Roman"/>
          <w:sz w:val="18"/>
          <w:szCs w:val="18"/>
        </w:rPr>
      </w:pPr>
      <w:r w:rsidRPr="00F22DD8">
        <w:rPr>
          <w:rFonts w:ascii="Times New Roman" w:hAnsi="Times New Roman" w:cs="Times New Roman"/>
          <w:sz w:val="18"/>
          <w:szCs w:val="18"/>
        </w:rPr>
        <w:t>*Cifras preliminares</w:t>
      </w:r>
    </w:p>
    <w:p w14:paraId="2B1027F4" w14:textId="77777777" w:rsidR="00256B0F" w:rsidRDefault="00256B0F" w:rsidP="00975EDA">
      <w:pPr>
        <w:jc w:val="both"/>
        <w:rPr>
          <w:rFonts w:ascii="Times New Roman" w:hAnsi="Times New Roman" w:cs="Times New Roman"/>
        </w:rPr>
      </w:pPr>
    </w:p>
    <w:p w14:paraId="7549EC71" w14:textId="73334079" w:rsidR="00975EDA" w:rsidRPr="004A4C21" w:rsidRDefault="00975EDA" w:rsidP="00975EDA">
      <w:pPr>
        <w:jc w:val="both"/>
        <w:rPr>
          <w:rFonts w:ascii="Times New Roman" w:hAnsi="Times New Roman" w:cs="Times New Roman"/>
          <w:sz w:val="22"/>
          <w:szCs w:val="22"/>
        </w:rPr>
      </w:pPr>
      <w:r w:rsidRPr="004A4C21">
        <w:rPr>
          <w:rFonts w:ascii="Times New Roman" w:hAnsi="Times New Roman" w:cs="Times New Roman"/>
          <w:sz w:val="22"/>
          <w:szCs w:val="22"/>
        </w:rPr>
        <w:lastRenderedPageBreak/>
        <w:t>En cuanto al gasto del Gobierno General, este ascendió a 15.2% del PIB (Q121,382.4 millones) continuando al mismo nivel observado en 2022. En cuanto la ejecución por cuenta económica, el gasto dirigido a remuneraciones a los empleados equivale al 7.1% del PIB (Q56,754.1 millones) mostrando un aumento de 0.2 puntos porcentuales del PIB respecto al año previo</w:t>
      </w:r>
      <w:r w:rsidR="00C71065" w:rsidRPr="004A4C21">
        <w:rPr>
          <w:rFonts w:ascii="Times New Roman" w:hAnsi="Times New Roman" w:cs="Times New Roman"/>
          <w:sz w:val="22"/>
          <w:szCs w:val="22"/>
        </w:rPr>
        <w:t>;</w:t>
      </w:r>
      <w:r w:rsidRPr="004A4C21">
        <w:rPr>
          <w:rFonts w:ascii="Times New Roman" w:hAnsi="Times New Roman" w:cs="Times New Roman"/>
          <w:sz w:val="22"/>
          <w:szCs w:val="22"/>
        </w:rPr>
        <w:t xml:space="preserve"> el gasto en bienes y servicios se situó en 3.3% del PIB (Q26,193.8  millones)</w:t>
      </w:r>
      <w:r w:rsidR="00C71065" w:rsidRPr="004A4C21">
        <w:rPr>
          <w:rFonts w:ascii="Times New Roman" w:hAnsi="Times New Roman" w:cs="Times New Roman"/>
          <w:sz w:val="22"/>
          <w:szCs w:val="22"/>
        </w:rPr>
        <w:t>,</w:t>
      </w:r>
      <w:r w:rsidRPr="004A4C21">
        <w:rPr>
          <w:rFonts w:ascii="Times New Roman" w:hAnsi="Times New Roman" w:cs="Times New Roman"/>
          <w:sz w:val="22"/>
          <w:szCs w:val="22"/>
        </w:rPr>
        <w:t xml:space="preserve"> siendo el mismo que el observado en 2022</w:t>
      </w:r>
      <w:r w:rsidR="00C71065" w:rsidRPr="004A4C21">
        <w:rPr>
          <w:rFonts w:ascii="Times New Roman" w:hAnsi="Times New Roman" w:cs="Times New Roman"/>
          <w:sz w:val="22"/>
          <w:szCs w:val="22"/>
        </w:rPr>
        <w:t>;</w:t>
      </w:r>
      <w:r w:rsidRPr="004A4C21">
        <w:rPr>
          <w:rFonts w:ascii="Times New Roman" w:hAnsi="Times New Roman" w:cs="Times New Roman"/>
          <w:sz w:val="22"/>
          <w:szCs w:val="22"/>
        </w:rPr>
        <w:t xml:space="preserve"> las prestaciones sociales ascendieron a 1.9% del PIB (Q15,211.9 millones) con una variación positiva de 0.1 puntos porcentuales</w:t>
      </w:r>
      <w:r w:rsidR="00C71065" w:rsidRPr="004A4C21">
        <w:rPr>
          <w:rFonts w:ascii="Times New Roman" w:hAnsi="Times New Roman" w:cs="Times New Roman"/>
          <w:sz w:val="22"/>
          <w:szCs w:val="22"/>
        </w:rPr>
        <w:t>;</w:t>
      </w:r>
      <w:r w:rsidRPr="004A4C21">
        <w:rPr>
          <w:rFonts w:ascii="Times New Roman" w:hAnsi="Times New Roman" w:cs="Times New Roman"/>
          <w:sz w:val="22"/>
          <w:szCs w:val="22"/>
        </w:rPr>
        <w:t xml:space="preserve"> mientras el pago en intereses equivale al 1.5% del PIB </w:t>
      </w:r>
      <w:bookmarkStart w:id="132" w:name="_Hlk156577746"/>
      <w:r w:rsidRPr="004A4C21">
        <w:rPr>
          <w:rFonts w:ascii="Times New Roman" w:hAnsi="Times New Roman" w:cs="Times New Roman"/>
          <w:sz w:val="22"/>
          <w:szCs w:val="22"/>
        </w:rPr>
        <w:t>(Q12,046.8 millones)</w:t>
      </w:r>
      <w:bookmarkEnd w:id="132"/>
      <w:r w:rsidR="00C71065" w:rsidRPr="004A4C21">
        <w:rPr>
          <w:rFonts w:ascii="Times New Roman" w:hAnsi="Times New Roman" w:cs="Times New Roman"/>
          <w:sz w:val="22"/>
          <w:szCs w:val="22"/>
        </w:rPr>
        <w:t>.</w:t>
      </w:r>
      <w:r w:rsidRPr="004A4C21">
        <w:rPr>
          <w:rFonts w:ascii="Times New Roman" w:hAnsi="Times New Roman" w:cs="Times New Roman"/>
          <w:sz w:val="22"/>
          <w:szCs w:val="22"/>
        </w:rPr>
        <w:t xml:space="preserve"> </w:t>
      </w:r>
      <w:r w:rsidR="00C71065" w:rsidRPr="004A4C21">
        <w:rPr>
          <w:rFonts w:ascii="Times New Roman" w:hAnsi="Times New Roman" w:cs="Times New Roman"/>
          <w:sz w:val="22"/>
          <w:szCs w:val="22"/>
        </w:rPr>
        <w:t>L</w:t>
      </w:r>
      <w:r w:rsidRPr="004A4C21">
        <w:rPr>
          <w:rFonts w:ascii="Times New Roman" w:hAnsi="Times New Roman" w:cs="Times New Roman"/>
          <w:sz w:val="22"/>
          <w:szCs w:val="22"/>
        </w:rPr>
        <w:t>a categoría de otros gastos se situó en 1.2% del PIB (Q9,440.4 millones) sin cambio respecto al año previo</w:t>
      </w:r>
      <w:r w:rsidR="00C71065" w:rsidRPr="004A4C21">
        <w:rPr>
          <w:rFonts w:ascii="Times New Roman" w:hAnsi="Times New Roman" w:cs="Times New Roman"/>
          <w:sz w:val="22"/>
          <w:szCs w:val="22"/>
        </w:rPr>
        <w:t>;</w:t>
      </w:r>
      <w:r w:rsidRPr="004A4C21">
        <w:rPr>
          <w:rFonts w:ascii="Times New Roman" w:hAnsi="Times New Roman" w:cs="Times New Roman"/>
          <w:sz w:val="22"/>
          <w:szCs w:val="22"/>
        </w:rPr>
        <w:t xml:space="preserve"> y</w:t>
      </w:r>
      <w:r w:rsidR="00C71065" w:rsidRPr="004A4C21">
        <w:rPr>
          <w:rFonts w:ascii="Times New Roman" w:hAnsi="Times New Roman" w:cs="Times New Roman"/>
          <w:sz w:val="22"/>
          <w:szCs w:val="22"/>
        </w:rPr>
        <w:t>,</w:t>
      </w:r>
      <w:r w:rsidRPr="004A4C21">
        <w:rPr>
          <w:rFonts w:ascii="Times New Roman" w:hAnsi="Times New Roman" w:cs="Times New Roman"/>
          <w:sz w:val="22"/>
          <w:szCs w:val="22"/>
        </w:rPr>
        <w:t xml:space="preserve"> en cuanto a los subsidios</w:t>
      </w:r>
      <w:r w:rsidR="00C71065" w:rsidRPr="004A4C21">
        <w:rPr>
          <w:rFonts w:ascii="Times New Roman" w:hAnsi="Times New Roman" w:cs="Times New Roman"/>
          <w:sz w:val="22"/>
          <w:szCs w:val="22"/>
        </w:rPr>
        <w:t>, que</w:t>
      </w:r>
      <w:r w:rsidRPr="004A4C21">
        <w:rPr>
          <w:rFonts w:ascii="Times New Roman" w:hAnsi="Times New Roman" w:cs="Times New Roman"/>
          <w:sz w:val="22"/>
          <w:szCs w:val="22"/>
        </w:rPr>
        <w:t xml:space="preserve"> equivalen al 0.2% del PIB (Q1,345.6 millones) menor en 0.3 puntos porcentuales a lo observado en 2022</w:t>
      </w:r>
      <w:r w:rsidR="00C71065" w:rsidRPr="004A4C21">
        <w:rPr>
          <w:rFonts w:ascii="Times New Roman" w:hAnsi="Times New Roman" w:cs="Times New Roman"/>
          <w:sz w:val="22"/>
          <w:szCs w:val="22"/>
        </w:rPr>
        <w:t xml:space="preserve">; en tanto </w:t>
      </w:r>
      <w:r w:rsidRPr="004A4C21">
        <w:rPr>
          <w:rFonts w:ascii="Times New Roman" w:hAnsi="Times New Roman" w:cs="Times New Roman"/>
          <w:sz w:val="22"/>
          <w:szCs w:val="22"/>
        </w:rPr>
        <w:t xml:space="preserve">las donaciones </w:t>
      </w:r>
      <w:r w:rsidR="00C71065" w:rsidRPr="004A4C21">
        <w:rPr>
          <w:rFonts w:ascii="Times New Roman" w:hAnsi="Times New Roman" w:cs="Times New Roman"/>
          <w:sz w:val="22"/>
          <w:szCs w:val="22"/>
        </w:rPr>
        <w:t xml:space="preserve">fueron </w:t>
      </w:r>
      <w:r w:rsidRPr="004A4C21">
        <w:rPr>
          <w:rFonts w:ascii="Times New Roman" w:hAnsi="Times New Roman" w:cs="Times New Roman"/>
          <w:sz w:val="22"/>
          <w:szCs w:val="22"/>
        </w:rPr>
        <w:t xml:space="preserve">el 0.1% del PIB (Q389.9 millones). </w:t>
      </w:r>
    </w:p>
    <w:p w14:paraId="3000A9FB" w14:textId="77777777" w:rsidR="00975EDA" w:rsidRPr="004A4C21" w:rsidRDefault="00975EDA" w:rsidP="00975EDA">
      <w:pPr>
        <w:jc w:val="both"/>
        <w:rPr>
          <w:rFonts w:ascii="Times New Roman" w:hAnsi="Times New Roman" w:cs="Times New Roman"/>
          <w:sz w:val="22"/>
          <w:szCs w:val="22"/>
        </w:rPr>
      </w:pPr>
    </w:p>
    <w:p w14:paraId="2485D0A3" w14:textId="103D458A" w:rsidR="00975EDA" w:rsidRPr="004A4C21" w:rsidRDefault="00975EDA" w:rsidP="00975EDA">
      <w:pPr>
        <w:jc w:val="both"/>
        <w:rPr>
          <w:rFonts w:ascii="Times New Roman" w:hAnsi="Times New Roman" w:cs="Times New Roman"/>
          <w:sz w:val="22"/>
          <w:szCs w:val="22"/>
        </w:rPr>
      </w:pPr>
      <w:r w:rsidRPr="004A4C21">
        <w:rPr>
          <w:rFonts w:ascii="Times New Roman" w:hAnsi="Times New Roman" w:cs="Times New Roman"/>
          <w:sz w:val="22"/>
          <w:szCs w:val="22"/>
        </w:rPr>
        <w:t>La inversión en activos no financieros se situó en 2.5% del PIB (Q19,834.7 millones) siendo este un aumento de 0.2 puntos porcentuales respecto al año previo. La principal inversión fue realizada en edificios y estructuras</w:t>
      </w:r>
      <w:r w:rsidR="001A3AFD" w:rsidRPr="004A4C21">
        <w:rPr>
          <w:rFonts w:ascii="Times New Roman" w:hAnsi="Times New Roman" w:cs="Times New Roman"/>
          <w:sz w:val="22"/>
          <w:szCs w:val="22"/>
        </w:rPr>
        <w:t xml:space="preserve">, la </w:t>
      </w:r>
      <w:r w:rsidRPr="004A4C21">
        <w:rPr>
          <w:rFonts w:ascii="Times New Roman" w:hAnsi="Times New Roman" w:cs="Times New Roman"/>
          <w:sz w:val="22"/>
          <w:szCs w:val="22"/>
        </w:rPr>
        <w:t>cual ascendió a 2.2% del PIB (Q17,394.1 millones)</w:t>
      </w:r>
      <w:r w:rsidR="001A3AFD" w:rsidRPr="004A4C21">
        <w:rPr>
          <w:rFonts w:ascii="Times New Roman" w:hAnsi="Times New Roman" w:cs="Times New Roman"/>
          <w:sz w:val="22"/>
          <w:szCs w:val="22"/>
        </w:rPr>
        <w:t>,</w:t>
      </w:r>
      <w:r w:rsidRPr="004A4C21">
        <w:rPr>
          <w:rFonts w:ascii="Times New Roman" w:hAnsi="Times New Roman" w:cs="Times New Roman"/>
          <w:sz w:val="22"/>
          <w:szCs w:val="22"/>
        </w:rPr>
        <w:t xml:space="preserve"> y en la maquinaria y equipo por 0.3% del PIB (Q2,136.8 millones).</w:t>
      </w:r>
    </w:p>
    <w:p w14:paraId="7356FBA0" w14:textId="77777777" w:rsidR="004F0B2E" w:rsidRPr="004A4C21" w:rsidRDefault="004F0B2E" w:rsidP="00975EDA">
      <w:pPr>
        <w:jc w:val="both"/>
        <w:rPr>
          <w:rFonts w:ascii="Times New Roman" w:hAnsi="Times New Roman" w:cs="Times New Roman"/>
          <w:sz w:val="22"/>
          <w:szCs w:val="22"/>
        </w:rPr>
      </w:pPr>
    </w:p>
    <w:p w14:paraId="2309DC35" w14:textId="76D63D22" w:rsidR="00975EDA" w:rsidRPr="004A4C21" w:rsidRDefault="00975EDA" w:rsidP="00975EDA">
      <w:pPr>
        <w:jc w:val="both"/>
        <w:rPr>
          <w:rFonts w:ascii="Times New Roman" w:hAnsi="Times New Roman" w:cs="Times New Roman"/>
          <w:sz w:val="22"/>
          <w:szCs w:val="22"/>
        </w:rPr>
      </w:pPr>
      <w:r w:rsidRPr="004A4C21">
        <w:rPr>
          <w:rFonts w:ascii="Times New Roman" w:hAnsi="Times New Roman" w:cs="Times New Roman"/>
          <w:sz w:val="22"/>
          <w:szCs w:val="22"/>
        </w:rPr>
        <w:t>El resultado operativo para Gobierno General es positivo por 1.6% del PIB (Q</w:t>
      </w:r>
      <w:r w:rsidR="00853EA1" w:rsidRPr="004A4C21">
        <w:rPr>
          <w:rFonts w:ascii="Times New Roman" w:hAnsi="Times New Roman" w:cs="Times New Roman"/>
          <w:sz w:val="22"/>
          <w:szCs w:val="22"/>
        </w:rPr>
        <w:t>12,904.3</w:t>
      </w:r>
      <w:r w:rsidRPr="004A4C21">
        <w:rPr>
          <w:rFonts w:ascii="Times New Roman" w:hAnsi="Times New Roman" w:cs="Times New Roman"/>
          <w:sz w:val="22"/>
          <w:szCs w:val="22"/>
        </w:rPr>
        <w:t xml:space="preserve"> millones) y esto se debe al resultado de los diversos subniveles de gobierno que lo integran, los cuales fueron superavitarios. El Gobierno Central Extrapresupuestario tuvo un resultado positivo equivalente al 0.3% del PIB (Q2,040.4 millones), los Fondos de Seguridad Social por 0.4% del PIB (Q3,538.3 millones) y los gobiernos locales el 1.6% del PIB (Q12,968.5 millones). A nivel del resultado fiscal, se obtuvo un endeudamiento neto (déficit fiscal) para todo el Gobierno General del 0.9% del PIB (Q</w:t>
      </w:r>
      <w:r w:rsidR="00DF2DC6" w:rsidRPr="004A4C21">
        <w:rPr>
          <w:rFonts w:ascii="Times New Roman" w:hAnsi="Times New Roman" w:cs="Times New Roman"/>
          <w:sz w:val="22"/>
          <w:szCs w:val="22"/>
        </w:rPr>
        <w:t>6,930.4</w:t>
      </w:r>
      <w:r w:rsidRPr="004A4C21">
        <w:rPr>
          <w:rFonts w:ascii="Times New Roman" w:hAnsi="Times New Roman" w:cs="Times New Roman"/>
          <w:sz w:val="22"/>
          <w:szCs w:val="22"/>
        </w:rPr>
        <w:t xml:space="preserve"> millones) mayor por 0.1 puntos porcentuales al observado en el año anterior</w:t>
      </w:r>
      <w:r w:rsidR="0023156C" w:rsidRPr="004A4C21">
        <w:rPr>
          <w:rFonts w:ascii="Times New Roman" w:hAnsi="Times New Roman" w:cs="Times New Roman"/>
          <w:sz w:val="22"/>
          <w:szCs w:val="22"/>
        </w:rPr>
        <w:t>.</w:t>
      </w:r>
      <w:r w:rsidRPr="004A4C21">
        <w:rPr>
          <w:rFonts w:ascii="Times New Roman" w:hAnsi="Times New Roman" w:cs="Times New Roman"/>
          <w:sz w:val="22"/>
          <w:szCs w:val="22"/>
        </w:rPr>
        <w:t xml:space="preserve"> </w:t>
      </w:r>
      <w:r w:rsidR="0023156C" w:rsidRPr="004A4C21">
        <w:rPr>
          <w:rFonts w:ascii="Times New Roman" w:hAnsi="Times New Roman" w:cs="Times New Roman"/>
          <w:sz w:val="22"/>
          <w:szCs w:val="22"/>
        </w:rPr>
        <w:t>A</w:t>
      </w:r>
      <w:r w:rsidRPr="004A4C21">
        <w:rPr>
          <w:rFonts w:ascii="Times New Roman" w:hAnsi="Times New Roman" w:cs="Times New Roman"/>
          <w:sz w:val="22"/>
          <w:szCs w:val="22"/>
        </w:rPr>
        <w:t xml:space="preserve"> nivel de cada subgrupo de gobierno, el Gobierno </w:t>
      </w:r>
      <w:r w:rsidR="0023156C" w:rsidRPr="004A4C21">
        <w:rPr>
          <w:rFonts w:ascii="Times New Roman" w:hAnsi="Times New Roman" w:cs="Times New Roman"/>
          <w:sz w:val="22"/>
          <w:szCs w:val="22"/>
        </w:rPr>
        <w:t>C</w:t>
      </w:r>
      <w:r w:rsidRPr="004A4C21">
        <w:rPr>
          <w:rFonts w:ascii="Times New Roman" w:hAnsi="Times New Roman" w:cs="Times New Roman"/>
          <w:sz w:val="22"/>
          <w:szCs w:val="22"/>
        </w:rPr>
        <w:t xml:space="preserve">entral Extrapresupuestario </w:t>
      </w:r>
      <w:r w:rsidR="0023156C" w:rsidRPr="004A4C21">
        <w:rPr>
          <w:rFonts w:ascii="Times New Roman" w:hAnsi="Times New Roman" w:cs="Times New Roman"/>
          <w:sz w:val="22"/>
          <w:szCs w:val="22"/>
        </w:rPr>
        <w:t>presentó</w:t>
      </w:r>
      <w:r w:rsidRPr="004A4C21">
        <w:rPr>
          <w:rFonts w:ascii="Times New Roman" w:hAnsi="Times New Roman" w:cs="Times New Roman"/>
          <w:sz w:val="22"/>
          <w:szCs w:val="22"/>
        </w:rPr>
        <w:t xml:space="preserve"> préstamo (superávit) del 0.1% del PIB (Q1,194.2 millones), los Fondos de Seguridad Social del 0.4% del PIB (Q3,187.7 millones) y los Gobiernos Locales tuvieron endeudamiento de 0.1% del PIB (Q647.5 millones).</w:t>
      </w:r>
      <w:r w:rsidR="001858B9" w:rsidRPr="004A4C21">
        <w:rPr>
          <w:rFonts w:ascii="Times New Roman" w:hAnsi="Times New Roman" w:cs="Times New Roman"/>
          <w:sz w:val="22"/>
          <w:szCs w:val="22"/>
        </w:rPr>
        <w:t xml:space="preserve"> </w:t>
      </w:r>
      <w:r w:rsidRPr="004A4C21">
        <w:rPr>
          <w:rFonts w:ascii="Times New Roman" w:hAnsi="Times New Roman" w:cs="Times New Roman"/>
          <w:sz w:val="22"/>
          <w:szCs w:val="22"/>
        </w:rPr>
        <w:t xml:space="preserve">El financiamiento de las operaciones del Gobierno General se explica con </w:t>
      </w:r>
      <w:r w:rsidR="00AF7783" w:rsidRPr="004A4C21">
        <w:rPr>
          <w:rFonts w:ascii="Times New Roman" w:hAnsi="Times New Roman" w:cs="Times New Roman"/>
          <w:sz w:val="22"/>
          <w:szCs w:val="22"/>
        </w:rPr>
        <w:t xml:space="preserve">el </w:t>
      </w:r>
      <w:r w:rsidRPr="004A4C21">
        <w:rPr>
          <w:rFonts w:ascii="Times New Roman" w:hAnsi="Times New Roman" w:cs="Times New Roman"/>
          <w:sz w:val="22"/>
          <w:szCs w:val="22"/>
        </w:rPr>
        <w:t>aumento de los activos financieros por 0.2% del PIB (Q</w:t>
      </w:r>
      <w:r w:rsidR="001D5710" w:rsidRPr="004A4C21">
        <w:rPr>
          <w:rFonts w:ascii="Times New Roman" w:hAnsi="Times New Roman" w:cs="Times New Roman"/>
          <w:sz w:val="22"/>
          <w:szCs w:val="22"/>
        </w:rPr>
        <w:t>1,953.7</w:t>
      </w:r>
      <w:r w:rsidRPr="004A4C21">
        <w:rPr>
          <w:rFonts w:ascii="Times New Roman" w:hAnsi="Times New Roman" w:cs="Times New Roman"/>
          <w:sz w:val="22"/>
          <w:szCs w:val="22"/>
        </w:rPr>
        <w:t xml:space="preserve"> millones) y el uso de pasivos</w:t>
      </w:r>
      <w:r w:rsidR="00AF7783" w:rsidRPr="004A4C21">
        <w:rPr>
          <w:rFonts w:ascii="Times New Roman" w:hAnsi="Times New Roman" w:cs="Times New Roman"/>
          <w:sz w:val="22"/>
          <w:szCs w:val="22"/>
        </w:rPr>
        <w:t>,</w:t>
      </w:r>
      <w:r w:rsidRPr="004A4C21">
        <w:rPr>
          <w:rFonts w:ascii="Times New Roman" w:hAnsi="Times New Roman" w:cs="Times New Roman"/>
          <w:sz w:val="22"/>
          <w:szCs w:val="22"/>
        </w:rPr>
        <w:t xml:space="preserve"> que se incrementaron en 1.0% del PIB (Q7,925.4 millones).</w:t>
      </w:r>
    </w:p>
    <w:p w14:paraId="7FE97C1C" w14:textId="77777777" w:rsidR="004F0B2E" w:rsidRPr="004A4C21" w:rsidRDefault="004F0B2E" w:rsidP="00975EDA">
      <w:pPr>
        <w:jc w:val="both"/>
        <w:rPr>
          <w:rFonts w:ascii="Times New Roman" w:hAnsi="Times New Roman" w:cs="Times New Roman"/>
          <w:sz w:val="22"/>
          <w:szCs w:val="22"/>
        </w:rPr>
      </w:pPr>
    </w:p>
    <w:p w14:paraId="4C5198E5" w14:textId="294E3B3E" w:rsidR="00975EDA" w:rsidRPr="00F22DD8" w:rsidRDefault="004F0B2E" w:rsidP="00F22DD8">
      <w:pPr>
        <w:pStyle w:val="Ttulo2"/>
        <w:spacing w:before="0"/>
        <w:ind w:left="567" w:hanging="283"/>
        <w:rPr>
          <w:rFonts w:ascii="Times New Roman" w:hAnsi="Times New Roman" w:cs="Times New Roman"/>
          <w:b/>
          <w:bCs/>
          <w:color w:val="auto"/>
          <w:sz w:val="24"/>
          <w:szCs w:val="24"/>
          <w:lang w:val="es-MX"/>
        </w:rPr>
      </w:pPr>
      <w:bookmarkStart w:id="133" w:name="_Toc160196861"/>
      <w:r w:rsidRPr="00F22DD8">
        <w:rPr>
          <w:rFonts w:ascii="Times New Roman" w:hAnsi="Times New Roman" w:cs="Times New Roman"/>
          <w:b/>
          <w:bCs/>
          <w:color w:val="auto"/>
          <w:sz w:val="24"/>
          <w:szCs w:val="24"/>
          <w:lang w:val="es-MX"/>
        </w:rPr>
        <w:t xml:space="preserve">7.3 </w:t>
      </w:r>
      <w:r w:rsidR="00975EDA" w:rsidRPr="00F22DD8">
        <w:rPr>
          <w:rFonts w:ascii="Times New Roman" w:hAnsi="Times New Roman" w:cs="Times New Roman"/>
          <w:b/>
          <w:bCs/>
          <w:color w:val="auto"/>
          <w:sz w:val="24"/>
          <w:szCs w:val="24"/>
          <w:lang w:val="es-MX"/>
        </w:rPr>
        <w:t>Estado de operaciones del Sector Público No Financiero</w:t>
      </w:r>
      <w:bookmarkEnd w:id="133"/>
    </w:p>
    <w:p w14:paraId="705F499E" w14:textId="77777777" w:rsidR="004F0B2E" w:rsidRPr="004A4C21" w:rsidRDefault="004F0B2E" w:rsidP="00975EDA">
      <w:pPr>
        <w:rPr>
          <w:rFonts w:ascii="Times New Roman" w:hAnsi="Times New Roman" w:cs="Times New Roman"/>
          <w:b/>
          <w:bCs/>
          <w:sz w:val="22"/>
          <w:szCs w:val="22"/>
          <w:lang w:val="es-MX"/>
        </w:rPr>
      </w:pPr>
    </w:p>
    <w:p w14:paraId="103954C9" w14:textId="42F48B72" w:rsidR="00975EDA" w:rsidRPr="004A4C21" w:rsidRDefault="00975EDA" w:rsidP="00975EDA">
      <w:pPr>
        <w:jc w:val="both"/>
        <w:rPr>
          <w:rFonts w:ascii="Times New Roman" w:hAnsi="Times New Roman" w:cs="Times New Roman"/>
          <w:sz w:val="22"/>
          <w:szCs w:val="22"/>
          <w:lang w:val="es-MX"/>
        </w:rPr>
      </w:pPr>
      <w:r w:rsidRPr="004A4C21">
        <w:rPr>
          <w:rFonts w:ascii="Times New Roman" w:hAnsi="Times New Roman" w:cs="Times New Roman"/>
          <w:sz w:val="22"/>
          <w:szCs w:val="22"/>
          <w:lang w:val="es-MX"/>
        </w:rPr>
        <w:t>En lo que respecta al Sector Público No Financiero (incluye al Gobierno General y las Sociedades Públicas No Financieras) para 2023 obtuvo ingresos totales por el 17.</w:t>
      </w:r>
      <w:r w:rsidR="00DE5D7A" w:rsidRPr="004A4C21">
        <w:rPr>
          <w:rFonts w:ascii="Times New Roman" w:hAnsi="Times New Roman" w:cs="Times New Roman"/>
          <w:sz w:val="22"/>
          <w:szCs w:val="22"/>
          <w:lang w:val="es-MX"/>
        </w:rPr>
        <w:t>5</w:t>
      </w:r>
      <w:r w:rsidRPr="004A4C21">
        <w:rPr>
          <w:rFonts w:ascii="Times New Roman" w:hAnsi="Times New Roman" w:cs="Times New Roman"/>
          <w:sz w:val="22"/>
          <w:szCs w:val="22"/>
          <w:lang w:val="es-MX"/>
        </w:rPr>
        <w:t>% del PIB (Q</w:t>
      </w:r>
      <w:r w:rsidR="00DE5D7A" w:rsidRPr="004A4C21">
        <w:rPr>
          <w:rFonts w:ascii="Times New Roman" w:hAnsi="Times New Roman" w:cs="Times New Roman"/>
          <w:sz w:val="22"/>
          <w:szCs w:val="22"/>
          <w:lang w:val="es-MX"/>
        </w:rPr>
        <w:t>139,589.4</w:t>
      </w:r>
      <w:r w:rsidRPr="004A4C21">
        <w:rPr>
          <w:rFonts w:ascii="Times New Roman" w:hAnsi="Times New Roman" w:cs="Times New Roman"/>
          <w:sz w:val="22"/>
          <w:szCs w:val="22"/>
          <w:lang w:val="es-MX"/>
        </w:rPr>
        <w:t xml:space="preserve"> millones)</w:t>
      </w:r>
      <w:r w:rsidR="00C164DE" w:rsidRPr="004A4C21">
        <w:rPr>
          <w:rFonts w:ascii="Times New Roman" w:hAnsi="Times New Roman" w:cs="Times New Roman"/>
          <w:sz w:val="22"/>
          <w:szCs w:val="22"/>
          <w:lang w:val="es-MX"/>
        </w:rPr>
        <w:t xml:space="preserve">, reflejando </w:t>
      </w:r>
      <w:r w:rsidRPr="004A4C21">
        <w:rPr>
          <w:rFonts w:ascii="Times New Roman" w:hAnsi="Times New Roman" w:cs="Times New Roman"/>
          <w:sz w:val="22"/>
          <w:szCs w:val="22"/>
          <w:lang w:val="es-MX"/>
        </w:rPr>
        <w:t>aumento de 0.</w:t>
      </w:r>
      <w:r w:rsidR="00DE5D7A" w:rsidRPr="004A4C21">
        <w:rPr>
          <w:rFonts w:ascii="Times New Roman" w:hAnsi="Times New Roman" w:cs="Times New Roman"/>
          <w:sz w:val="22"/>
          <w:szCs w:val="22"/>
          <w:lang w:val="es-MX"/>
        </w:rPr>
        <w:t>3</w:t>
      </w:r>
      <w:r w:rsidRPr="004A4C21">
        <w:rPr>
          <w:rFonts w:ascii="Times New Roman" w:hAnsi="Times New Roman" w:cs="Times New Roman"/>
          <w:sz w:val="22"/>
          <w:szCs w:val="22"/>
          <w:lang w:val="es-MX"/>
        </w:rPr>
        <w:t xml:space="preserve"> puntos porcentuales respecto al 2022.</w:t>
      </w:r>
      <w:r w:rsidR="00DE5D7A" w:rsidRPr="004A4C21">
        <w:rPr>
          <w:rFonts w:ascii="Times New Roman" w:hAnsi="Times New Roman" w:cs="Times New Roman"/>
          <w:sz w:val="22"/>
          <w:szCs w:val="22"/>
          <w:lang w:val="es-MX"/>
        </w:rPr>
        <w:t xml:space="preserve"> </w:t>
      </w:r>
      <w:r w:rsidRPr="004A4C21">
        <w:rPr>
          <w:rFonts w:ascii="Times New Roman" w:hAnsi="Times New Roman" w:cs="Times New Roman"/>
          <w:sz w:val="22"/>
          <w:szCs w:val="22"/>
          <w:lang w:val="es-MX"/>
        </w:rPr>
        <w:t>Es oportuno mencionar que los ingresos totales se incrementa</w:t>
      </w:r>
      <w:r w:rsidR="00C164DE" w:rsidRPr="004A4C21">
        <w:rPr>
          <w:rFonts w:ascii="Times New Roman" w:hAnsi="Times New Roman" w:cs="Times New Roman"/>
          <w:sz w:val="22"/>
          <w:szCs w:val="22"/>
          <w:lang w:val="es-MX"/>
        </w:rPr>
        <w:t>ro</w:t>
      </w:r>
      <w:r w:rsidRPr="004A4C21">
        <w:rPr>
          <w:rFonts w:ascii="Times New Roman" w:hAnsi="Times New Roman" w:cs="Times New Roman"/>
          <w:sz w:val="22"/>
          <w:szCs w:val="22"/>
          <w:lang w:val="es-MX"/>
        </w:rPr>
        <w:t>n en 0.6% puntos porcentuales del PIB (Q5,302.6 millones) respecto lo observado a nivel de Gobierno General</w:t>
      </w:r>
      <w:r w:rsidR="00EE6AA7" w:rsidRPr="004A4C21">
        <w:rPr>
          <w:rFonts w:ascii="Times New Roman" w:hAnsi="Times New Roman" w:cs="Times New Roman"/>
          <w:sz w:val="22"/>
          <w:szCs w:val="22"/>
          <w:lang w:val="es-MX"/>
        </w:rPr>
        <w:t>. P</w:t>
      </w:r>
      <w:r w:rsidRPr="004A4C21">
        <w:rPr>
          <w:rFonts w:ascii="Times New Roman" w:hAnsi="Times New Roman" w:cs="Times New Roman"/>
          <w:sz w:val="22"/>
          <w:szCs w:val="22"/>
          <w:lang w:val="es-MX"/>
        </w:rPr>
        <w:t xml:space="preserve">rincipalmente este incremento se produce por la categoría de otros ingresos </w:t>
      </w:r>
      <w:r w:rsidR="000A4595" w:rsidRPr="004A4C21">
        <w:rPr>
          <w:rFonts w:ascii="Times New Roman" w:hAnsi="Times New Roman" w:cs="Times New Roman"/>
          <w:sz w:val="22"/>
          <w:szCs w:val="22"/>
          <w:lang w:val="es-MX"/>
        </w:rPr>
        <w:t xml:space="preserve">que </w:t>
      </w:r>
      <w:r w:rsidRPr="004A4C21">
        <w:rPr>
          <w:rFonts w:ascii="Times New Roman" w:hAnsi="Times New Roman" w:cs="Times New Roman"/>
          <w:sz w:val="22"/>
          <w:szCs w:val="22"/>
          <w:lang w:val="es-MX"/>
        </w:rPr>
        <w:t>incluye las ventas de bienes y servicios que realizan las empresas públicas no financieras. La categoría de otros ingresos equivale al 2.1% del PIB (Q 16,8</w:t>
      </w:r>
      <w:r w:rsidR="00703FF9" w:rsidRPr="004A4C21">
        <w:rPr>
          <w:rFonts w:ascii="Times New Roman" w:hAnsi="Times New Roman" w:cs="Times New Roman"/>
          <w:sz w:val="22"/>
          <w:szCs w:val="22"/>
          <w:lang w:val="es-MX"/>
        </w:rPr>
        <w:t>99</w:t>
      </w:r>
      <w:r w:rsidRPr="004A4C21">
        <w:rPr>
          <w:rFonts w:ascii="Times New Roman" w:hAnsi="Times New Roman" w:cs="Times New Roman"/>
          <w:sz w:val="22"/>
          <w:szCs w:val="22"/>
          <w:lang w:val="es-MX"/>
        </w:rPr>
        <w:t>.0 millones)</w:t>
      </w:r>
      <w:r w:rsidR="000A4595" w:rsidRPr="004A4C21">
        <w:rPr>
          <w:rFonts w:ascii="Times New Roman" w:hAnsi="Times New Roman" w:cs="Times New Roman"/>
          <w:sz w:val="22"/>
          <w:szCs w:val="22"/>
          <w:lang w:val="es-MX"/>
        </w:rPr>
        <w:t xml:space="preserve">, que </w:t>
      </w:r>
      <w:r w:rsidRPr="004A4C21">
        <w:rPr>
          <w:rFonts w:ascii="Times New Roman" w:hAnsi="Times New Roman" w:cs="Times New Roman"/>
          <w:sz w:val="22"/>
          <w:szCs w:val="22"/>
          <w:lang w:val="es-MX"/>
        </w:rPr>
        <w:t xml:space="preserve">presenta variación de 0.2 puntos porcentuales respecto al año previo. Los ingresos por venta de bienes y servicio son los más </w:t>
      </w:r>
      <w:r w:rsidR="000A4595" w:rsidRPr="004A4C21">
        <w:rPr>
          <w:rFonts w:ascii="Times New Roman" w:hAnsi="Times New Roman" w:cs="Times New Roman"/>
          <w:sz w:val="22"/>
          <w:szCs w:val="22"/>
          <w:lang w:val="es-MX"/>
        </w:rPr>
        <w:t>significativos</w:t>
      </w:r>
      <w:r w:rsidRPr="004A4C21">
        <w:rPr>
          <w:rFonts w:ascii="Times New Roman" w:hAnsi="Times New Roman" w:cs="Times New Roman"/>
          <w:sz w:val="22"/>
          <w:szCs w:val="22"/>
          <w:lang w:val="es-MX"/>
        </w:rPr>
        <w:t>, situándose en torno al 1.4% del PIB (Q10,888.1 millones)</w:t>
      </w:r>
      <w:r w:rsidR="000A4595" w:rsidRPr="004A4C21">
        <w:rPr>
          <w:rFonts w:ascii="Times New Roman" w:hAnsi="Times New Roman" w:cs="Times New Roman"/>
          <w:sz w:val="22"/>
          <w:szCs w:val="22"/>
          <w:lang w:val="es-MX"/>
        </w:rPr>
        <w:t xml:space="preserve"> que </w:t>
      </w:r>
      <w:r w:rsidRPr="004A4C21">
        <w:rPr>
          <w:rFonts w:ascii="Times New Roman" w:hAnsi="Times New Roman" w:cs="Times New Roman"/>
          <w:sz w:val="22"/>
          <w:szCs w:val="22"/>
          <w:lang w:val="es-MX"/>
        </w:rPr>
        <w:t xml:space="preserve">representan aumento de 0.1 punto porcentual respecto al año previo. Las rentas de la propiedad por su parte se situaron en 0.5% del PIB (Q3,809.9 millones) y tuvieron un aumento de 0.1 puntos porcentuales respecto a 2022. </w:t>
      </w:r>
    </w:p>
    <w:p w14:paraId="00B14818" w14:textId="77777777" w:rsidR="004F0B2E" w:rsidRPr="004A4C21" w:rsidRDefault="004F0B2E" w:rsidP="00975EDA">
      <w:pPr>
        <w:jc w:val="both"/>
        <w:rPr>
          <w:rFonts w:ascii="Times New Roman" w:hAnsi="Times New Roman" w:cs="Times New Roman"/>
          <w:sz w:val="22"/>
          <w:szCs w:val="22"/>
          <w:lang w:val="es-MX"/>
        </w:rPr>
      </w:pPr>
    </w:p>
    <w:p w14:paraId="0F882755" w14:textId="4815396C" w:rsidR="00975EDA" w:rsidRPr="004A4C21" w:rsidRDefault="00975EDA" w:rsidP="00975EDA">
      <w:pPr>
        <w:jc w:val="both"/>
        <w:rPr>
          <w:rFonts w:ascii="Times New Roman" w:hAnsi="Times New Roman" w:cs="Times New Roman"/>
          <w:sz w:val="22"/>
          <w:szCs w:val="22"/>
        </w:rPr>
      </w:pPr>
      <w:r w:rsidRPr="004A4C21">
        <w:rPr>
          <w:rFonts w:ascii="Times New Roman" w:hAnsi="Times New Roman" w:cs="Times New Roman"/>
          <w:sz w:val="22"/>
          <w:szCs w:val="22"/>
          <w:lang w:val="es-MX"/>
        </w:rPr>
        <w:t xml:space="preserve">En cuanto al gasto ejecutado por del Sector Público No Financiero, este se sitúa en 15.6% del PIB (Q124,868.4 millones) siendo una disminución de 0.1 puntos porcentuales respecto a la ejecución observada en el año </w:t>
      </w:r>
      <w:r w:rsidR="000A4595" w:rsidRPr="004A4C21">
        <w:rPr>
          <w:rFonts w:ascii="Times New Roman" w:hAnsi="Times New Roman" w:cs="Times New Roman"/>
          <w:sz w:val="22"/>
          <w:szCs w:val="22"/>
          <w:lang w:val="es-MX"/>
        </w:rPr>
        <w:t>anterior, que</w:t>
      </w:r>
      <w:r w:rsidRPr="004A4C21">
        <w:rPr>
          <w:rFonts w:ascii="Times New Roman" w:hAnsi="Times New Roman" w:cs="Times New Roman"/>
          <w:sz w:val="22"/>
          <w:szCs w:val="22"/>
          <w:lang w:val="es-MX"/>
        </w:rPr>
        <w:t xml:space="preserve"> es un aumento de 0.4 puntos porcentuales respecto al Gobierno General. El gasto en Remuneraciones a los empleados asciende a 7.3% del PIB (Q58,416.0 millones)</w:t>
      </w:r>
      <w:r w:rsidR="000A4595" w:rsidRPr="004A4C21">
        <w:rPr>
          <w:rFonts w:ascii="Times New Roman" w:hAnsi="Times New Roman" w:cs="Times New Roman"/>
          <w:sz w:val="22"/>
          <w:szCs w:val="22"/>
          <w:lang w:val="es-MX"/>
        </w:rPr>
        <w:t>;</w:t>
      </w:r>
      <w:r w:rsidRPr="004A4C21">
        <w:rPr>
          <w:rFonts w:ascii="Times New Roman" w:hAnsi="Times New Roman" w:cs="Times New Roman"/>
          <w:sz w:val="22"/>
          <w:szCs w:val="22"/>
          <w:lang w:val="es-MX"/>
        </w:rPr>
        <w:t xml:space="preserve"> el uso de bienes y servicios se situó en 3.5% del PIB (Q28,162.1 millones)</w:t>
      </w:r>
      <w:r w:rsidR="000A4595" w:rsidRPr="004A4C21">
        <w:rPr>
          <w:rFonts w:ascii="Times New Roman" w:hAnsi="Times New Roman" w:cs="Times New Roman"/>
          <w:sz w:val="22"/>
          <w:szCs w:val="22"/>
          <w:lang w:val="es-MX"/>
        </w:rPr>
        <w:t>;</w:t>
      </w:r>
      <w:r w:rsidRPr="004A4C21">
        <w:rPr>
          <w:rFonts w:ascii="Times New Roman" w:hAnsi="Times New Roman" w:cs="Times New Roman"/>
          <w:sz w:val="22"/>
          <w:szCs w:val="22"/>
          <w:lang w:val="es-MX"/>
        </w:rPr>
        <w:t xml:space="preserve"> el gasto en prestaciones </w:t>
      </w:r>
      <w:r w:rsidRPr="004A4C21">
        <w:rPr>
          <w:rFonts w:ascii="Times New Roman" w:hAnsi="Times New Roman" w:cs="Times New Roman"/>
          <w:sz w:val="22"/>
          <w:szCs w:val="22"/>
          <w:lang w:val="es-MX"/>
        </w:rPr>
        <w:lastRenderedPageBreak/>
        <w:t>sociales equivale al 1.9% del PIB (Q15,394.3 millones)</w:t>
      </w:r>
      <w:r w:rsidR="000A4595" w:rsidRPr="004A4C21">
        <w:rPr>
          <w:rFonts w:ascii="Times New Roman" w:hAnsi="Times New Roman" w:cs="Times New Roman"/>
          <w:sz w:val="22"/>
          <w:szCs w:val="22"/>
          <w:lang w:val="es-MX"/>
        </w:rPr>
        <w:t>;</w:t>
      </w:r>
      <w:r w:rsidRPr="004A4C21">
        <w:rPr>
          <w:rFonts w:ascii="Times New Roman" w:hAnsi="Times New Roman" w:cs="Times New Roman"/>
          <w:sz w:val="22"/>
          <w:szCs w:val="22"/>
          <w:lang w:val="es-MX"/>
        </w:rPr>
        <w:t xml:space="preserve"> el pago de intereses asciende a 1.5% del PIB (Q12,051.2 millones)</w:t>
      </w:r>
      <w:r w:rsidR="000A4595" w:rsidRPr="004A4C21">
        <w:rPr>
          <w:rFonts w:ascii="Times New Roman" w:hAnsi="Times New Roman" w:cs="Times New Roman"/>
          <w:sz w:val="22"/>
          <w:szCs w:val="22"/>
          <w:lang w:val="es-MX"/>
        </w:rPr>
        <w:t>;</w:t>
      </w:r>
      <w:r w:rsidRPr="004A4C21">
        <w:rPr>
          <w:rFonts w:ascii="Times New Roman" w:hAnsi="Times New Roman" w:cs="Times New Roman"/>
          <w:sz w:val="22"/>
          <w:szCs w:val="22"/>
          <w:lang w:val="es-MX"/>
        </w:rPr>
        <w:t xml:space="preserve"> la categoría de otros gastos se situó en torno al 1.1% del PIB (Q9,108.5 millones)</w:t>
      </w:r>
      <w:r w:rsidR="000A4595" w:rsidRPr="004A4C21">
        <w:rPr>
          <w:rFonts w:ascii="Times New Roman" w:hAnsi="Times New Roman" w:cs="Times New Roman"/>
          <w:sz w:val="22"/>
          <w:szCs w:val="22"/>
          <w:lang w:val="es-MX"/>
        </w:rPr>
        <w:t>;</w:t>
      </w:r>
      <w:r w:rsidRPr="004A4C21">
        <w:rPr>
          <w:rFonts w:ascii="Times New Roman" w:hAnsi="Times New Roman" w:cs="Times New Roman"/>
          <w:sz w:val="22"/>
          <w:szCs w:val="22"/>
          <w:lang w:val="es-MX"/>
        </w:rPr>
        <w:t xml:space="preserve"> y</w:t>
      </w:r>
      <w:r w:rsidR="000A4595" w:rsidRPr="004A4C21">
        <w:rPr>
          <w:rFonts w:ascii="Times New Roman" w:hAnsi="Times New Roman" w:cs="Times New Roman"/>
          <w:sz w:val="22"/>
          <w:szCs w:val="22"/>
          <w:lang w:val="es-MX"/>
        </w:rPr>
        <w:t>,</w:t>
      </w:r>
      <w:r w:rsidRPr="004A4C21">
        <w:rPr>
          <w:rFonts w:ascii="Times New Roman" w:hAnsi="Times New Roman" w:cs="Times New Roman"/>
          <w:sz w:val="22"/>
          <w:szCs w:val="22"/>
          <w:lang w:val="es-MX"/>
        </w:rPr>
        <w:t xml:space="preserve"> los subsidios </w:t>
      </w:r>
      <w:r w:rsidR="000A4595" w:rsidRPr="004A4C21">
        <w:rPr>
          <w:rFonts w:ascii="Times New Roman" w:hAnsi="Times New Roman" w:cs="Times New Roman"/>
          <w:sz w:val="22"/>
          <w:szCs w:val="22"/>
          <w:lang w:val="es-MX"/>
        </w:rPr>
        <w:t xml:space="preserve">fueron </w:t>
      </w:r>
      <w:r w:rsidRPr="004A4C21">
        <w:rPr>
          <w:rFonts w:ascii="Times New Roman" w:hAnsi="Times New Roman" w:cs="Times New Roman"/>
          <w:sz w:val="22"/>
          <w:szCs w:val="22"/>
          <w:lang w:val="es-MX"/>
        </w:rPr>
        <w:t>el 0.2% del PIB (Q1,344.7 millones).</w:t>
      </w:r>
      <w:r w:rsidR="000A4595" w:rsidRPr="004A4C21">
        <w:rPr>
          <w:rFonts w:ascii="Times New Roman" w:hAnsi="Times New Roman" w:cs="Times New Roman"/>
          <w:sz w:val="22"/>
          <w:szCs w:val="22"/>
          <w:lang w:val="es-MX"/>
        </w:rPr>
        <w:t xml:space="preserve"> </w:t>
      </w:r>
      <w:r w:rsidRPr="004A4C21">
        <w:rPr>
          <w:rFonts w:ascii="Times New Roman" w:hAnsi="Times New Roman" w:cs="Times New Roman"/>
          <w:sz w:val="22"/>
          <w:szCs w:val="22"/>
        </w:rPr>
        <w:t xml:space="preserve">La inversión a nivel del Sector Público No Financiero equivale al 2.6% del PIB (Q20,700.1 millones) </w:t>
      </w:r>
      <w:r w:rsidR="00717B12" w:rsidRPr="004A4C21">
        <w:rPr>
          <w:rFonts w:ascii="Times New Roman" w:hAnsi="Times New Roman" w:cs="Times New Roman"/>
          <w:sz w:val="22"/>
          <w:szCs w:val="22"/>
        </w:rPr>
        <w:t>que</w:t>
      </w:r>
      <w:r w:rsidRPr="004A4C21">
        <w:rPr>
          <w:rFonts w:ascii="Times New Roman" w:hAnsi="Times New Roman" w:cs="Times New Roman"/>
          <w:sz w:val="22"/>
          <w:szCs w:val="22"/>
        </w:rPr>
        <w:t xml:space="preserve"> es un aumento de 0.3 puntos porcentuales respecto al año previo.</w:t>
      </w:r>
    </w:p>
    <w:p w14:paraId="08F7A2C1" w14:textId="40F96251" w:rsidR="00975EDA" w:rsidRPr="004A4C21" w:rsidRDefault="00975EDA" w:rsidP="00975EDA">
      <w:pPr>
        <w:jc w:val="both"/>
        <w:rPr>
          <w:rFonts w:ascii="Times New Roman" w:hAnsi="Times New Roman" w:cs="Times New Roman"/>
          <w:sz w:val="22"/>
          <w:szCs w:val="22"/>
        </w:rPr>
      </w:pPr>
      <w:r w:rsidRPr="004A4C21">
        <w:rPr>
          <w:rFonts w:ascii="Times New Roman" w:hAnsi="Times New Roman" w:cs="Times New Roman"/>
          <w:sz w:val="22"/>
          <w:szCs w:val="22"/>
        </w:rPr>
        <w:t>El resultado operativo fue positivo por 1.8% del PIB (Q14,467.9 millones) y a nivel del resultado fiscal, se obtuvo endeudamiento neto (déficit) de 0.8% del PIB (Q6,232.2 millones)</w:t>
      </w:r>
      <w:r w:rsidR="002359C0" w:rsidRPr="004A4C21">
        <w:rPr>
          <w:rFonts w:ascii="Times New Roman" w:hAnsi="Times New Roman" w:cs="Times New Roman"/>
          <w:sz w:val="22"/>
          <w:szCs w:val="22"/>
        </w:rPr>
        <w:t>. E</w:t>
      </w:r>
      <w:r w:rsidRPr="004A4C21">
        <w:rPr>
          <w:rFonts w:ascii="Times New Roman" w:hAnsi="Times New Roman" w:cs="Times New Roman"/>
          <w:sz w:val="22"/>
          <w:szCs w:val="22"/>
        </w:rPr>
        <w:t xml:space="preserve">n lo respectivo a las Sociedades Públicas No Financieras, su resultado operativo </w:t>
      </w:r>
      <w:r w:rsidR="002359C0" w:rsidRPr="004A4C21">
        <w:rPr>
          <w:rFonts w:ascii="Times New Roman" w:hAnsi="Times New Roman" w:cs="Times New Roman"/>
          <w:sz w:val="22"/>
          <w:szCs w:val="22"/>
        </w:rPr>
        <w:t>fue</w:t>
      </w:r>
      <w:r w:rsidRPr="004A4C21">
        <w:rPr>
          <w:rFonts w:ascii="Times New Roman" w:hAnsi="Times New Roman" w:cs="Times New Roman"/>
          <w:sz w:val="22"/>
          <w:szCs w:val="22"/>
        </w:rPr>
        <w:t xml:space="preserve"> positivo por 0.2% del PIB (Q1,815.2 millones) y un préstamo neto del 0.1% del PIB (Q949.8 millones).</w:t>
      </w:r>
    </w:p>
    <w:p w14:paraId="372DDFE1" w14:textId="77777777" w:rsidR="008C57B7" w:rsidRPr="004A4C21" w:rsidRDefault="008C57B7" w:rsidP="00975EDA">
      <w:pPr>
        <w:jc w:val="both"/>
        <w:rPr>
          <w:rFonts w:ascii="Times New Roman" w:hAnsi="Times New Roman" w:cs="Times New Roman"/>
          <w:sz w:val="22"/>
          <w:szCs w:val="22"/>
        </w:rPr>
      </w:pPr>
    </w:p>
    <w:p w14:paraId="1F2B897A" w14:textId="09724859" w:rsidR="00975EDA" w:rsidRPr="004A4C21" w:rsidRDefault="00975EDA" w:rsidP="00975EDA">
      <w:pPr>
        <w:jc w:val="both"/>
        <w:rPr>
          <w:rFonts w:ascii="Times New Roman" w:hAnsi="Times New Roman" w:cs="Times New Roman"/>
          <w:sz w:val="22"/>
          <w:szCs w:val="22"/>
        </w:rPr>
      </w:pPr>
      <w:r w:rsidRPr="004A4C21">
        <w:rPr>
          <w:rFonts w:ascii="Times New Roman" w:hAnsi="Times New Roman" w:cs="Times New Roman"/>
          <w:sz w:val="22"/>
          <w:szCs w:val="22"/>
        </w:rPr>
        <w:t>En cuanto al financiamiento, hubo un aumento de los activos financieros por 0.</w:t>
      </w:r>
      <w:r w:rsidR="008D6E8B" w:rsidRPr="004A4C21">
        <w:rPr>
          <w:rFonts w:ascii="Times New Roman" w:hAnsi="Times New Roman" w:cs="Times New Roman"/>
          <w:sz w:val="22"/>
          <w:szCs w:val="22"/>
        </w:rPr>
        <w:t>4</w:t>
      </w:r>
      <w:r w:rsidRPr="004A4C21">
        <w:rPr>
          <w:rFonts w:ascii="Times New Roman" w:hAnsi="Times New Roman" w:cs="Times New Roman"/>
          <w:sz w:val="22"/>
          <w:szCs w:val="22"/>
        </w:rPr>
        <w:t>% del PIB (Q</w:t>
      </w:r>
      <w:r w:rsidR="008D6E8B" w:rsidRPr="004A4C21">
        <w:rPr>
          <w:rFonts w:ascii="Times New Roman" w:hAnsi="Times New Roman" w:cs="Times New Roman"/>
          <w:sz w:val="22"/>
          <w:szCs w:val="22"/>
        </w:rPr>
        <w:t>2,798.6</w:t>
      </w:r>
      <w:r w:rsidRPr="004A4C21">
        <w:rPr>
          <w:rFonts w:ascii="Times New Roman" w:hAnsi="Times New Roman" w:cs="Times New Roman"/>
          <w:sz w:val="22"/>
          <w:szCs w:val="22"/>
        </w:rPr>
        <w:t xml:space="preserve"> millones) a nivel del Sector Público No Financiero y los pasivos aumentaron en 1.0% del PIB (Q7,865.3 millones).</w:t>
      </w:r>
    </w:p>
    <w:p w14:paraId="35151193" w14:textId="77777777" w:rsidR="002F5044" w:rsidRPr="004A4C21" w:rsidRDefault="002F5044" w:rsidP="00975EDA">
      <w:pPr>
        <w:jc w:val="both"/>
        <w:rPr>
          <w:rFonts w:ascii="Times New Roman" w:hAnsi="Times New Roman" w:cs="Times New Roman"/>
          <w:sz w:val="22"/>
          <w:szCs w:val="22"/>
        </w:rPr>
      </w:pPr>
    </w:p>
    <w:p w14:paraId="6445CC1C" w14:textId="131B1E74" w:rsidR="00975EDA" w:rsidRPr="004A4C21" w:rsidRDefault="004A4C21" w:rsidP="004A4C21">
      <w:pPr>
        <w:pStyle w:val="Descripcin"/>
        <w:keepNext/>
        <w:spacing w:after="0"/>
        <w:jc w:val="center"/>
        <w:rPr>
          <w:sz w:val="22"/>
          <w:szCs w:val="22"/>
        </w:rPr>
      </w:pPr>
      <w:bookmarkStart w:id="134" w:name="_Toc160196926"/>
      <w:r w:rsidRPr="004A4C21">
        <w:rPr>
          <w:sz w:val="22"/>
          <w:szCs w:val="22"/>
        </w:rPr>
        <w:t xml:space="preserve">Tabla </w:t>
      </w:r>
      <w:r w:rsidRPr="004A4C21">
        <w:rPr>
          <w:sz w:val="22"/>
          <w:szCs w:val="22"/>
        </w:rPr>
        <w:fldChar w:fldCharType="begin"/>
      </w:r>
      <w:r w:rsidRPr="004A4C21">
        <w:rPr>
          <w:sz w:val="22"/>
          <w:szCs w:val="22"/>
        </w:rPr>
        <w:instrText xml:space="preserve"> SEQ Tabla \* ARABIC </w:instrText>
      </w:r>
      <w:r w:rsidRPr="004A4C21">
        <w:rPr>
          <w:sz w:val="22"/>
          <w:szCs w:val="22"/>
        </w:rPr>
        <w:fldChar w:fldCharType="separate"/>
      </w:r>
      <w:r w:rsidR="00C015DC">
        <w:rPr>
          <w:noProof/>
          <w:sz w:val="22"/>
          <w:szCs w:val="22"/>
        </w:rPr>
        <w:t>11</w:t>
      </w:r>
      <w:r w:rsidRPr="004A4C21">
        <w:rPr>
          <w:sz w:val="22"/>
          <w:szCs w:val="22"/>
        </w:rPr>
        <w:fldChar w:fldCharType="end"/>
      </w:r>
      <w:r w:rsidRPr="004A4C21">
        <w:rPr>
          <w:sz w:val="22"/>
          <w:szCs w:val="22"/>
        </w:rPr>
        <w:t xml:space="preserve">.  </w:t>
      </w:r>
      <w:r w:rsidR="00975EDA" w:rsidRPr="004A4C21">
        <w:rPr>
          <w:rFonts w:cs="Times New Roman"/>
          <w:bCs/>
          <w:sz w:val="22"/>
          <w:szCs w:val="22"/>
        </w:rPr>
        <w:t>Estado de operaciones del Sector Público No Financiero</w:t>
      </w:r>
      <w:bookmarkEnd w:id="134"/>
    </w:p>
    <w:p w14:paraId="64B43040" w14:textId="77777777" w:rsidR="00975EDA" w:rsidRPr="004A4C21" w:rsidRDefault="00975EDA" w:rsidP="00975EDA">
      <w:pPr>
        <w:jc w:val="center"/>
        <w:rPr>
          <w:rFonts w:ascii="Times New Roman" w:hAnsi="Times New Roman" w:cs="Times New Roman"/>
          <w:sz w:val="22"/>
          <w:szCs w:val="22"/>
        </w:rPr>
      </w:pPr>
      <w:r w:rsidRPr="004A4C21">
        <w:rPr>
          <w:rFonts w:ascii="Times New Roman" w:hAnsi="Times New Roman" w:cs="Times New Roman"/>
          <w:sz w:val="22"/>
          <w:szCs w:val="22"/>
        </w:rPr>
        <w:t>Cifras en Millones de Quetzales</w:t>
      </w:r>
    </w:p>
    <w:tbl>
      <w:tblPr>
        <w:tblW w:w="8525" w:type="dxa"/>
        <w:jc w:val="center"/>
        <w:tblCellMar>
          <w:left w:w="70" w:type="dxa"/>
          <w:right w:w="70" w:type="dxa"/>
        </w:tblCellMar>
        <w:tblLook w:val="04A0" w:firstRow="1" w:lastRow="0" w:firstColumn="1" w:lastColumn="0" w:noHBand="0" w:noVBand="1"/>
      </w:tblPr>
      <w:tblGrid>
        <w:gridCol w:w="3905"/>
        <w:gridCol w:w="1213"/>
        <w:gridCol w:w="1214"/>
        <w:gridCol w:w="1095"/>
        <w:gridCol w:w="1098"/>
      </w:tblGrid>
      <w:tr w:rsidR="00975EDA" w:rsidRPr="00D96ECA" w14:paraId="7681989B" w14:textId="77777777" w:rsidTr="00B341EB">
        <w:trPr>
          <w:trHeight w:val="323"/>
          <w:jc w:val="center"/>
        </w:trPr>
        <w:tc>
          <w:tcPr>
            <w:tcW w:w="3905" w:type="dxa"/>
            <w:vMerge w:val="restart"/>
            <w:tcBorders>
              <w:top w:val="single" w:sz="8" w:space="0" w:color="auto"/>
              <w:left w:val="single" w:sz="8" w:space="0" w:color="auto"/>
              <w:bottom w:val="single" w:sz="8" w:space="0" w:color="000000"/>
              <w:right w:val="nil"/>
            </w:tcBorders>
            <w:shd w:val="clear" w:color="000000" w:fill="44546A"/>
            <w:noWrap/>
            <w:vAlign w:val="center"/>
            <w:hideMark/>
          </w:tcPr>
          <w:p w14:paraId="6FABFE89" w14:textId="77777777" w:rsidR="00975EDA" w:rsidRPr="00D96ECA" w:rsidRDefault="00975EDA" w:rsidP="00B341EB">
            <w:pPr>
              <w:jc w:val="center"/>
              <w:rPr>
                <w:rFonts w:ascii="Times New Roman" w:eastAsia="Times New Roman" w:hAnsi="Times New Roman" w:cs="Times New Roman"/>
                <w:b/>
                <w:bCs/>
                <w:color w:val="FFFFFF"/>
                <w:sz w:val="20"/>
                <w:szCs w:val="20"/>
                <w:lang w:eastAsia="es-GT"/>
              </w:rPr>
            </w:pPr>
            <w:r w:rsidRPr="00D96ECA">
              <w:rPr>
                <w:rFonts w:ascii="Times New Roman" w:eastAsia="Times New Roman" w:hAnsi="Times New Roman" w:cs="Times New Roman"/>
                <w:b/>
                <w:bCs/>
                <w:color w:val="FFFFFF"/>
                <w:sz w:val="20"/>
                <w:szCs w:val="20"/>
                <w:lang w:eastAsia="es-GT"/>
              </w:rPr>
              <w:t>Descripción</w:t>
            </w:r>
          </w:p>
        </w:tc>
        <w:tc>
          <w:tcPr>
            <w:tcW w:w="2427" w:type="dxa"/>
            <w:gridSpan w:val="2"/>
            <w:tcBorders>
              <w:top w:val="single" w:sz="8" w:space="0" w:color="auto"/>
              <w:left w:val="single" w:sz="8" w:space="0" w:color="auto"/>
              <w:bottom w:val="single" w:sz="8" w:space="0" w:color="auto"/>
              <w:right w:val="single" w:sz="8" w:space="0" w:color="000000"/>
            </w:tcBorders>
            <w:shd w:val="clear" w:color="000000" w:fill="44546A"/>
            <w:vAlign w:val="center"/>
            <w:hideMark/>
          </w:tcPr>
          <w:p w14:paraId="3450AE34" w14:textId="77777777" w:rsidR="00975EDA" w:rsidRPr="00D96ECA" w:rsidRDefault="00975EDA" w:rsidP="00B341EB">
            <w:pPr>
              <w:jc w:val="center"/>
              <w:rPr>
                <w:rFonts w:ascii="Times New Roman" w:eastAsia="Times New Roman" w:hAnsi="Times New Roman" w:cs="Times New Roman"/>
                <w:b/>
                <w:bCs/>
                <w:color w:val="FFFFFF"/>
                <w:sz w:val="20"/>
                <w:szCs w:val="20"/>
                <w:lang w:eastAsia="es-GT"/>
              </w:rPr>
            </w:pPr>
            <w:r w:rsidRPr="00D96ECA">
              <w:rPr>
                <w:rFonts w:ascii="Times New Roman" w:eastAsia="Times New Roman" w:hAnsi="Times New Roman" w:cs="Times New Roman"/>
                <w:b/>
                <w:bCs/>
                <w:color w:val="FFFFFF"/>
                <w:sz w:val="20"/>
                <w:szCs w:val="20"/>
                <w:lang w:eastAsia="es-GT"/>
              </w:rPr>
              <w:t>En millones de Q</w:t>
            </w:r>
          </w:p>
        </w:tc>
        <w:tc>
          <w:tcPr>
            <w:tcW w:w="2193" w:type="dxa"/>
            <w:gridSpan w:val="2"/>
            <w:tcBorders>
              <w:top w:val="single" w:sz="8" w:space="0" w:color="auto"/>
              <w:left w:val="nil"/>
              <w:bottom w:val="single" w:sz="8" w:space="0" w:color="auto"/>
              <w:right w:val="single" w:sz="8" w:space="0" w:color="000000"/>
            </w:tcBorders>
            <w:shd w:val="clear" w:color="000000" w:fill="44546A"/>
            <w:vAlign w:val="center"/>
            <w:hideMark/>
          </w:tcPr>
          <w:p w14:paraId="1637D20A" w14:textId="77777777" w:rsidR="00975EDA" w:rsidRPr="00D96ECA" w:rsidRDefault="00975EDA" w:rsidP="00B341EB">
            <w:pPr>
              <w:jc w:val="center"/>
              <w:rPr>
                <w:rFonts w:ascii="Times New Roman" w:eastAsia="Times New Roman" w:hAnsi="Times New Roman" w:cs="Times New Roman"/>
                <w:b/>
                <w:bCs/>
                <w:color w:val="FFFFFF"/>
                <w:sz w:val="20"/>
                <w:szCs w:val="20"/>
                <w:lang w:eastAsia="es-GT"/>
              </w:rPr>
            </w:pPr>
            <w:r w:rsidRPr="00D96ECA">
              <w:rPr>
                <w:rFonts w:ascii="Times New Roman" w:eastAsia="Times New Roman" w:hAnsi="Times New Roman" w:cs="Times New Roman"/>
                <w:b/>
                <w:bCs/>
                <w:color w:val="FFFFFF"/>
                <w:sz w:val="20"/>
                <w:szCs w:val="20"/>
                <w:lang w:eastAsia="es-GT"/>
              </w:rPr>
              <w:t>Como porcentaje del PIB</w:t>
            </w:r>
          </w:p>
        </w:tc>
      </w:tr>
      <w:tr w:rsidR="00975EDA" w:rsidRPr="00D96ECA" w14:paraId="3D0E2FE8" w14:textId="77777777" w:rsidTr="00B341EB">
        <w:trPr>
          <w:trHeight w:val="238"/>
          <w:jc w:val="center"/>
        </w:trPr>
        <w:tc>
          <w:tcPr>
            <w:tcW w:w="3905" w:type="dxa"/>
            <w:vMerge/>
            <w:tcBorders>
              <w:top w:val="single" w:sz="8" w:space="0" w:color="auto"/>
              <w:left w:val="single" w:sz="8" w:space="0" w:color="auto"/>
              <w:bottom w:val="single" w:sz="8" w:space="0" w:color="000000"/>
              <w:right w:val="nil"/>
            </w:tcBorders>
            <w:vAlign w:val="center"/>
            <w:hideMark/>
          </w:tcPr>
          <w:p w14:paraId="64C85D61" w14:textId="77777777" w:rsidR="00975EDA" w:rsidRPr="00D96ECA" w:rsidRDefault="00975EDA" w:rsidP="00B341EB">
            <w:pPr>
              <w:rPr>
                <w:rFonts w:ascii="Times New Roman" w:eastAsia="Times New Roman" w:hAnsi="Times New Roman" w:cs="Times New Roman"/>
                <w:b/>
                <w:bCs/>
                <w:color w:val="FFFFFF"/>
                <w:sz w:val="20"/>
                <w:szCs w:val="20"/>
                <w:lang w:eastAsia="es-GT"/>
              </w:rPr>
            </w:pPr>
          </w:p>
        </w:tc>
        <w:tc>
          <w:tcPr>
            <w:tcW w:w="1213" w:type="dxa"/>
            <w:tcBorders>
              <w:top w:val="nil"/>
              <w:left w:val="single" w:sz="8" w:space="0" w:color="auto"/>
              <w:bottom w:val="single" w:sz="8" w:space="0" w:color="auto"/>
              <w:right w:val="nil"/>
            </w:tcBorders>
            <w:shd w:val="clear" w:color="000000" w:fill="808080"/>
            <w:vAlign w:val="center"/>
            <w:hideMark/>
          </w:tcPr>
          <w:p w14:paraId="75B341CE" w14:textId="77777777" w:rsidR="00975EDA" w:rsidRPr="00D96ECA" w:rsidRDefault="00975EDA" w:rsidP="00B341EB">
            <w:pPr>
              <w:jc w:val="center"/>
              <w:rPr>
                <w:rFonts w:ascii="Times New Roman" w:eastAsia="Times New Roman" w:hAnsi="Times New Roman" w:cs="Times New Roman"/>
                <w:b/>
                <w:bCs/>
                <w:color w:val="FFFFFF"/>
                <w:sz w:val="20"/>
                <w:szCs w:val="20"/>
                <w:lang w:eastAsia="es-GT"/>
              </w:rPr>
            </w:pPr>
            <w:r w:rsidRPr="00D96ECA">
              <w:rPr>
                <w:rFonts w:ascii="Times New Roman" w:eastAsia="Times New Roman" w:hAnsi="Times New Roman" w:cs="Times New Roman"/>
                <w:b/>
                <w:bCs/>
                <w:color w:val="FFFFFF"/>
                <w:sz w:val="20"/>
                <w:szCs w:val="20"/>
                <w:lang w:eastAsia="es-GT"/>
              </w:rPr>
              <w:t>2022</w:t>
            </w:r>
          </w:p>
        </w:tc>
        <w:tc>
          <w:tcPr>
            <w:tcW w:w="1214" w:type="dxa"/>
            <w:tcBorders>
              <w:top w:val="nil"/>
              <w:left w:val="nil"/>
              <w:bottom w:val="single" w:sz="8" w:space="0" w:color="auto"/>
              <w:right w:val="single" w:sz="8" w:space="0" w:color="auto"/>
            </w:tcBorders>
            <w:shd w:val="clear" w:color="000000" w:fill="808080"/>
            <w:vAlign w:val="center"/>
            <w:hideMark/>
          </w:tcPr>
          <w:p w14:paraId="78F0676E" w14:textId="77777777" w:rsidR="00975EDA" w:rsidRPr="00D96ECA" w:rsidRDefault="00975EDA" w:rsidP="00B341EB">
            <w:pPr>
              <w:jc w:val="center"/>
              <w:rPr>
                <w:rFonts w:ascii="Times New Roman" w:eastAsia="Times New Roman" w:hAnsi="Times New Roman" w:cs="Times New Roman"/>
                <w:b/>
                <w:bCs/>
                <w:color w:val="FFFFFF"/>
                <w:sz w:val="20"/>
                <w:szCs w:val="20"/>
                <w:lang w:eastAsia="es-GT"/>
              </w:rPr>
            </w:pPr>
            <w:r w:rsidRPr="00D96ECA">
              <w:rPr>
                <w:rFonts w:ascii="Times New Roman" w:eastAsia="Times New Roman" w:hAnsi="Times New Roman" w:cs="Times New Roman"/>
                <w:b/>
                <w:bCs/>
                <w:color w:val="FFFFFF"/>
                <w:sz w:val="20"/>
                <w:szCs w:val="20"/>
                <w:lang w:eastAsia="es-GT"/>
              </w:rPr>
              <w:t>2023*</w:t>
            </w:r>
          </w:p>
        </w:tc>
        <w:tc>
          <w:tcPr>
            <w:tcW w:w="1095" w:type="dxa"/>
            <w:tcBorders>
              <w:top w:val="nil"/>
              <w:left w:val="nil"/>
              <w:bottom w:val="single" w:sz="8" w:space="0" w:color="auto"/>
              <w:right w:val="nil"/>
            </w:tcBorders>
            <w:shd w:val="clear" w:color="000000" w:fill="808080"/>
            <w:vAlign w:val="center"/>
            <w:hideMark/>
          </w:tcPr>
          <w:p w14:paraId="39BCE0DF" w14:textId="77777777" w:rsidR="00975EDA" w:rsidRPr="00D96ECA" w:rsidRDefault="00975EDA" w:rsidP="00B341EB">
            <w:pPr>
              <w:jc w:val="center"/>
              <w:rPr>
                <w:rFonts w:ascii="Times New Roman" w:eastAsia="Times New Roman" w:hAnsi="Times New Roman" w:cs="Times New Roman"/>
                <w:b/>
                <w:bCs/>
                <w:color w:val="FFFFFF"/>
                <w:sz w:val="20"/>
                <w:szCs w:val="20"/>
                <w:lang w:eastAsia="es-GT"/>
              </w:rPr>
            </w:pPr>
            <w:r w:rsidRPr="00D96ECA">
              <w:rPr>
                <w:rFonts w:ascii="Times New Roman" w:eastAsia="Times New Roman" w:hAnsi="Times New Roman" w:cs="Times New Roman"/>
                <w:b/>
                <w:bCs/>
                <w:color w:val="FFFFFF"/>
                <w:sz w:val="20"/>
                <w:szCs w:val="20"/>
                <w:lang w:eastAsia="es-GT"/>
              </w:rPr>
              <w:t>2022</w:t>
            </w:r>
          </w:p>
        </w:tc>
        <w:tc>
          <w:tcPr>
            <w:tcW w:w="1098" w:type="dxa"/>
            <w:tcBorders>
              <w:top w:val="nil"/>
              <w:left w:val="nil"/>
              <w:bottom w:val="single" w:sz="8" w:space="0" w:color="auto"/>
              <w:right w:val="single" w:sz="8" w:space="0" w:color="auto"/>
            </w:tcBorders>
            <w:shd w:val="clear" w:color="000000" w:fill="808080"/>
            <w:vAlign w:val="center"/>
            <w:hideMark/>
          </w:tcPr>
          <w:p w14:paraId="1E0B92DF" w14:textId="77777777" w:rsidR="00975EDA" w:rsidRPr="00D96ECA" w:rsidRDefault="00975EDA" w:rsidP="00B341EB">
            <w:pPr>
              <w:jc w:val="center"/>
              <w:rPr>
                <w:rFonts w:ascii="Times New Roman" w:eastAsia="Times New Roman" w:hAnsi="Times New Roman" w:cs="Times New Roman"/>
                <w:b/>
                <w:bCs/>
                <w:color w:val="FFFFFF"/>
                <w:sz w:val="20"/>
                <w:szCs w:val="20"/>
                <w:lang w:eastAsia="es-GT"/>
              </w:rPr>
            </w:pPr>
            <w:r w:rsidRPr="00D96ECA">
              <w:rPr>
                <w:rFonts w:ascii="Times New Roman" w:eastAsia="Times New Roman" w:hAnsi="Times New Roman" w:cs="Times New Roman"/>
                <w:b/>
                <w:bCs/>
                <w:color w:val="FFFFFF"/>
                <w:sz w:val="20"/>
                <w:szCs w:val="20"/>
                <w:lang w:eastAsia="es-GT"/>
              </w:rPr>
              <w:t>2023*</w:t>
            </w:r>
          </w:p>
        </w:tc>
      </w:tr>
      <w:tr w:rsidR="00395F1D" w:rsidRPr="00D96ECA" w14:paraId="6111DBBE" w14:textId="77777777" w:rsidTr="00B341EB">
        <w:trPr>
          <w:trHeight w:val="238"/>
          <w:jc w:val="center"/>
        </w:trPr>
        <w:tc>
          <w:tcPr>
            <w:tcW w:w="3905" w:type="dxa"/>
            <w:tcBorders>
              <w:top w:val="nil"/>
              <w:left w:val="nil"/>
              <w:bottom w:val="nil"/>
              <w:right w:val="nil"/>
            </w:tcBorders>
            <w:shd w:val="clear" w:color="auto" w:fill="auto"/>
            <w:noWrap/>
            <w:vAlign w:val="center"/>
            <w:hideMark/>
          </w:tcPr>
          <w:p w14:paraId="6450A847" w14:textId="77777777" w:rsidR="00395F1D" w:rsidRPr="00D96ECA" w:rsidRDefault="00395F1D" w:rsidP="00395F1D">
            <w:pPr>
              <w:jc w:val="both"/>
              <w:rPr>
                <w:rFonts w:ascii="Times New Roman" w:eastAsia="Times New Roman" w:hAnsi="Times New Roman" w:cs="Times New Roman"/>
                <w:b/>
                <w:bCs/>
                <w:color w:val="000000"/>
                <w:sz w:val="20"/>
                <w:szCs w:val="20"/>
                <w:lang w:eastAsia="es-GT"/>
              </w:rPr>
            </w:pPr>
            <w:r w:rsidRPr="00D96ECA">
              <w:rPr>
                <w:rFonts w:ascii="Times New Roman" w:eastAsia="Times New Roman" w:hAnsi="Times New Roman" w:cs="Times New Roman"/>
                <w:b/>
                <w:bCs/>
                <w:color w:val="000000"/>
                <w:sz w:val="20"/>
                <w:szCs w:val="20"/>
                <w:lang w:eastAsia="es-GT"/>
              </w:rPr>
              <w:t>INGRESO</w:t>
            </w:r>
          </w:p>
        </w:tc>
        <w:tc>
          <w:tcPr>
            <w:tcW w:w="1213" w:type="dxa"/>
            <w:tcBorders>
              <w:top w:val="nil"/>
              <w:left w:val="nil"/>
              <w:bottom w:val="nil"/>
              <w:right w:val="nil"/>
            </w:tcBorders>
            <w:shd w:val="clear" w:color="auto" w:fill="auto"/>
            <w:noWrap/>
            <w:vAlign w:val="center"/>
          </w:tcPr>
          <w:p w14:paraId="05549333" w14:textId="0363BE10" w:rsidR="00395F1D" w:rsidRPr="00395F1D" w:rsidRDefault="00395F1D" w:rsidP="00395F1D">
            <w:pPr>
              <w:jc w:val="center"/>
              <w:rPr>
                <w:rFonts w:ascii="Times New Roman" w:eastAsia="Times New Roman" w:hAnsi="Times New Roman" w:cs="Times New Roman"/>
                <w:b/>
                <w:bCs/>
                <w:color w:val="000000"/>
                <w:sz w:val="20"/>
                <w:szCs w:val="20"/>
                <w:lang w:eastAsia="es-GT"/>
              </w:rPr>
            </w:pPr>
            <w:r w:rsidRPr="00395F1D">
              <w:rPr>
                <w:rFonts w:ascii="Times New Roman" w:hAnsi="Times New Roman" w:cs="Times New Roman"/>
                <w:b/>
                <w:bCs/>
                <w:color w:val="000000"/>
                <w:sz w:val="20"/>
                <w:szCs w:val="20"/>
              </w:rPr>
              <w:t>126,371.7</w:t>
            </w:r>
          </w:p>
        </w:tc>
        <w:tc>
          <w:tcPr>
            <w:tcW w:w="1214" w:type="dxa"/>
            <w:tcBorders>
              <w:top w:val="nil"/>
              <w:left w:val="nil"/>
              <w:bottom w:val="nil"/>
              <w:right w:val="nil"/>
            </w:tcBorders>
            <w:shd w:val="clear" w:color="auto" w:fill="auto"/>
            <w:noWrap/>
            <w:vAlign w:val="center"/>
          </w:tcPr>
          <w:p w14:paraId="189FB21E" w14:textId="3E69CE54" w:rsidR="00395F1D" w:rsidRPr="00395F1D" w:rsidRDefault="00395F1D" w:rsidP="00395F1D">
            <w:pPr>
              <w:jc w:val="center"/>
              <w:rPr>
                <w:rFonts w:ascii="Times New Roman" w:eastAsia="Times New Roman" w:hAnsi="Times New Roman" w:cs="Times New Roman"/>
                <w:b/>
                <w:bCs/>
                <w:color w:val="000000"/>
                <w:sz w:val="20"/>
                <w:szCs w:val="20"/>
                <w:lang w:eastAsia="es-GT"/>
              </w:rPr>
            </w:pPr>
            <w:r w:rsidRPr="00395F1D">
              <w:rPr>
                <w:rFonts w:ascii="Times New Roman" w:hAnsi="Times New Roman" w:cs="Times New Roman"/>
                <w:b/>
                <w:bCs/>
                <w:color w:val="000000"/>
                <w:sz w:val="20"/>
                <w:szCs w:val="20"/>
              </w:rPr>
              <w:t>139,589.4</w:t>
            </w:r>
          </w:p>
        </w:tc>
        <w:tc>
          <w:tcPr>
            <w:tcW w:w="1095" w:type="dxa"/>
            <w:tcBorders>
              <w:top w:val="nil"/>
              <w:left w:val="dotDash" w:sz="4" w:space="0" w:color="auto"/>
              <w:bottom w:val="nil"/>
              <w:right w:val="nil"/>
            </w:tcBorders>
            <w:shd w:val="clear" w:color="auto" w:fill="auto"/>
            <w:noWrap/>
            <w:vAlign w:val="center"/>
          </w:tcPr>
          <w:p w14:paraId="4180F148" w14:textId="087775E0" w:rsidR="00395F1D" w:rsidRPr="00395F1D" w:rsidRDefault="00395F1D" w:rsidP="00395F1D">
            <w:pPr>
              <w:jc w:val="center"/>
              <w:rPr>
                <w:rFonts w:ascii="Times New Roman" w:eastAsia="Times New Roman" w:hAnsi="Times New Roman" w:cs="Times New Roman"/>
                <w:b/>
                <w:bCs/>
                <w:color w:val="000000"/>
                <w:sz w:val="20"/>
                <w:szCs w:val="20"/>
                <w:lang w:eastAsia="es-GT"/>
              </w:rPr>
            </w:pPr>
            <w:r w:rsidRPr="00395F1D">
              <w:rPr>
                <w:rFonts w:ascii="Times New Roman" w:hAnsi="Times New Roman" w:cs="Times New Roman"/>
                <w:b/>
                <w:bCs/>
                <w:color w:val="000000"/>
                <w:sz w:val="20"/>
                <w:szCs w:val="20"/>
              </w:rPr>
              <w:t>17.2</w:t>
            </w:r>
          </w:p>
        </w:tc>
        <w:tc>
          <w:tcPr>
            <w:tcW w:w="1098" w:type="dxa"/>
            <w:tcBorders>
              <w:top w:val="nil"/>
              <w:left w:val="nil"/>
              <w:bottom w:val="nil"/>
              <w:right w:val="nil"/>
            </w:tcBorders>
            <w:shd w:val="clear" w:color="auto" w:fill="auto"/>
            <w:noWrap/>
            <w:vAlign w:val="center"/>
          </w:tcPr>
          <w:p w14:paraId="0AB51C78" w14:textId="7A9F151B" w:rsidR="00395F1D" w:rsidRPr="00395F1D" w:rsidRDefault="00395F1D" w:rsidP="00395F1D">
            <w:pPr>
              <w:jc w:val="center"/>
              <w:rPr>
                <w:rFonts w:ascii="Times New Roman" w:eastAsia="Times New Roman" w:hAnsi="Times New Roman" w:cs="Times New Roman"/>
                <w:b/>
                <w:bCs/>
                <w:color w:val="000000"/>
                <w:sz w:val="20"/>
                <w:szCs w:val="20"/>
                <w:lang w:eastAsia="es-GT"/>
              </w:rPr>
            </w:pPr>
            <w:r w:rsidRPr="00395F1D">
              <w:rPr>
                <w:rFonts w:ascii="Times New Roman" w:hAnsi="Times New Roman" w:cs="Times New Roman"/>
                <w:b/>
                <w:bCs/>
                <w:color w:val="000000"/>
                <w:sz w:val="20"/>
                <w:szCs w:val="20"/>
              </w:rPr>
              <w:t>17.5</w:t>
            </w:r>
          </w:p>
        </w:tc>
      </w:tr>
      <w:tr w:rsidR="00395F1D" w:rsidRPr="00D96ECA" w14:paraId="24A4CE65" w14:textId="77777777" w:rsidTr="00B341EB">
        <w:trPr>
          <w:trHeight w:val="238"/>
          <w:jc w:val="center"/>
        </w:trPr>
        <w:tc>
          <w:tcPr>
            <w:tcW w:w="3905" w:type="dxa"/>
            <w:tcBorders>
              <w:top w:val="nil"/>
              <w:left w:val="nil"/>
              <w:bottom w:val="nil"/>
              <w:right w:val="nil"/>
            </w:tcBorders>
            <w:shd w:val="clear" w:color="auto" w:fill="auto"/>
            <w:noWrap/>
            <w:vAlign w:val="center"/>
            <w:hideMark/>
          </w:tcPr>
          <w:p w14:paraId="0527F20D" w14:textId="77777777" w:rsidR="00395F1D" w:rsidRPr="00D96ECA" w:rsidRDefault="00395F1D" w:rsidP="00395F1D">
            <w:pPr>
              <w:ind w:firstLineChars="100" w:firstLine="200"/>
              <w:rPr>
                <w:rFonts w:ascii="Times New Roman" w:eastAsia="Times New Roman" w:hAnsi="Times New Roman" w:cs="Times New Roman"/>
                <w:color w:val="000000"/>
                <w:sz w:val="20"/>
                <w:szCs w:val="20"/>
                <w:lang w:eastAsia="es-GT"/>
              </w:rPr>
            </w:pPr>
            <w:r w:rsidRPr="00D96ECA">
              <w:rPr>
                <w:rFonts w:ascii="Times New Roman" w:eastAsia="Times New Roman" w:hAnsi="Times New Roman" w:cs="Times New Roman"/>
                <w:color w:val="000000"/>
                <w:sz w:val="20"/>
                <w:szCs w:val="20"/>
                <w:lang w:eastAsia="es-GT"/>
              </w:rPr>
              <w:t>Impuestos</w:t>
            </w:r>
          </w:p>
        </w:tc>
        <w:tc>
          <w:tcPr>
            <w:tcW w:w="1213" w:type="dxa"/>
            <w:tcBorders>
              <w:top w:val="nil"/>
              <w:left w:val="nil"/>
              <w:bottom w:val="nil"/>
              <w:right w:val="nil"/>
            </w:tcBorders>
            <w:shd w:val="clear" w:color="auto" w:fill="auto"/>
            <w:noWrap/>
            <w:vAlign w:val="center"/>
          </w:tcPr>
          <w:p w14:paraId="687D9105" w14:textId="5C74DD94" w:rsidR="00395F1D" w:rsidRPr="00395F1D" w:rsidRDefault="00395F1D" w:rsidP="00395F1D">
            <w:pPr>
              <w:jc w:val="center"/>
              <w:rPr>
                <w:rFonts w:ascii="Times New Roman" w:eastAsia="Times New Roman" w:hAnsi="Times New Roman" w:cs="Times New Roman"/>
                <w:color w:val="000000"/>
                <w:sz w:val="20"/>
                <w:szCs w:val="20"/>
                <w:lang w:eastAsia="es-GT"/>
              </w:rPr>
            </w:pPr>
            <w:r w:rsidRPr="00395F1D">
              <w:rPr>
                <w:rFonts w:ascii="Times New Roman" w:hAnsi="Times New Roman" w:cs="Times New Roman"/>
                <w:color w:val="000000"/>
                <w:sz w:val="20"/>
                <w:szCs w:val="20"/>
              </w:rPr>
              <w:t>92,121.1</w:t>
            </w:r>
          </w:p>
        </w:tc>
        <w:tc>
          <w:tcPr>
            <w:tcW w:w="1214" w:type="dxa"/>
            <w:tcBorders>
              <w:top w:val="nil"/>
              <w:left w:val="nil"/>
              <w:bottom w:val="nil"/>
              <w:right w:val="nil"/>
            </w:tcBorders>
            <w:shd w:val="clear" w:color="auto" w:fill="auto"/>
            <w:noWrap/>
            <w:vAlign w:val="center"/>
          </w:tcPr>
          <w:p w14:paraId="343164C7" w14:textId="6B8FFEF4" w:rsidR="00395F1D" w:rsidRPr="00395F1D" w:rsidRDefault="00395F1D" w:rsidP="00395F1D">
            <w:pPr>
              <w:jc w:val="center"/>
              <w:rPr>
                <w:rFonts w:ascii="Times New Roman" w:eastAsia="Times New Roman" w:hAnsi="Times New Roman" w:cs="Times New Roman"/>
                <w:color w:val="000000"/>
                <w:sz w:val="20"/>
                <w:szCs w:val="20"/>
                <w:lang w:eastAsia="es-GT"/>
              </w:rPr>
            </w:pPr>
            <w:r w:rsidRPr="00395F1D">
              <w:rPr>
                <w:rFonts w:ascii="Times New Roman" w:hAnsi="Times New Roman" w:cs="Times New Roman"/>
                <w:color w:val="000000"/>
                <w:sz w:val="20"/>
                <w:szCs w:val="20"/>
              </w:rPr>
              <w:t>99,430.8</w:t>
            </w:r>
          </w:p>
        </w:tc>
        <w:tc>
          <w:tcPr>
            <w:tcW w:w="1095" w:type="dxa"/>
            <w:tcBorders>
              <w:top w:val="nil"/>
              <w:left w:val="dotDash" w:sz="4" w:space="0" w:color="auto"/>
              <w:bottom w:val="nil"/>
              <w:right w:val="nil"/>
            </w:tcBorders>
            <w:shd w:val="clear" w:color="auto" w:fill="auto"/>
            <w:noWrap/>
            <w:vAlign w:val="center"/>
          </w:tcPr>
          <w:p w14:paraId="65F3F8B6" w14:textId="1906B21E" w:rsidR="00395F1D" w:rsidRPr="00395F1D" w:rsidRDefault="00395F1D" w:rsidP="00395F1D">
            <w:pPr>
              <w:jc w:val="center"/>
              <w:rPr>
                <w:rFonts w:ascii="Times New Roman" w:eastAsia="Times New Roman" w:hAnsi="Times New Roman" w:cs="Times New Roman"/>
                <w:color w:val="000000"/>
                <w:sz w:val="20"/>
                <w:szCs w:val="20"/>
                <w:lang w:eastAsia="es-GT"/>
              </w:rPr>
            </w:pPr>
            <w:r w:rsidRPr="00395F1D">
              <w:rPr>
                <w:rFonts w:ascii="Times New Roman" w:hAnsi="Times New Roman" w:cs="Times New Roman"/>
                <w:color w:val="000000"/>
                <w:sz w:val="20"/>
                <w:szCs w:val="20"/>
              </w:rPr>
              <w:t>12.5</w:t>
            </w:r>
          </w:p>
        </w:tc>
        <w:tc>
          <w:tcPr>
            <w:tcW w:w="1098" w:type="dxa"/>
            <w:tcBorders>
              <w:top w:val="nil"/>
              <w:left w:val="nil"/>
              <w:bottom w:val="nil"/>
              <w:right w:val="nil"/>
            </w:tcBorders>
            <w:shd w:val="clear" w:color="auto" w:fill="auto"/>
            <w:noWrap/>
            <w:vAlign w:val="center"/>
          </w:tcPr>
          <w:p w14:paraId="5B9956D3" w14:textId="6410396F" w:rsidR="00395F1D" w:rsidRPr="00395F1D" w:rsidRDefault="00395F1D" w:rsidP="00395F1D">
            <w:pPr>
              <w:jc w:val="center"/>
              <w:rPr>
                <w:rFonts w:ascii="Times New Roman" w:eastAsia="Times New Roman" w:hAnsi="Times New Roman" w:cs="Times New Roman"/>
                <w:color w:val="000000"/>
                <w:sz w:val="20"/>
                <w:szCs w:val="20"/>
                <w:lang w:eastAsia="es-GT"/>
              </w:rPr>
            </w:pPr>
            <w:r w:rsidRPr="00395F1D">
              <w:rPr>
                <w:rFonts w:ascii="Times New Roman" w:hAnsi="Times New Roman" w:cs="Times New Roman"/>
                <w:color w:val="000000"/>
                <w:sz w:val="20"/>
                <w:szCs w:val="20"/>
              </w:rPr>
              <w:t>12.4</w:t>
            </w:r>
          </w:p>
        </w:tc>
      </w:tr>
      <w:tr w:rsidR="00395F1D" w:rsidRPr="00D96ECA" w14:paraId="2A80ABE6" w14:textId="77777777" w:rsidTr="00B341EB">
        <w:trPr>
          <w:trHeight w:val="238"/>
          <w:jc w:val="center"/>
        </w:trPr>
        <w:tc>
          <w:tcPr>
            <w:tcW w:w="3905" w:type="dxa"/>
            <w:tcBorders>
              <w:top w:val="nil"/>
              <w:left w:val="nil"/>
              <w:bottom w:val="nil"/>
              <w:right w:val="nil"/>
            </w:tcBorders>
            <w:shd w:val="clear" w:color="auto" w:fill="auto"/>
            <w:noWrap/>
            <w:vAlign w:val="center"/>
            <w:hideMark/>
          </w:tcPr>
          <w:p w14:paraId="618EC830" w14:textId="77777777" w:rsidR="00395F1D" w:rsidRPr="00D96ECA" w:rsidRDefault="00395F1D" w:rsidP="00395F1D">
            <w:pPr>
              <w:ind w:firstLineChars="100" w:firstLine="200"/>
              <w:rPr>
                <w:rFonts w:ascii="Times New Roman" w:eastAsia="Times New Roman" w:hAnsi="Times New Roman" w:cs="Times New Roman"/>
                <w:color w:val="000000"/>
                <w:sz w:val="20"/>
                <w:szCs w:val="20"/>
                <w:lang w:eastAsia="es-GT"/>
              </w:rPr>
            </w:pPr>
            <w:r w:rsidRPr="00D96ECA">
              <w:rPr>
                <w:rFonts w:ascii="Times New Roman" w:eastAsia="Times New Roman" w:hAnsi="Times New Roman" w:cs="Times New Roman"/>
                <w:color w:val="000000"/>
                <w:sz w:val="20"/>
                <w:szCs w:val="20"/>
                <w:lang w:eastAsia="es-GT"/>
              </w:rPr>
              <w:t xml:space="preserve">Contribuciones sociales </w:t>
            </w:r>
          </w:p>
        </w:tc>
        <w:tc>
          <w:tcPr>
            <w:tcW w:w="1213" w:type="dxa"/>
            <w:tcBorders>
              <w:top w:val="nil"/>
              <w:left w:val="nil"/>
              <w:bottom w:val="nil"/>
              <w:right w:val="nil"/>
            </w:tcBorders>
            <w:shd w:val="clear" w:color="auto" w:fill="auto"/>
            <w:noWrap/>
            <w:vAlign w:val="center"/>
          </w:tcPr>
          <w:p w14:paraId="3DA2CEED" w14:textId="6778C4A0" w:rsidR="00395F1D" w:rsidRPr="00395F1D" w:rsidRDefault="00395F1D" w:rsidP="00395F1D">
            <w:pPr>
              <w:jc w:val="center"/>
              <w:rPr>
                <w:rFonts w:ascii="Times New Roman" w:eastAsia="Times New Roman" w:hAnsi="Times New Roman" w:cs="Times New Roman"/>
                <w:color w:val="000000"/>
                <w:sz w:val="20"/>
                <w:szCs w:val="20"/>
                <w:lang w:eastAsia="es-GT"/>
              </w:rPr>
            </w:pPr>
            <w:r w:rsidRPr="00395F1D">
              <w:rPr>
                <w:rFonts w:ascii="Times New Roman" w:hAnsi="Times New Roman" w:cs="Times New Roman"/>
                <w:color w:val="000000"/>
                <w:sz w:val="20"/>
                <w:szCs w:val="20"/>
              </w:rPr>
              <w:t>19,947.4</w:t>
            </w:r>
          </w:p>
        </w:tc>
        <w:tc>
          <w:tcPr>
            <w:tcW w:w="1214" w:type="dxa"/>
            <w:tcBorders>
              <w:top w:val="nil"/>
              <w:left w:val="nil"/>
              <w:bottom w:val="nil"/>
              <w:right w:val="nil"/>
            </w:tcBorders>
            <w:shd w:val="clear" w:color="auto" w:fill="auto"/>
            <w:noWrap/>
            <w:vAlign w:val="center"/>
          </w:tcPr>
          <w:p w14:paraId="29E92CBF" w14:textId="14C5D9BD" w:rsidR="00395F1D" w:rsidRPr="00395F1D" w:rsidRDefault="00395F1D" w:rsidP="00395F1D">
            <w:pPr>
              <w:jc w:val="center"/>
              <w:rPr>
                <w:rFonts w:ascii="Times New Roman" w:eastAsia="Times New Roman" w:hAnsi="Times New Roman" w:cs="Times New Roman"/>
                <w:color w:val="000000"/>
                <w:sz w:val="20"/>
                <w:szCs w:val="20"/>
                <w:lang w:eastAsia="es-GT"/>
              </w:rPr>
            </w:pPr>
            <w:r w:rsidRPr="00395F1D">
              <w:rPr>
                <w:rFonts w:ascii="Times New Roman" w:hAnsi="Times New Roman" w:cs="Times New Roman"/>
                <w:color w:val="000000"/>
                <w:sz w:val="20"/>
                <w:szCs w:val="20"/>
              </w:rPr>
              <w:t>23,154.3</w:t>
            </w:r>
          </w:p>
        </w:tc>
        <w:tc>
          <w:tcPr>
            <w:tcW w:w="1095" w:type="dxa"/>
            <w:tcBorders>
              <w:top w:val="nil"/>
              <w:left w:val="dotDash" w:sz="4" w:space="0" w:color="auto"/>
              <w:bottom w:val="nil"/>
              <w:right w:val="nil"/>
            </w:tcBorders>
            <w:shd w:val="clear" w:color="auto" w:fill="auto"/>
            <w:noWrap/>
            <w:vAlign w:val="center"/>
          </w:tcPr>
          <w:p w14:paraId="71665C46" w14:textId="56A9080D" w:rsidR="00395F1D" w:rsidRPr="00395F1D" w:rsidRDefault="00395F1D" w:rsidP="00395F1D">
            <w:pPr>
              <w:jc w:val="center"/>
              <w:rPr>
                <w:rFonts w:ascii="Times New Roman" w:eastAsia="Times New Roman" w:hAnsi="Times New Roman" w:cs="Times New Roman"/>
                <w:color w:val="000000"/>
                <w:sz w:val="20"/>
                <w:szCs w:val="20"/>
                <w:lang w:eastAsia="es-GT"/>
              </w:rPr>
            </w:pPr>
            <w:r w:rsidRPr="00395F1D">
              <w:rPr>
                <w:rFonts w:ascii="Times New Roman" w:hAnsi="Times New Roman" w:cs="Times New Roman"/>
                <w:color w:val="000000"/>
                <w:sz w:val="20"/>
                <w:szCs w:val="20"/>
              </w:rPr>
              <w:t>2.7</w:t>
            </w:r>
          </w:p>
        </w:tc>
        <w:tc>
          <w:tcPr>
            <w:tcW w:w="1098" w:type="dxa"/>
            <w:tcBorders>
              <w:top w:val="nil"/>
              <w:left w:val="nil"/>
              <w:bottom w:val="nil"/>
              <w:right w:val="nil"/>
            </w:tcBorders>
            <w:shd w:val="clear" w:color="auto" w:fill="auto"/>
            <w:noWrap/>
            <w:vAlign w:val="center"/>
          </w:tcPr>
          <w:p w14:paraId="7EEECECE" w14:textId="707ADDB2" w:rsidR="00395F1D" w:rsidRPr="00395F1D" w:rsidRDefault="00395F1D" w:rsidP="00395F1D">
            <w:pPr>
              <w:jc w:val="center"/>
              <w:rPr>
                <w:rFonts w:ascii="Times New Roman" w:eastAsia="Times New Roman" w:hAnsi="Times New Roman" w:cs="Times New Roman"/>
                <w:color w:val="000000"/>
                <w:sz w:val="20"/>
                <w:szCs w:val="20"/>
                <w:lang w:eastAsia="es-GT"/>
              </w:rPr>
            </w:pPr>
            <w:r w:rsidRPr="00395F1D">
              <w:rPr>
                <w:rFonts w:ascii="Times New Roman" w:hAnsi="Times New Roman" w:cs="Times New Roman"/>
                <w:color w:val="000000"/>
                <w:sz w:val="20"/>
                <w:szCs w:val="20"/>
              </w:rPr>
              <w:t>2.9</w:t>
            </w:r>
          </w:p>
        </w:tc>
      </w:tr>
      <w:tr w:rsidR="00395F1D" w:rsidRPr="00D96ECA" w14:paraId="7A77F02C" w14:textId="77777777" w:rsidTr="00B341EB">
        <w:trPr>
          <w:trHeight w:val="238"/>
          <w:jc w:val="center"/>
        </w:trPr>
        <w:tc>
          <w:tcPr>
            <w:tcW w:w="3905" w:type="dxa"/>
            <w:tcBorders>
              <w:top w:val="nil"/>
              <w:left w:val="nil"/>
              <w:bottom w:val="nil"/>
              <w:right w:val="nil"/>
            </w:tcBorders>
            <w:shd w:val="clear" w:color="auto" w:fill="auto"/>
            <w:noWrap/>
            <w:vAlign w:val="center"/>
            <w:hideMark/>
          </w:tcPr>
          <w:p w14:paraId="254F6229" w14:textId="77777777" w:rsidR="00395F1D" w:rsidRPr="00D96ECA" w:rsidRDefault="00395F1D" w:rsidP="00395F1D">
            <w:pPr>
              <w:ind w:firstLineChars="100" w:firstLine="200"/>
              <w:rPr>
                <w:rFonts w:ascii="Times New Roman" w:eastAsia="Times New Roman" w:hAnsi="Times New Roman" w:cs="Times New Roman"/>
                <w:color w:val="000000"/>
                <w:sz w:val="20"/>
                <w:szCs w:val="20"/>
                <w:lang w:eastAsia="es-GT"/>
              </w:rPr>
            </w:pPr>
            <w:r w:rsidRPr="00D96ECA">
              <w:rPr>
                <w:rFonts w:ascii="Times New Roman" w:eastAsia="Times New Roman" w:hAnsi="Times New Roman" w:cs="Times New Roman"/>
                <w:color w:val="000000"/>
                <w:sz w:val="20"/>
                <w:szCs w:val="20"/>
                <w:lang w:eastAsia="es-GT"/>
              </w:rPr>
              <w:t>Donaciones</w:t>
            </w:r>
          </w:p>
        </w:tc>
        <w:tc>
          <w:tcPr>
            <w:tcW w:w="1213" w:type="dxa"/>
            <w:tcBorders>
              <w:top w:val="nil"/>
              <w:left w:val="nil"/>
              <w:bottom w:val="nil"/>
              <w:right w:val="nil"/>
            </w:tcBorders>
            <w:shd w:val="clear" w:color="auto" w:fill="auto"/>
            <w:noWrap/>
            <w:vAlign w:val="center"/>
          </w:tcPr>
          <w:p w14:paraId="71757CEF" w14:textId="438105AD" w:rsidR="00395F1D" w:rsidRPr="00395F1D" w:rsidRDefault="00395F1D" w:rsidP="00395F1D">
            <w:pPr>
              <w:jc w:val="center"/>
              <w:rPr>
                <w:rFonts w:ascii="Times New Roman" w:eastAsia="Times New Roman" w:hAnsi="Times New Roman" w:cs="Times New Roman"/>
                <w:color w:val="000000"/>
                <w:sz w:val="20"/>
                <w:szCs w:val="20"/>
                <w:lang w:eastAsia="es-GT"/>
              </w:rPr>
            </w:pPr>
            <w:r w:rsidRPr="00395F1D">
              <w:rPr>
                <w:rFonts w:ascii="Times New Roman" w:hAnsi="Times New Roman" w:cs="Times New Roman"/>
                <w:color w:val="000000"/>
                <w:sz w:val="20"/>
                <w:szCs w:val="20"/>
              </w:rPr>
              <w:t>159.2</w:t>
            </w:r>
          </w:p>
        </w:tc>
        <w:tc>
          <w:tcPr>
            <w:tcW w:w="1214" w:type="dxa"/>
            <w:tcBorders>
              <w:top w:val="nil"/>
              <w:left w:val="nil"/>
              <w:bottom w:val="nil"/>
              <w:right w:val="nil"/>
            </w:tcBorders>
            <w:shd w:val="clear" w:color="auto" w:fill="auto"/>
            <w:noWrap/>
            <w:vAlign w:val="center"/>
          </w:tcPr>
          <w:p w14:paraId="4346C5F3" w14:textId="351DB26E" w:rsidR="00395F1D" w:rsidRPr="00395F1D" w:rsidRDefault="00395F1D" w:rsidP="00395F1D">
            <w:pPr>
              <w:jc w:val="center"/>
              <w:rPr>
                <w:rFonts w:ascii="Times New Roman" w:eastAsia="Times New Roman" w:hAnsi="Times New Roman" w:cs="Times New Roman"/>
                <w:color w:val="000000"/>
                <w:sz w:val="20"/>
                <w:szCs w:val="20"/>
                <w:lang w:eastAsia="es-GT"/>
              </w:rPr>
            </w:pPr>
            <w:r w:rsidRPr="00395F1D">
              <w:rPr>
                <w:rFonts w:ascii="Times New Roman" w:hAnsi="Times New Roman" w:cs="Times New Roman"/>
                <w:color w:val="000000"/>
                <w:sz w:val="20"/>
                <w:szCs w:val="20"/>
              </w:rPr>
              <w:t>105.3</w:t>
            </w:r>
          </w:p>
        </w:tc>
        <w:tc>
          <w:tcPr>
            <w:tcW w:w="1095" w:type="dxa"/>
            <w:tcBorders>
              <w:top w:val="nil"/>
              <w:left w:val="dotDash" w:sz="4" w:space="0" w:color="auto"/>
              <w:bottom w:val="nil"/>
              <w:right w:val="nil"/>
            </w:tcBorders>
            <w:shd w:val="clear" w:color="auto" w:fill="auto"/>
            <w:noWrap/>
            <w:vAlign w:val="center"/>
          </w:tcPr>
          <w:p w14:paraId="0D24CF20" w14:textId="3D2698EA" w:rsidR="00395F1D" w:rsidRPr="00395F1D" w:rsidRDefault="00395F1D" w:rsidP="00395F1D">
            <w:pPr>
              <w:jc w:val="center"/>
              <w:rPr>
                <w:rFonts w:ascii="Times New Roman" w:eastAsia="Times New Roman" w:hAnsi="Times New Roman" w:cs="Times New Roman"/>
                <w:color w:val="000000"/>
                <w:sz w:val="20"/>
                <w:szCs w:val="20"/>
                <w:lang w:eastAsia="es-GT"/>
              </w:rPr>
            </w:pPr>
            <w:r w:rsidRPr="00395F1D">
              <w:rPr>
                <w:rFonts w:ascii="Times New Roman" w:hAnsi="Times New Roman" w:cs="Times New Roman"/>
                <w:color w:val="000000"/>
                <w:sz w:val="20"/>
                <w:szCs w:val="20"/>
              </w:rPr>
              <w:t>0.0</w:t>
            </w:r>
          </w:p>
        </w:tc>
        <w:tc>
          <w:tcPr>
            <w:tcW w:w="1098" w:type="dxa"/>
            <w:tcBorders>
              <w:top w:val="nil"/>
              <w:left w:val="nil"/>
              <w:bottom w:val="nil"/>
              <w:right w:val="nil"/>
            </w:tcBorders>
            <w:shd w:val="clear" w:color="auto" w:fill="auto"/>
            <w:noWrap/>
            <w:vAlign w:val="center"/>
          </w:tcPr>
          <w:p w14:paraId="582ABBEA" w14:textId="007AE028" w:rsidR="00395F1D" w:rsidRPr="00395F1D" w:rsidRDefault="00395F1D" w:rsidP="00395F1D">
            <w:pPr>
              <w:jc w:val="center"/>
              <w:rPr>
                <w:rFonts w:ascii="Times New Roman" w:eastAsia="Times New Roman" w:hAnsi="Times New Roman" w:cs="Times New Roman"/>
                <w:color w:val="000000"/>
                <w:sz w:val="20"/>
                <w:szCs w:val="20"/>
                <w:lang w:eastAsia="es-GT"/>
              </w:rPr>
            </w:pPr>
            <w:r w:rsidRPr="00395F1D">
              <w:rPr>
                <w:rFonts w:ascii="Times New Roman" w:hAnsi="Times New Roman" w:cs="Times New Roman"/>
                <w:color w:val="000000"/>
                <w:sz w:val="20"/>
                <w:szCs w:val="20"/>
              </w:rPr>
              <w:t>0.0</w:t>
            </w:r>
          </w:p>
        </w:tc>
      </w:tr>
      <w:tr w:rsidR="00395F1D" w:rsidRPr="00D96ECA" w14:paraId="626F2C56" w14:textId="77777777" w:rsidTr="00B341EB">
        <w:trPr>
          <w:trHeight w:val="238"/>
          <w:jc w:val="center"/>
        </w:trPr>
        <w:tc>
          <w:tcPr>
            <w:tcW w:w="3905" w:type="dxa"/>
            <w:tcBorders>
              <w:top w:val="nil"/>
              <w:left w:val="nil"/>
              <w:bottom w:val="nil"/>
              <w:right w:val="nil"/>
            </w:tcBorders>
            <w:shd w:val="clear" w:color="auto" w:fill="auto"/>
            <w:noWrap/>
            <w:vAlign w:val="center"/>
            <w:hideMark/>
          </w:tcPr>
          <w:p w14:paraId="6645C4F6" w14:textId="77777777" w:rsidR="00395F1D" w:rsidRPr="00D96ECA" w:rsidRDefault="00395F1D" w:rsidP="00395F1D">
            <w:pPr>
              <w:ind w:firstLineChars="100" w:firstLine="200"/>
              <w:rPr>
                <w:rFonts w:ascii="Times New Roman" w:eastAsia="Times New Roman" w:hAnsi="Times New Roman" w:cs="Times New Roman"/>
                <w:color w:val="000000"/>
                <w:sz w:val="20"/>
                <w:szCs w:val="20"/>
                <w:lang w:eastAsia="es-GT"/>
              </w:rPr>
            </w:pPr>
            <w:r w:rsidRPr="00D96ECA">
              <w:rPr>
                <w:rFonts w:ascii="Times New Roman" w:eastAsia="Times New Roman" w:hAnsi="Times New Roman" w:cs="Times New Roman"/>
                <w:color w:val="000000"/>
                <w:sz w:val="20"/>
                <w:szCs w:val="20"/>
                <w:lang w:eastAsia="es-GT"/>
              </w:rPr>
              <w:t xml:space="preserve">Otros ingresos </w:t>
            </w:r>
          </w:p>
        </w:tc>
        <w:tc>
          <w:tcPr>
            <w:tcW w:w="1213" w:type="dxa"/>
            <w:tcBorders>
              <w:top w:val="nil"/>
              <w:left w:val="nil"/>
              <w:bottom w:val="nil"/>
              <w:right w:val="nil"/>
            </w:tcBorders>
            <w:shd w:val="clear" w:color="auto" w:fill="auto"/>
            <w:noWrap/>
            <w:vAlign w:val="center"/>
          </w:tcPr>
          <w:p w14:paraId="1DA210AC" w14:textId="6F09894D" w:rsidR="00395F1D" w:rsidRPr="00395F1D" w:rsidRDefault="00395F1D" w:rsidP="00395F1D">
            <w:pPr>
              <w:jc w:val="center"/>
              <w:rPr>
                <w:rFonts w:ascii="Times New Roman" w:eastAsia="Times New Roman" w:hAnsi="Times New Roman" w:cs="Times New Roman"/>
                <w:color w:val="000000"/>
                <w:sz w:val="20"/>
                <w:szCs w:val="20"/>
                <w:lang w:eastAsia="es-GT"/>
              </w:rPr>
            </w:pPr>
            <w:r w:rsidRPr="00395F1D">
              <w:rPr>
                <w:rFonts w:ascii="Times New Roman" w:hAnsi="Times New Roman" w:cs="Times New Roman"/>
                <w:color w:val="000000"/>
                <w:sz w:val="20"/>
                <w:szCs w:val="20"/>
              </w:rPr>
              <w:t>14,144.0</w:t>
            </w:r>
          </w:p>
        </w:tc>
        <w:tc>
          <w:tcPr>
            <w:tcW w:w="1214" w:type="dxa"/>
            <w:tcBorders>
              <w:top w:val="nil"/>
              <w:left w:val="nil"/>
              <w:bottom w:val="nil"/>
              <w:right w:val="nil"/>
            </w:tcBorders>
            <w:shd w:val="clear" w:color="auto" w:fill="auto"/>
            <w:noWrap/>
            <w:vAlign w:val="center"/>
          </w:tcPr>
          <w:p w14:paraId="6D666143" w14:textId="07560267" w:rsidR="00395F1D" w:rsidRPr="00395F1D" w:rsidRDefault="00395F1D" w:rsidP="00395F1D">
            <w:pPr>
              <w:jc w:val="center"/>
              <w:rPr>
                <w:rFonts w:ascii="Times New Roman" w:eastAsia="Times New Roman" w:hAnsi="Times New Roman" w:cs="Times New Roman"/>
                <w:color w:val="000000"/>
                <w:sz w:val="20"/>
                <w:szCs w:val="20"/>
                <w:lang w:eastAsia="es-GT"/>
              </w:rPr>
            </w:pPr>
            <w:r w:rsidRPr="00395F1D">
              <w:rPr>
                <w:rFonts w:ascii="Times New Roman" w:hAnsi="Times New Roman" w:cs="Times New Roman"/>
                <w:color w:val="000000"/>
                <w:sz w:val="20"/>
                <w:szCs w:val="20"/>
              </w:rPr>
              <w:t>16,899.0</w:t>
            </w:r>
          </w:p>
        </w:tc>
        <w:tc>
          <w:tcPr>
            <w:tcW w:w="1095" w:type="dxa"/>
            <w:tcBorders>
              <w:top w:val="nil"/>
              <w:left w:val="dotDash" w:sz="4" w:space="0" w:color="auto"/>
              <w:bottom w:val="nil"/>
              <w:right w:val="nil"/>
            </w:tcBorders>
            <w:shd w:val="clear" w:color="auto" w:fill="auto"/>
            <w:noWrap/>
            <w:vAlign w:val="center"/>
          </w:tcPr>
          <w:p w14:paraId="0BAE2BD2" w14:textId="637797B6" w:rsidR="00395F1D" w:rsidRPr="00395F1D" w:rsidRDefault="00395F1D" w:rsidP="00395F1D">
            <w:pPr>
              <w:jc w:val="center"/>
              <w:rPr>
                <w:rFonts w:ascii="Times New Roman" w:eastAsia="Times New Roman" w:hAnsi="Times New Roman" w:cs="Times New Roman"/>
                <w:color w:val="000000"/>
                <w:sz w:val="20"/>
                <w:szCs w:val="20"/>
                <w:lang w:eastAsia="es-GT"/>
              </w:rPr>
            </w:pPr>
            <w:r w:rsidRPr="00395F1D">
              <w:rPr>
                <w:rFonts w:ascii="Times New Roman" w:hAnsi="Times New Roman" w:cs="Times New Roman"/>
                <w:color w:val="000000"/>
                <w:sz w:val="20"/>
                <w:szCs w:val="20"/>
              </w:rPr>
              <w:t>1.9</w:t>
            </w:r>
          </w:p>
        </w:tc>
        <w:tc>
          <w:tcPr>
            <w:tcW w:w="1098" w:type="dxa"/>
            <w:tcBorders>
              <w:top w:val="nil"/>
              <w:left w:val="nil"/>
              <w:bottom w:val="nil"/>
              <w:right w:val="nil"/>
            </w:tcBorders>
            <w:shd w:val="clear" w:color="auto" w:fill="auto"/>
            <w:noWrap/>
            <w:vAlign w:val="center"/>
          </w:tcPr>
          <w:p w14:paraId="33D3E118" w14:textId="7E1D885D" w:rsidR="00395F1D" w:rsidRPr="00395F1D" w:rsidRDefault="00395F1D" w:rsidP="00395F1D">
            <w:pPr>
              <w:jc w:val="center"/>
              <w:rPr>
                <w:rFonts w:ascii="Times New Roman" w:eastAsia="Times New Roman" w:hAnsi="Times New Roman" w:cs="Times New Roman"/>
                <w:color w:val="000000"/>
                <w:sz w:val="20"/>
                <w:szCs w:val="20"/>
                <w:lang w:eastAsia="es-GT"/>
              </w:rPr>
            </w:pPr>
            <w:r w:rsidRPr="00395F1D">
              <w:rPr>
                <w:rFonts w:ascii="Times New Roman" w:hAnsi="Times New Roman" w:cs="Times New Roman"/>
                <w:color w:val="000000"/>
                <w:sz w:val="20"/>
                <w:szCs w:val="20"/>
              </w:rPr>
              <w:t>2.1</w:t>
            </w:r>
          </w:p>
        </w:tc>
      </w:tr>
      <w:tr w:rsidR="00395F1D" w:rsidRPr="00D96ECA" w14:paraId="0A6AE055" w14:textId="77777777" w:rsidTr="00B341EB">
        <w:trPr>
          <w:trHeight w:val="238"/>
          <w:jc w:val="center"/>
        </w:trPr>
        <w:tc>
          <w:tcPr>
            <w:tcW w:w="3905" w:type="dxa"/>
            <w:tcBorders>
              <w:top w:val="nil"/>
              <w:left w:val="nil"/>
              <w:bottom w:val="nil"/>
              <w:right w:val="nil"/>
            </w:tcBorders>
            <w:shd w:val="clear" w:color="auto" w:fill="auto"/>
            <w:noWrap/>
            <w:vAlign w:val="center"/>
            <w:hideMark/>
          </w:tcPr>
          <w:p w14:paraId="5E04B82E" w14:textId="77777777" w:rsidR="00395F1D" w:rsidRPr="00D96ECA" w:rsidRDefault="00395F1D" w:rsidP="00395F1D">
            <w:pPr>
              <w:jc w:val="both"/>
              <w:rPr>
                <w:rFonts w:ascii="Times New Roman" w:eastAsia="Times New Roman" w:hAnsi="Times New Roman" w:cs="Times New Roman"/>
                <w:b/>
                <w:bCs/>
                <w:color w:val="000000"/>
                <w:sz w:val="20"/>
                <w:szCs w:val="20"/>
                <w:lang w:eastAsia="es-GT"/>
              </w:rPr>
            </w:pPr>
            <w:r w:rsidRPr="00D96ECA">
              <w:rPr>
                <w:rFonts w:ascii="Times New Roman" w:eastAsia="Times New Roman" w:hAnsi="Times New Roman" w:cs="Times New Roman"/>
                <w:b/>
                <w:bCs/>
                <w:color w:val="000000"/>
                <w:sz w:val="20"/>
                <w:szCs w:val="20"/>
                <w:lang w:eastAsia="es-GT"/>
              </w:rPr>
              <w:t>GASTO</w:t>
            </w:r>
          </w:p>
        </w:tc>
        <w:tc>
          <w:tcPr>
            <w:tcW w:w="1213" w:type="dxa"/>
            <w:tcBorders>
              <w:top w:val="nil"/>
              <w:left w:val="nil"/>
              <w:bottom w:val="nil"/>
              <w:right w:val="nil"/>
            </w:tcBorders>
            <w:shd w:val="clear" w:color="auto" w:fill="auto"/>
            <w:noWrap/>
            <w:vAlign w:val="center"/>
          </w:tcPr>
          <w:p w14:paraId="761AADDA" w14:textId="3F384935" w:rsidR="00395F1D" w:rsidRPr="00395F1D" w:rsidRDefault="00395F1D" w:rsidP="00395F1D">
            <w:pPr>
              <w:jc w:val="center"/>
              <w:rPr>
                <w:rFonts w:ascii="Times New Roman" w:eastAsia="Times New Roman" w:hAnsi="Times New Roman" w:cs="Times New Roman"/>
                <w:b/>
                <w:bCs/>
                <w:color w:val="000000"/>
                <w:sz w:val="20"/>
                <w:szCs w:val="20"/>
                <w:lang w:eastAsia="es-GT"/>
              </w:rPr>
            </w:pPr>
            <w:r w:rsidRPr="00395F1D">
              <w:rPr>
                <w:rFonts w:ascii="Times New Roman" w:hAnsi="Times New Roman" w:cs="Times New Roman"/>
                <w:b/>
                <w:bCs/>
                <w:color w:val="000000"/>
                <w:sz w:val="20"/>
                <w:szCs w:val="20"/>
              </w:rPr>
              <w:t>115,510.9</w:t>
            </w:r>
          </w:p>
        </w:tc>
        <w:tc>
          <w:tcPr>
            <w:tcW w:w="1214" w:type="dxa"/>
            <w:tcBorders>
              <w:top w:val="nil"/>
              <w:left w:val="nil"/>
              <w:bottom w:val="nil"/>
              <w:right w:val="nil"/>
            </w:tcBorders>
            <w:shd w:val="clear" w:color="auto" w:fill="auto"/>
            <w:noWrap/>
            <w:vAlign w:val="center"/>
          </w:tcPr>
          <w:p w14:paraId="788C68AC" w14:textId="2FD39A85" w:rsidR="00395F1D" w:rsidRPr="00395F1D" w:rsidRDefault="00395F1D" w:rsidP="00395F1D">
            <w:pPr>
              <w:jc w:val="center"/>
              <w:rPr>
                <w:rFonts w:ascii="Times New Roman" w:eastAsia="Times New Roman" w:hAnsi="Times New Roman" w:cs="Times New Roman"/>
                <w:b/>
                <w:bCs/>
                <w:color w:val="000000"/>
                <w:sz w:val="20"/>
                <w:szCs w:val="20"/>
                <w:lang w:eastAsia="es-GT"/>
              </w:rPr>
            </w:pPr>
            <w:r w:rsidRPr="00395F1D">
              <w:rPr>
                <w:rFonts w:ascii="Times New Roman" w:hAnsi="Times New Roman" w:cs="Times New Roman"/>
                <w:b/>
                <w:bCs/>
                <w:color w:val="000000"/>
                <w:sz w:val="20"/>
                <w:szCs w:val="20"/>
              </w:rPr>
              <w:t>124,868.4</w:t>
            </w:r>
          </w:p>
        </w:tc>
        <w:tc>
          <w:tcPr>
            <w:tcW w:w="1095" w:type="dxa"/>
            <w:tcBorders>
              <w:top w:val="nil"/>
              <w:left w:val="dotDash" w:sz="4" w:space="0" w:color="auto"/>
              <w:bottom w:val="nil"/>
              <w:right w:val="nil"/>
            </w:tcBorders>
            <w:shd w:val="clear" w:color="auto" w:fill="auto"/>
            <w:noWrap/>
            <w:vAlign w:val="center"/>
          </w:tcPr>
          <w:p w14:paraId="3D987EA7" w14:textId="00111BBE" w:rsidR="00395F1D" w:rsidRPr="00395F1D" w:rsidRDefault="00395F1D" w:rsidP="00395F1D">
            <w:pPr>
              <w:jc w:val="center"/>
              <w:rPr>
                <w:rFonts w:ascii="Times New Roman" w:eastAsia="Times New Roman" w:hAnsi="Times New Roman" w:cs="Times New Roman"/>
                <w:b/>
                <w:bCs/>
                <w:color w:val="000000"/>
                <w:sz w:val="20"/>
                <w:szCs w:val="20"/>
                <w:lang w:eastAsia="es-GT"/>
              </w:rPr>
            </w:pPr>
            <w:r w:rsidRPr="00395F1D">
              <w:rPr>
                <w:rFonts w:ascii="Times New Roman" w:hAnsi="Times New Roman" w:cs="Times New Roman"/>
                <w:b/>
                <w:bCs/>
                <w:color w:val="000000"/>
                <w:sz w:val="20"/>
                <w:szCs w:val="20"/>
              </w:rPr>
              <w:t>15.7</w:t>
            </w:r>
          </w:p>
        </w:tc>
        <w:tc>
          <w:tcPr>
            <w:tcW w:w="1098" w:type="dxa"/>
            <w:tcBorders>
              <w:top w:val="nil"/>
              <w:left w:val="nil"/>
              <w:bottom w:val="nil"/>
              <w:right w:val="nil"/>
            </w:tcBorders>
            <w:shd w:val="clear" w:color="auto" w:fill="auto"/>
            <w:noWrap/>
            <w:vAlign w:val="center"/>
          </w:tcPr>
          <w:p w14:paraId="1E3FA35D" w14:textId="66C6C885" w:rsidR="00395F1D" w:rsidRPr="00395F1D" w:rsidRDefault="00395F1D" w:rsidP="00395F1D">
            <w:pPr>
              <w:jc w:val="center"/>
              <w:rPr>
                <w:rFonts w:ascii="Times New Roman" w:eastAsia="Times New Roman" w:hAnsi="Times New Roman" w:cs="Times New Roman"/>
                <w:b/>
                <w:bCs/>
                <w:color w:val="000000"/>
                <w:sz w:val="20"/>
                <w:szCs w:val="20"/>
                <w:lang w:eastAsia="es-GT"/>
              </w:rPr>
            </w:pPr>
            <w:r w:rsidRPr="00395F1D">
              <w:rPr>
                <w:rFonts w:ascii="Times New Roman" w:hAnsi="Times New Roman" w:cs="Times New Roman"/>
                <w:b/>
                <w:bCs/>
                <w:color w:val="000000"/>
                <w:sz w:val="20"/>
                <w:szCs w:val="20"/>
              </w:rPr>
              <w:t>15.6</w:t>
            </w:r>
          </w:p>
        </w:tc>
      </w:tr>
      <w:tr w:rsidR="00395F1D" w:rsidRPr="00D96ECA" w14:paraId="2A3EFF31" w14:textId="77777777" w:rsidTr="00B341EB">
        <w:trPr>
          <w:trHeight w:val="238"/>
          <w:jc w:val="center"/>
        </w:trPr>
        <w:tc>
          <w:tcPr>
            <w:tcW w:w="3905" w:type="dxa"/>
            <w:tcBorders>
              <w:top w:val="nil"/>
              <w:left w:val="nil"/>
              <w:bottom w:val="nil"/>
              <w:right w:val="nil"/>
            </w:tcBorders>
            <w:shd w:val="clear" w:color="auto" w:fill="auto"/>
            <w:noWrap/>
            <w:vAlign w:val="center"/>
            <w:hideMark/>
          </w:tcPr>
          <w:p w14:paraId="412CE389" w14:textId="77777777" w:rsidR="00395F1D" w:rsidRPr="00D96ECA" w:rsidRDefault="00395F1D" w:rsidP="00395F1D">
            <w:pPr>
              <w:ind w:firstLineChars="100" w:firstLine="200"/>
              <w:rPr>
                <w:rFonts w:ascii="Times New Roman" w:eastAsia="Times New Roman" w:hAnsi="Times New Roman" w:cs="Times New Roman"/>
                <w:color w:val="000000"/>
                <w:sz w:val="20"/>
                <w:szCs w:val="20"/>
                <w:lang w:eastAsia="es-GT"/>
              </w:rPr>
            </w:pPr>
            <w:r w:rsidRPr="00D96ECA">
              <w:rPr>
                <w:rFonts w:ascii="Times New Roman" w:eastAsia="Times New Roman" w:hAnsi="Times New Roman" w:cs="Times New Roman"/>
                <w:color w:val="000000"/>
                <w:sz w:val="20"/>
                <w:szCs w:val="20"/>
                <w:lang w:eastAsia="es-GT"/>
              </w:rPr>
              <w:t xml:space="preserve">Remuneración a los empleados </w:t>
            </w:r>
          </w:p>
        </w:tc>
        <w:tc>
          <w:tcPr>
            <w:tcW w:w="1213" w:type="dxa"/>
            <w:tcBorders>
              <w:top w:val="nil"/>
              <w:left w:val="nil"/>
              <w:bottom w:val="nil"/>
              <w:right w:val="nil"/>
            </w:tcBorders>
            <w:shd w:val="clear" w:color="auto" w:fill="auto"/>
            <w:noWrap/>
            <w:vAlign w:val="center"/>
          </w:tcPr>
          <w:p w14:paraId="7221E39F" w14:textId="01B0E5D3" w:rsidR="00395F1D" w:rsidRPr="00395F1D" w:rsidRDefault="00395F1D" w:rsidP="00395F1D">
            <w:pPr>
              <w:jc w:val="center"/>
              <w:rPr>
                <w:rFonts w:ascii="Times New Roman" w:eastAsia="Times New Roman" w:hAnsi="Times New Roman" w:cs="Times New Roman"/>
                <w:color w:val="000000"/>
                <w:sz w:val="20"/>
                <w:szCs w:val="20"/>
                <w:lang w:eastAsia="es-GT"/>
              </w:rPr>
            </w:pPr>
            <w:r w:rsidRPr="00395F1D">
              <w:rPr>
                <w:rFonts w:ascii="Times New Roman" w:hAnsi="Times New Roman" w:cs="Times New Roman"/>
                <w:color w:val="000000"/>
                <w:sz w:val="20"/>
                <w:szCs w:val="20"/>
              </w:rPr>
              <w:t>52,493.0</w:t>
            </w:r>
          </w:p>
        </w:tc>
        <w:tc>
          <w:tcPr>
            <w:tcW w:w="1214" w:type="dxa"/>
            <w:tcBorders>
              <w:top w:val="nil"/>
              <w:left w:val="nil"/>
              <w:bottom w:val="nil"/>
              <w:right w:val="nil"/>
            </w:tcBorders>
            <w:shd w:val="clear" w:color="auto" w:fill="auto"/>
            <w:noWrap/>
            <w:vAlign w:val="center"/>
          </w:tcPr>
          <w:p w14:paraId="19263756" w14:textId="56BF557D" w:rsidR="00395F1D" w:rsidRPr="00395F1D" w:rsidRDefault="00395F1D" w:rsidP="00395F1D">
            <w:pPr>
              <w:jc w:val="center"/>
              <w:rPr>
                <w:rFonts w:ascii="Times New Roman" w:eastAsia="Times New Roman" w:hAnsi="Times New Roman" w:cs="Times New Roman"/>
                <w:color w:val="000000"/>
                <w:sz w:val="20"/>
                <w:szCs w:val="20"/>
                <w:lang w:eastAsia="es-GT"/>
              </w:rPr>
            </w:pPr>
            <w:r w:rsidRPr="00395F1D">
              <w:rPr>
                <w:rFonts w:ascii="Times New Roman" w:hAnsi="Times New Roman" w:cs="Times New Roman"/>
                <w:color w:val="000000"/>
                <w:sz w:val="20"/>
                <w:szCs w:val="20"/>
              </w:rPr>
              <w:t>58,416.0</w:t>
            </w:r>
          </w:p>
        </w:tc>
        <w:tc>
          <w:tcPr>
            <w:tcW w:w="1095" w:type="dxa"/>
            <w:tcBorders>
              <w:top w:val="nil"/>
              <w:left w:val="dotDash" w:sz="4" w:space="0" w:color="auto"/>
              <w:bottom w:val="nil"/>
              <w:right w:val="nil"/>
            </w:tcBorders>
            <w:shd w:val="clear" w:color="auto" w:fill="auto"/>
            <w:noWrap/>
            <w:vAlign w:val="center"/>
          </w:tcPr>
          <w:p w14:paraId="6A25995C" w14:textId="70577385" w:rsidR="00395F1D" w:rsidRPr="00395F1D" w:rsidRDefault="00395F1D" w:rsidP="00395F1D">
            <w:pPr>
              <w:jc w:val="center"/>
              <w:rPr>
                <w:rFonts w:ascii="Times New Roman" w:eastAsia="Times New Roman" w:hAnsi="Times New Roman" w:cs="Times New Roman"/>
                <w:color w:val="000000"/>
                <w:sz w:val="20"/>
                <w:szCs w:val="20"/>
                <w:lang w:eastAsia="es-GT"/>
              </w:rPr>
            </w:pPr>
            <w:r w:rsidRPr="00395F1D">
              <w:rPr>
                <w:rFonts w:ascii="Times New Roman" w:hAnsi="Times New Roman" w:cs="Times New Roman"/>
                <w:color w:val="000000"/>
                <w:sz w:val="20"/>
                <w:szCs w:val="20"/>
              </w:rPr>
              <w:t>7.1</w:t>
            </w:r>
          </w:p>
        </w:tc>
        <w:tc>
          <w:tcPr>
            <w:tcW w:w="1098" w:type="dxa"/>
            <w:tcBorders>
              <w:top w:val="nil"/>
              <w:left w:val="nil"/>
              <w:bottom w:val="nil"/>
              <w:right w:val="nil"/>
            </w:tcBorders>
            <w:shd w:val="clear" w:color="auto" w:fill="auto"/>
            <w:noWrap/>
            <w:vAlign w:val="center"/>
          </w:tcPr>
          <w:p w14:paraId="3F794453" w14:textId="6A438956" w:rsidR="00395F1D" w:rsidRPr="00395F1D" w:rsidRDefault="00395F1D" w:rsidP="00395F1D">
            <w:pPr>
              <w:jc w:val="center"/>
              <w:rPr>
                <w:rFonts w:ascii="Times New Roman" w:eastAsia="Times New Roman" w:hAnsi="Times New Roman" w:cs="Times New Roman"/>
                <w:color w:val="000000"/>
                <w:sz w:val="20"/>
                <w:szCs w:val="20"/>
                <w:lang w:eastAsia="es-GT"/>
              </w:rPr>
            </w:pPr>
            <w:r w:rsidRPr="00395F1D">
              <w:rPr>
                <w:rFonts w:ascii="Times New Roman" w:hAnsi="Times New Roman" w:cs="Times New Roman"/>
                <w:color w:val="000000"/>
                <w:sz w:val="20"/>
                <w:szCs w:val="20"/>
              </w:rPr>
              <w:t>7.3</w:t>
            </w:r>
          </w:p>
        </w:tc>
      </w:tr>
      <w:tr w:rsidR="00395F1D" w:rsidRPr="00D96ECA" w14:paraId="089A38AD" w14:textId="77777777" w:rsidTr="00B341EB">
        <w:trPr>
          <w:trHeight w:val="238"/>
          <w:jc w:val="center"/>
        </w:trPr>
        <w:tc>
          <w:tcPr>
            <w:tcW w:w="3905" w:type="dxa"/>
            <w:tcBorders>
              <w:top w:val="nil"/>
              <w:left w:val="nil"/>
              <w:bottom w:val="nil"/>
              <w:right w:val="nil"/>
            </w:tcBorders>
            <w:shd w:val="clear" w:color="auto" w:fill="auto"/>
            <w:noWrap/>
            <w:vAlign w:val="center"/>
            <w:hideMark/>
          </w:tcPr>
          <w:p w14:paraId="4DD0C8E0" w14:textId="77777777" w:rsidR="00395F1D" w:rsidRPr="00D96ECA" w:rsidRDefault="00395F1D" w:rsidP="00395F1D">
            <w:pPr>
              <w:ind w:firstLineChars="100" w:firstLine="200"/>
              <w:rPr>
                <w:rFonts w:ascii="Times New Roman" w:eastAsia="Times New Roman" w:hAnsi="Times New Roman" w:cs="Times New Roman"/>
                <w:color w:val="000000"/>
                <w:sz w:val="20"/>
                <w:szCs w:val="20"/>
                <w:lang w:eastAsia="es-GT"/>
              </w:rPr>
            </w:pPr>
            <w:r w:rsidRPr="00D96ECA">
              <w:rPr>
                <w:rFonts w:ascii="Times New Roman" w:eastAsia="Times New Roman" w:hAnsi="Times New Roman" w:cs="Times New Roman"/>
                <w:color w:val="000000"/>
                <w:sz w:val="20"/>
                <w:szCs w:val="20"/>
                <w:lang w:eastAsia="es-GT"/>
              </w:rPr>
              <w:t xml:space="preserve">Uso de bienes y servicios  </w:t>
            </w:r>
          </w:p>
        </w:tc>
        <w:tc>
          <w:tcPr>
            <w:tcW w:w="1213" w:type="dxa"/>
            <w:tcBorders>
              <w:top w:val="nil"/>
              <w:left w:val="nil"/>
              <w:bottom w:val="nil"/>
              <w:right w:val="nil"/>
            </w:tcBorders>
            <w:shd w:val="clear" w:color="auto" w:fill="auto"/>
            <w:noWrap/>
            <w:vAlign w:val="center"/>
          </w:tcPr>
          <w:p w14:paraId="5DB71D8D" w14:textId="4DA50C1C" w:rsidR="00395F1D" w:rsidRPr="00395F1D" w:rsidRDefault="00395F1D" w:rsidP="00395F1D">
            <w:pPr>
              <w:jc w:val="center"/>
              <w:rPr>
                <w:rFonts w:ascii="Times New Roman" w:eastAsia="Times New Roman" w:hAnsi="Times New Roman" w:cs="Times New Roman"/>
                <w:color w:val="000000"/>
                <w:sz w:val="20"/>
                <w:szCs w:val="20"/>
                <w:lang w:eastAsia="es-GT"/>
              </w:rPr>
            </w:pPr>
            <w:r w:rsidRPr="00395F1D">
              <w:rPr>
                <w:rFonts w:ascii="Times New Roman" w:hAnsi="Times New Roman" w:cs="Times New Roman"/>
                <w:color w:val="000000"/>
                <w:sz w:val="20"/>
                <w:szCs w:val="20"/>
              </w:rPr>
              <w:t>26,232.8</w:t>
            </w:r>
          </w:p>
        </w:tc>
        <w:tc>
          <w:tcPr>
            <w:tcW w:w="1214" w:type="dxa"/>
            <w:tcBorders>
              <w:top w:val="nil"/>
              <w:left w:val="nil"/>
              <w:bottom w:val="nil"/>
              <w:right w:val="nil"/>
            </w:tcBorders>
            <w:shd w:val="clear" w:color="auto" w:fill="auto"/>
            <w:noWrap/>
            <w:vAlign w:val="center"/>
          </w:tcPr>
          <w:p w14:paraId="54F5A4CE" w14:textId="3F72CA7E" w:rsidR="00395F1D" w:rsidRPr="00395F1D" w:rsidRDefault="00395F1D" w:rsidP="00395F1D">
            <w:pPr>
              <w:jc w:val="center"/>
              <w:rPr>
                <w:rFonts w:ascii="Times New Roman" w:eastAsia="Times New Roman" w:hAnsi="Times New Roman" w:cs="Times New Roman"/>
                <w:color w:val="000000"/>
                <w:sz w:val="20"/>
                <w:szCs w:val="20"/>
                <w:lang w:eastAsia="es-GT"/>
              </w:rPr>
            </w:pPr>
            <w:r w:rsidRPr="00395F1D">
              <w:rPr>
                <w:rFonts w:ascii="Times New Roman" w:hAnsi="Times New Roman" w:cs="Times New Roman"/>
                <w:color w:val="000000"/>
                <w:sz w:val="20"/>
                <w:szCs w:val="20"/>
              </w:rPr>
              <w:t>28,162.1</w:t>
            </w:r>
          </w:p>
        </w:tc>
        <w:tc>
          <w:tcPr>
            <w:tcW w:w="1095" w:type="dxa"/>
            <w:tcBorders>
              <w:top w:val="nil"/>
              <w:left w:val="dotDash" w:sz="4" w:space="0" w:color="auto"/>
              <w:bottom w:val="nil"/>
              <w:right w:val="nil"/>
            </w:tcBorders>
            <w:shd w:val="clear" w:color="auto" w:fill="auto"/>
            <w:noWrap/>
            <w:vAlign w:val="center"/>
          </w:tcPr>
          <w:p w14:paraId="6EC052F7" w14:textId="6EEFA164" w:rsidR="00395F1D" w:rsidRPr="00395F1D" w:rsidRDefault="00395F1D" w:rsidP="00395F1D">
            <w:pPr>
              <w:jc w:val="center"/>
              <w:rPr>
                <w:rFonts w:ascii="Times New Roman" w:eastAsia="Times New Roman" w:hAnsi="Times New Roman" w:cs="Times New Roman"/>
                <w:color w:val="000000"/>
                <w:sz w:val="20"/>
                <w:szCs w:val="20"/>
                <w:lang w:eastAsia="es-GT"/>
              </w:rPr>
            </w:pPr>
            <w:r w:rsidRPr="00395F1D">
              <w:rPr>
                <w:rFonts w:ascii="Times New Roman" w:hAnsi="Times New Roman" w:cs="Times New Roman"/>
                <w:color w:val="000000"/>
                <w:sz w:val="20"/>
                <w:szCs w:val="20"/>
              </w:rPr>
              <w:t>3.6</w:t>
            </w:r>
          </w:p>
        </w:tc>
        <w:tc>
          <w:tcPr>
            <w:tcW w:w="1098" w:type="dxa"/>
            <w:tcBorders>
              <w:top w:val="nil"/>
              <w:left w:val="nil"/>
              <w:bottom w:val="nil"/>
              <w:right w:val="nil"/>
            </w:tcBorders>
            <w:shd w:val="clear" w:color="auto" w:fill="auto"/>
            <w:noWrap/>
            <w:vAlign w:val="center"/>
          </w:tcPr>
          <w:p w14:paraId="633BCFA8" w14:textId="3AB9B5FD" w:rsidR="00395F1D" w:rsidRPr="00395F1D" w:rsidRDefault="00395F1D" w:rsidP="00395F1D">
            <w:pPr>
              <w:jc w:val="center"/>
              <w:rPr>
                <w:rFonts w:ascii="Times New Roman" w:eastAsia="Times New Roman" w:hAnsi="Times New Roman" w:cs="Times New Roman"/>
                <w:color w:val="000000"/>
                <w:sz w:val="20"/>
                <w:szCs w:val="20"/>
                <w:lang w:eastAsia="es-GT"/>
              </w:rPr>
            </w:pPr>
            <w:r w:rsidRPr="00395F1D">
              <w:rPr>
                <w:rFonts w:ascii="Times New Roman" w:hAnsi="Times New Roman" w:cs="Times New Roman"/>
                <w:color w:val="000000"/>
                <w:sz w:val="20"/>
                <w:szCs w:val="20"/>
              </w:rPr>
              <w:t>3.5</w:t>
            </w:r>
          </w:p>
        </w:tc>
      </w:tr>
      <w:tr w:rsidR="00395F1D" w:rsidRPr="00D96ECA" w14:paraId="6579BC6C" w14:textId="77777777" w:rsidTr="00B341EB">
        <w:trPr>
          <w:trHeight w:val="238"/>
          <w:jc w:val="center"/>
        </w:trPr>
        <w:tc>
          <w:tcPr>
            <w:tcW w:w="3905" w:type="dxa"/>
            <w:tcBorders>
              <w:top w:val="nil"/>
              <w:left w:val="nil"/>
              <w:bottom w:val="nil"/>
              <w:right w:val="nil"/>
            </w:tcBorders>
            <w:shd w:val="clear" w:color="auto" w:fill="auto"/>
            <w:noWrap/>
            <w:vAlign w:val="center"/>
            <w:hideMark/>
          </w:tcPr>
          <w:p w14:paraId="1F7CF3C1" w14:textId="77777777" w:rsidR="00395F1D" w:rsidRPr="00D96ECA" w:rsidRDefault="00395F1D" w:rsidP="00395F1D">
            <w:pPr>
              <w:ind w:firstLineChars="100" w:firstLine="200"/>
              <w:rPr>
                <w:rFonts w:ascii="Times New Roman" w:eastAsia="Times New Roman" w:hAnsi="Times New Roman" w:cs="Times New Roman"/>
                <w:color w:val="000000"/>
                <w:sz w:val="20"/>
                <w:szCs w:val="20"/>
                <w:lang w:eastAsia="es-GT"/>
              </w:rPr>
            </w:pPr>
            <w:r w:rsidRPr="00D96ECA">
              <w:rPr>
                <w:rFonts w:ascii="Times New Roman" w:eastAsia="Times New Roman" w:hAnsi="Times New Roman" w:cs="Times New Roman"/>
                <w:color w:val="000000"/>
                <w:sz w:val="20"/>
                <w:szCs w:val="20"/>
                <w:lang w:eastAsia="es-GT"/>
              </w:rPr>
              <w:t xml:space="preserve">Intereses </w:t>
            </w:r>
          </w:p>
        </w:tc>
        <w:tc>
          <w:tcPr>
            <w:tcW w:w="1213" w:type="dxa"/>
            <w:tcBorders>
              <w:top w:val="nil"/>
              <w:left w:val="nil"/>
              <w:bottom w:val="nil"/>
              <w:right w:val="nil"/>
            </w:tcBorders>
            <w:shd w:val="clear" w:color="auto" w:fill="auto"/>
            <w:noWrap/>
            <w:vAlign w:val="center"/>
          </w:tcPr>
          <w:p w14:paraId="17A001B7" w14:textId="47B48325" w:rsidR="00395F1D" w:rsidRPr="00395F1D" w:rsidRDefault="00395F1D" w:rsidP="00395F1D">
            <w:pPr>
              <w:jc w:val="center"/>
              <w:rPr>
                <w:rFonts w:ascii="Times New Roman" w:eastAsia="Times New Roman" w:hAnsi="Times New Roman" w:cs="Times New Roman"/>
                <w:color w:val="000000"/>
                <w:sz w:val="20"/>
                <w:szCs w:val="20"/>
                <w:lang w:eastAsia="es-GT"/>
              </w:rPr>
            </w:pPr>
            <w:r w:rsidRPr="00395F1D">
              <w:rPr>
                <w:rFonts w:ascii="Times New Roman" w:hAnsi="Times New Roman" w:cs="Times New Roman"/>
                <w:color w:val="000000"/>
                <w:sz w:val="20"/>
                <w:szCs w:val="20"/>
              </w:rPr>
              <w:t>11,013.1</w:t>
            </w:r>
          </w:p>
        </w:tc>
        <w:tc>
          <w:tcPr>
            <w:tcW w:w="1214" w:type="dxa"/>
            <w:tcBorders>
              <w:top w:val="nil"/>
              <w:left w:val="nil"/>
              <w:bottom w:val="nil"/>
              <w:right w:val="nil"/>
            </w:tcBorders>
            <w:shd w:val="clear" w:color="auto" w:fill="auto"/>
            <w:noWrap/>
            <w:vAlign w:val="center"/>
          </w:tcPr>
          <w:p w14:paraId="706E91B5" w14:textId="7ADCEBCA" w:rsidR="00395F1D" w:rsidRPr="00395F1D" w:rsidRDefault="00395F1D" w:rsidP="00395F1D">
            <w:pPr>
              <w:jc w:val="center"/>
              <w:rPr>
                <w:rFonts w:ascii="Times New Roman" w:eastAsia="Times New Roman" w:hAnsi="Times New Roman" w:cs="Times New Roman"/>
                <w:color w:val="000000"/>
                <w:sz w:val="20"/>
                <w:szCs w:val="20"/>
                <w:lang w:eastAsia="es-GT"/>
              </w:rPr>
            </w:pPr>
            <w:r w:rsidRPr="00395F1D">
              <w:rPr>
                <w:rFonts w:ascii="Times New Roman" w:hAnsi="Times New Roman" w:cs="Times New Roman"/>
                <w:color w:val="000000"/>
                <w:sz w:val="20"/>
                <w:szCs w:val="20"/>
              </w:rPr>
              <w:t>12,051.2</w:t>
            </w:r>
          </w:p>
        </w:tc>
        <w:tc>
          <w:tcPr>
            <w:tcW w:w="1095" w:type="dxa"/>
            <w:tcBorders>
              <w:top w:val="nil"/>
              <w:left w:val="dotDash" w:sz="4" w:space="0" w:color="auto"/>
              <w:bottom w:val="nil"/>
              <w:right w:val="nil"/>
            </w:tcBorders>
            <w:shd w:val="clear" w:color="auto" w:fill="auto"/>
            <w:noWrap/>
            <w:vAlign w:val="center"/>
          </w:tcPr>
          <w:p w14:paraId="5CD8D0DA" w14:textId="4977BDFC" w:rsidR="00395F1D" w:rsidRPr="00395F1D" w:rsidRDefault="00395F1D" w:rsidP="00395F1D">
            <w:pPr>
              <w:jc w:val="center"/>
              <w:rPr>
                <w:rFonts w:ascii="Times New Roman" w:eastAsia="Times New Roman" w:hAnsi="Times New Roman" w:cs="Times New Roman"/>
                <w:color w:val="000000"/>
                <w:sz w:val="20"/>
                <w:szCs w:val="20"/>
                <w:lang w:eastAsia="es-GT"/>
              </w:rPr>
            </w:pPr>
            <w:r w:rsidRPr="00395F1D">
              <w:rPr>
                <w:rFonts w:ascii="Times New Roman" w:hAnsi="Times New Roman" w:cs="Times New Roman"/>
                <w:color w:val="000000"/>
                <w:sz w:val="20"/>
                <w:szCs w:val="20"/>
              </w:rPr>
              <w:t>1.5</w:t>
            </w:r>
          </w:p>
        </w:tc>
        <w:tc>
          <w:tcPr>
            <w:tcW w:w="1098" w:type="dxa"/>
            <w:tcBorders>
              <w:top w:val="nil"/>
              <w:left w:val="nil"/>
              <w:bottom w:val="nil"/>
              <w:right w:val="nil"/>
            </w:tcBorders>
            <w:shd w:val="clear" w:color="auto" w:fill="auto"/>
            <w:noWrap/>
            <w:vAlign w:val="center"/>
          </w:tcPr>
          <w:p w14:paraId="04D11E08" w14:textId="17A3FDC9" w:rsidR="00395F1D" w:rsidRPr="00395F1D" w:rsidRDefault="00395F1D" w:rsidP="00395F1D">
            <w:pPr>
              <w:jc w:val="center"/>
              <w:rPr>
                <w:rFonts w:ascii="Times New Roman" w:eastAsia="Times New Roman" w:hAnsi="Times New Roman" w:cs="Times New Roman"/>
                <w:color w:val="000000"/>
                <w:sz w:val="20"/>
                <w:szCs w:val="20"/>
                <w:lang w:eastAsia="es-GT"/>
              </w:rPr>
            </w:pPr>
            <w:r w:rsidRPr="00395F1D">
              <w:rPr>
                <w:rFonts w:ascii="Times New Roman" w:hAnsi="Times New Roman" w:cs="Times New Roman"/>
                <w:color w:val="000000"/>
                <w:sz w:val="20"/>
                <w:szCs w:val="20"/>
              </w:rPr>
              <w:t>1.5</w:t>
            </w:r>
          </w:p>
        </w:tc>
      </w:tr>
      <w:tr w:rsidR="00395F1D" w:rsidRPr="00D96ECA" w14:paraId="696DBCEA" w14:textId="77777777" w:rsidTr="00B341EB">
        <w:trPr>
          <w:trHeight w:val="238"/>
          <w:jc w:val="center"/>
        </w:trPr>
        <w:tc>
          <w:tcPr>
            <w:tcW w:w="3905" w:type="dxa"/>
            <w:tcBorders>
              <w:top w:val="nil"/>
              <w:left w:val="nil"/>
              <w:bottom w:val="nil"/>
              <w:right w:val="nil"/>
            </w:tcBorders>
            <w:shd w:val="clear" w:color="auto" w:fill="auto"/>
            <w:noWrap/>
            <w:vAlign w:val="center"/>
            <w:hideMark/>
          </w:tcPr>
          <w:p w14:paraId="0A3E58D3" w14:textId="77777777" w:rsidR="00395F1D" w:rsidRPr="00D96ECA" w:rsidRDefault="00395F1D" w:rsidP="00395F1D">
            <w:pPr>
              <w:ind w:firstLineChars="100" w:firstLine="200"/>
              <w:rPr>
                <w:rFonts w:ascii="Times New Roman" w:eastAsia="Times New Roman" w:hAnsi="Times New Roman" w:cs="Times New Roman"/>
                <w:color w:val="000000"/>
                <w:sz w:val="20"/>
                <w:szCs w:val="20"/>
                <w:lang w:eastAsia="es-GT"/>
              </w:rPr>
            </w:pPr>
            <w:r w:rsidRPr="00D96ECA">
              <w:rPr>
                <w:rFonts w:ascii="Times New Roman" w:eastAsia="Times New Roman" w:hAnsi="Times New Roman" w:cs="Times New Roman"/>
                <w:color w:val="000000"/>
                <w:sz w:val="20"/>
                <w:szCs w:val="20"/>
                <w:lang w:eastAsia="es-GT"/>
              </w:rPr>
              <w:t xml:space="preserve">Subsidios </w:t>
            </w:r>
          </w:p>
        </w:tc>
        <w:tc>
          <w:tcPr>
            <w:tcW w:w="1213" w:type="dxa"/>
            <w:tcBorders>
              <w:top w:val="nil"/>
              <w:left w:val="nil"/>
              <w:bottom w:val="nil"/>
              <w:right w:val="nil"/>
            </w:tcBorders>
            <w:shd w:val="clear" w:color="auto" w:fill="auto"/>
            <w:noWrap/>
            <w:vAlign w:val="center"/>
          </w:tcPr>
          <w:p w14:paraId="14E2451C" w14:textId="3DBD36C3" w:rsidR="00395F1D" w:rsidRPr="00395F1D" w:rsidRDefault="00395F1D" w:rsidP="00395F1D">
            <w:pPr>
              <w:jc w:val="center"/>
              <w:rPr>
                <w:rFonts w:ascii="Times New Roman" w:eastAsia="Times New Roman" w:hAnsi="Times New Roman" w:cs="Times New Roman"/>
                <w:color w:val="000000"/>
                <w:sz w:val="20"/>
                <w:szCs w:val="20"/>
                <w:lang w:eastAsia="es-GT"/>
              </w:rPr>
            </w:pPr>
            <w:r w:rsidRPr="00395F1D">
              <w:rPr>
                <w:rFonts w:ascii="Times New Roman" w:hAnsi="Times New Roman" w:cs="Times New Roman"/>
                <w:color w:val="000000"/>
                <w:sz w:val="20"/>
                <w:szCs w:val="20"/>
              </w:rPr>
              <w:t>3,824.9</w:t>
            </w:r>
          </w:p>
        </w:tc>
        <w:tc>
          <w:tcPr>
            <w:tcW w:w="1214" w:type="dxa"/>
            <w:tcBorders>
              <w:top w:val="nil"/>
              <w:left w:val="nil"/>
              <w:bottom w:val="nil"/>
              <w:right w:val="nil"/>
            </w:tcBorders>
            <w:shd w:val="clear" w:color="auto" w:fill="auto"/>
            <w:noWrap/>
            <w:vAlign w:val="center"/>
          </w:tcPr>
          <w:p w14:paraId="47820E53" w14:textId="292D5B8E" w:rsidR="00395F1D" w:rsidRPr="00395F1D" w:rsidRDefault="00395F1D" w:rsidP="00395F1D">
            <w:pPr>
              <w:jc w:val="center"/>
              <w:rPr>
                <w:rFonts w:ascii="Times New Roman" w:eastAsia="Times New Roman" w:hAnsi="Times New Roman" w:cs="Times New Roman"/>
                <w:color w:val="000000"/>
                <w:sz w:val="20"/>
                <w:szCs w:val="20"/>
                <w:lang w:eastAsia="es-GT"/>
              </w:rPr>
            </w:pPr>
            <w:r w:rsidRPr="00395F1D">
              <w:rPr>
                <w:rFonts w:ascii="Times New Roman" w:hAnsi="Times New Roman" w:cs="Times New Roman"/>
                <w:color w:val="000000"/>
                <w:sz w:val="20"/>
                <w:szCs w:val="20"/>
              </w:rPr>
              <w:t>1,344.7</w:t>
            </w:r>
          </w:p>
        </w:tc>
        <w:tc>
          <w:tcPr>
            <w:tcW w:w="1095" w:type="dxa"/>
            <w:tcBorders>
              <w:top w:val="nil"/>
              <w:left w:val="dotDash" w:sz="4" w:space="0" w:color="auto"/>
              <w:bottom w:val="nil"/>
              <w:right w:val="nil"/>
            </w:tcBorders>
            <w:shd w:val="clear" w:color="auto" w:fill="auto"/>
            <w:noWrap/>
            <w:vAlign w:val="center"/>
          </w:tcPr>
          <w:p w14:paraId="636C671C" w14:textId="3812F25F" w:rsidR="00395F1D" w:rsidRPr="00395F1D" w:rsidRDefault="00395F1D" w:rsidP="00395F1D">
            <w:pPr>
              <w:jc w:val="center"/>
              <w:rPr>
                <w:rFonts w:ascii="Times New Roman" w:eastAsia="Times New Roman" w:hAnsi="Times New Roman" w:cs="Times New Roman"/>
                <w:color w:val="000000"/>
                <w:sz w:val="20"/>
                <w:szCs w:val="20"/>
                <w:lang w:eastAsia="es-GT"/>
              </w:rPr>
            </w:pPr>
            <w:r w:rsidRPr="00395F1D">
              <w:rPr>
                <w:rFonts w:ascii="Times New Roman" w:hAnsi="Times New Roman" w:cs="Times New Roman"/>
                <w:color w:val="000000"/>
                <w:sz w:val="20"/>
                <w:szCs w:val="20"/>
              </w:rPr>
              <w:t>0.5</w:t>
            </w:r>
          </w:p>
        </w:tc>
        <w:tc>
          <w:tcPr>
            <w:tcW w:w="1098" w:type="dxa"/>
            <w:tcBorders>
              <w:top w:val="nil"/>
              <w:left w:val="nil"/>
              <w:bottom w:val="nil"/>
              <w:right w:val="nil"/>
            </w:tcBorders>
            <w:shd w:val="clear" w:color="auto" w:fill="auto"/>
            <w:noWrap/>
            <w:vAlign w:val="center"/>
          </w:tcPr>
          <w:p w14:paraId="50BC78A9" w14:textId="0B352911" w:rsidR="00395F1D" w:rsidRPr="00395F1D" w:rsidRDefault="00395F1D" w:rsidP="00395F1D">
            <w:pPr>
              <w:jc w:val="center"/>
              <w:rPr>
                <w:rFonts w:ascii="Times New Roman" w:eastAsia="Times New Roman" w:hAnsi="Times New Roman" w:cs="Times New Roman"/>
                <w:color w:val="000000"/>
                <w:sz w:val="20"/>
                <w:szCs w:val="20"/>
                <w:lang w:eastAsia="es-GT"/>
              </w:rPr>
            </w:pPr>
            <w:r w:rsidRPr="00395F1D">
              <w:rPr>
                <w:rFonts w:ascii="Times New Roman" w:hAnsi="Times New Roman" w:cs="Times New Roman"/>
                <w:color w:val="000000"/>
                <w:sz w:val="20"/>
                <w:szCs w:val="20"/>
              </w:rPr>
              <w:t>0.2</w:t>
            </w:r>
          </w:p>
        </w:tc>
      </w:tr>
      <w:tr w:rsidR="00395F1D" w:rsidRPr="00D96ECA" w14:paraId="11F8B9F7" w14:textId="77777777" w:rsidTr="00B341EB">
        <w:trPr>
          <w:trHeight w:val="238"/>
          <w:jc w:val="center"/>
        </w:trPr>
        <w:tc>
          <w:tcPr>
            <w:tcW w:w="3905" w:type="dxa"/>
            <w:tcBorders>
              <w:top w:val="nil"/>
              <w:left w:val="nil"/>
              <w:bottom w:val="nil"/>
              <w:right w:val="nil"/>
            </w:tcBorders>
            <w:shd w:val="clear" w:color="auto" w:fill="auto"/>
            <w:noWrap/>
            <w:vAlign w:val="center"/>
            <w:hideMark/>
          </w:tcPr>
          <w:p w14:paraId="31F54ED3" w14:textId="77777777" w:rsidR="00395F1D" w:rsidRPr="00D96ECA" w:rsidRDefault="00395F1D" w:rsidP="00395F1D">
            <w:pPr>
              <w:ind w:firstLineChars="100" w:firstLine="200"/>
              <w:rPr>
                <w:rFonts w:ascii="Times New Roman" w:eastAsia="Times New Roman" w:hAnsi="Times New Roman" w:cs="Times New Roman"/>
                <w:color w:val="000000"/>
                <w:sz w:val="20"/>
                <w:szCs w:val="20"/>
                <w:lang w:eastAsia="es-GT"/>
              </w:rPr>
            </w:pPr>
            <w:r w:rsidRPr="00D96ECA">
              <w:rPr>
                <w:rFonts w:ascii="Times New Roman" w:eastAsia="Times New Roman" w:hAnsi="Times New Roman" w:cs="Times New Roman"/>
                <w:color w:val="000000"/>
                <w:sz w:val="20"/>
                <w:szCs w:val="20"/>
                <w:lang w:eastAsia="es-GT"/>
              </w:rPr>
              <w:t xml:space="preserve">Donaciones </w:t>
            </w:r>
          </w:p>
        </w:tc>
        <w:tc>
          <w:tcPr>
            <w:tcW w:w="1213" w:type="dxa"/>
            <w:tcBorders>
              <w:top w:val="nil"/>
              <w:left w:val="nil"/>
              <w:bottom w:val="nil"/>
              <w:right w:val="nil"/>
            </w:tcBorders>
            <w:shd w:val="clear" w:color="auto" w:fill="auto"/>
            <w:noWrap/>
            <w:vAlign w:val="center"/>
          </w:tcPr>
          <w:p w14:paraId="2ADDCB1F" w14:textId="596765AC" w:rsidR="00395F1D" w:rsidRPr="00395F1D" w:rsidRDefault="00395F1D" w:rsidP="00395F1D">
            <w:pPr>
              <w:jc w:val="center"/>
              <w:rPr>
                <w:rFonts w:ascii="Times New Roman" w:eastAsia="Times New Roman" w:hAnsi="Times New Roman" w:cs="Times New Roman"/>
                <w:color w:val="000000"/>
                <w:sz w:val="20"/>
                <w:szCs w:val="20"/>
                <w:lang w:eastAsia="es-GT"/>
              </w:rPr>
            </w:pPr>
            <w:r w:rsidRPr="00395F1D">
              <w:rPr>
                <w:rFonts w:ascii="Times New Roman" w:hAnsi="Times New Roman" w:cs="Times New Roman"/>
                <w:color w:val="000000"/>
                <w:sz w:val="20"/>
                <w:szCs w:val="20"/>
              </w:rPr>
              <w:t>517.5</w:t>
            </w:r>
          </w:p>
        </w:tc>
        <w:tc>
          <w:tcPr>
            <w:tcW w:w="1214" w:type="dxa"/>
            <w:tcBorders>
              <w:top w:val="nil"/>
              <w:left w:val="nil"/>
              <w:bottom w:val="nil"/>
              <w:right w:val="nil"/>
            </w:tcBorders>
            <w:shd w:val="clear" w:color="auto" w:fill="auto"/>
            <w:noWrap/>
            <w:vAlign w:val="center"/>
          </w:tcPr>
          <w:p w14:paraId="19C62F45" w14:textId="15E0177E" w:rsidR="00395F1D" w:rsidRPr="00395F1D" w:rsidRDefault="00395F1D" w:rsidP="00395F1D">
            <w:pPr>
              <w:jc w:val="center"/>
              <w:rPr>
                <w:rFonts w:ascii="Times New Roman" w:eastAsia="Times New Roman" w:hAnsi="Times New Roman" w:cs="Times New Roman"/>
                <w:color w:val="000000"/>
                <w:sz w:val="20"/>
                <w:szCs w:val="20"/>
                <w:lang w:eastAsia="es-GT"/>
              </w:rPr>
            </w:pPr>
            <w:r w:rsidRPr="00395F1D">
              <w:rPr>
                <w:rFonts w:ascii="Times New Roman" w:hAnsi="Times New Roman" w:cs="Times New Roman"/>
                <w:color w:val="000000"/>
                <w:sz w:val="20"/>
                <w:szCs w:val="20"/>
              </w:rPr>
              <w:t>391.6</w:t>
            </w:r>
          </w:p>
        </w:tc>
        <w:tc>
          <w:tcPr>
            <w:tcW w:w="1095" w:type="dxa"/>
            <w:tcBorders>
              <w:top w:val="nil"/>
              <w:left w:val="dotDash" w:sz="4" w:space="0" w:color="auto"/>
              <w:bottom w:val="nil"/>
              <w:right w:val="nil"/>
            </w:tcBorders>
            <w:shd w:val="clear" w:color="auto" w:fill="auto"/>
            <w:noWrap/>
            <w:vAlign w:val="center"/>
          </w:tcPr>
          <w:p w14:paraId="631016B9" w14:textId="6DAE8C81" w:rsidR="00395F1D" w:rsidRPr="00395F1D" w:rsidRDefault="00395F1D" w:rsidP="00395F1D">
            <w:pPr>
              <w:jc w:val="center"/>
              <w:rPr>
                <w:rFonts w:ascii="Times New Roman" w:eastAsia="Times New Roman" w:hAnsi="Times New Roman" w:cs="Times New Roman"/>
                <w:color w:val="000000"/>
                <w:sz w:val="20"/>
                <w:szCs w:val="20"/>
                <w:lang w:eastAsia="es-GT"/>
              </w:rPr>
            </w:pPr>
            <w:r w:rsidRPr="00395F1D">
              <w:rPr>
                <w:rFonts w:ascii="Times New Roman" w:hAnsi="Times New Roman" w:cs="Times New Roman"/>
                <w:color w:val="000000"/>
                <w:sz w:val="20"/>
                <w:szCs w:val="20"/>
              </w:rPr>
              <w:t>0.1</w:t>
            </w:r>
          </w:p>
        </w:tc>
        <w:tc>
          <w:tcPr>
            <w:tcW w:w="1098" w:type="dxa"/>
            <w:tcBorders>
              <w:top w:val="nil"/>
              <w:left w:val="nil"/>
              <w:bottom w:val="nil"/>
              <w:right w:val="nil"/>
            </w:tcBorders>
            <w:shd w:val="clear" w:color="auto" w:fill="auto"/>
            <w:noWrap/>
            <w:vAlign w:val="center"/>
          </w:tcPr>
          <w:p w14:paraId="7B449AEF" w14:textId="2FF70064" w:rsidR="00395F1D" w:rsidRPr="00395F1D" w:rsidRDefault="00395F1D" w:rsidP="00395F1D">
            <w:pPr>
              <w:jc w:val="center"/>
              <w:rPr>
                <w:rFonts w:ascii="Times New Roman" w:eastAsia="Times New Roman" w:hAnsi="Times New Roman" w:cs="Times New Roman"/>
                <w:color w:val="000000"/>
                <w:sz w:val="20"/>
                <w:szCs w:val="20"/>
                <w:lang w:eastAsia="es-GT"/>
              </w:rPr>
            </w:pPr>
            <w:r w:rsidRPr="00395F1D">
              <w:rPr>
                <w:rFonts w:ascii="Times New Roman" w:hAnsi="Times New Roman" w:cs="Times New Roman"/>
                <w:color w:val="000000"/>
                <w:sz w:val="20"/>
                <w:szCs w:val="20"/>
              </w:rPr>
              <w:t>0.0</w:t>
            </w:r>
          </w:p>
        </w:tc>
      </w:tr>
      <w:tr w:rsidR="00395F1D" w:rsidRPr="00D96ECA" w14:paraId="5634770D" w14:textId="77777777" w:rsidTr="00B341EB">
        <w:trPr>
          <w:trHeight w:val="238"/>
          <w:jc w:val="center"/>
        </w:trPr>
        <w:tc>
          <w:tcPr>
            <w:tcW w:w="3905" w:type="dxa"/>
            <w:tcBorders>
              <w:top w:val="nil"/>
              <w:left w:val="nil"/>
              <w:bottom w:val="nil"/>
              <w:right w:val="nil"/>
            </w:tcBorders>
            <w:shd w:val="clear" w:color="auto" w:fill="auto"/>
            <w:noWrap/>
            <w:vAlign w:val="center"/>
            <w:hideMark/>
          </w:tcPr>
          <w:p w14:paraId="0E02E504" w14:textId="77777777" w:rsidR="00395F1D" w:rsidRPr="00D96ECA" w:rsidRDefault="00395F1D" w:rsidP="00395F1D">
            <w:pPr>
              <w:ind w:firstLineChars="100" w:firstLine="200"/>
              <w:rPr>
                <w:rFonts w:ascii="Times New Roman" w:eastAsia="Times New Roman" w:hAnsi="Times New Roman" w:cs="Times New Roman"/>
                <w:color w:val="000000"/>
                <w:sz w:val="20"/>
                <w:szCs w:val="20"/>
                <w:lang w:eastAsia="es-GT"/>
              </w:rPr>
            </w:pPr>
            <w:r w:rsidRPr="00D96ECA">
              <w:rPr>
                <w:rFonts w:ascii="Times New Roman" w:eastAsia="Times New Roman" w:hAnsi="Times New Roman" w:cs="Times New Roman"/>
                <w:color w:val="000000"/>
                <w:sz w:val="20"/>
                <w:szCs w:val="20"/>
                <w:lang w:eastAsia="es-GT"/>
              </w:rPr>
              <w:t xml:space="preserve">Prestaciones sociales </w:t>
            </w:r>
          </w:p>
        </w:tc>
        <w:tc>
          <w:tcPr>
            <w:tcW w:w="1213" w:type="dxa"/>
            <w:tcBorders>
              <w:top w:val="nil"/>
              <w:left w:val="nil"/>
              <w:bottom w:val="nil"/>
              <w:right w:val="nil"/>
            </w:tcBorders>
            <w:shd w:val="clear" w:color="auto" w:fill="auto"/>
            <w:noWrap/>
            <w:vAlign w:val="center"/>
          </w:tcPr>
          <w:p w14:paraId="20188B58" w14:textId="19E5E12B" w:rsidR="00395F1D" w:rsidRPr="00395F1D" w:rsidRDefault="00395F1D" w:rsidP="00395F1D">
            <w:pPr>
              <w:jc w:val="center"/>
              <w:rPr>
                <w:rFonts w:ascii="Times New Roman" w:eastAsia="Times New Roman" w:hAnsi="Times New Roman" w:cs="Times New Roman"/>
                <w:color w:val="000000"/>
                <w:sz w:val="20"/>
                <w:szCs w:val="20"/>
                <w:lang w:eastAsia="es-GT"/>
              </w:rPr>
            </w:pPr>
            <w:r w:rsidRPr="00395F1D">
              <w:rPr>
                <w:rFonts w:ascii="Times New Roman" w:hAnsi="Times New Roman" w:cs="Times New Roman"/>
                <w:color w:val="000000"/>
                <w:sz w:val="20"/>
                <w:szCs w:val="20"/>
              </w:rPr>
              <w:t>13,108.3</w:t>
            </w:r>
          </w:p>
        </w:tc>
        <w:tc>
          <w:tcPr>
            <w:tcW w:w="1214" w:type="dxa"/>
            <w:tcBorders>
              <w:top w:val="nil"/>
              <w:left w:val="nil"/>
              <w:bottom w:val="nil"/>
              <w:right w:val="nil"/>
            </w:tcBorders>
            <w:shd w:val="clear" w:color="auto" w:fill="auto"/>
            <w:noWrap/>
            <w:vAlign w:val="center"/>
          </w:tcPr>
          <w:p w14:paraId="68A66DFB" w14:textId="336E52A5" w:rsidR="00395F1D" w:rsidRPr="00395F1D" w:rsidRDefault="00395F1D" w:rsidP="00395F1D">
            <w:pPr>
              <w:jc w:val="center"/>
              <w:rPr>
                <w:rFonts w:ascii="Times New Roman" w:eastAsia="Times New Roman" w:hAnsi="Times New Roman" w:cs="Times New Roman"/>
                <w:color w:val="000000"/>
                <w:sz w:val="20"/>
                <w:szCs w:val="20"/>
                <w:lang w:eastAsia="es-GT"/>
              </w:rPr>
            </w:pPr>
            <w:r w:rsidRPr="00395F1D">
              <w:rPr>
                <w:rFonts w:ascii="Times New Roman" w:hAnsi="Times New Roman" w:cs="Times New Roman"/>
                <w:color w:val="000000"/>
                <w:sz w:val="20"/>
                <w:szCs w:val="20"/>
              </w:rPr>
              <w:t>15,394.3</w:t>
            </w:r>
          </w:p>
        </w:tc>
        <w:tc>
          <w:tcPr>
            <w:tcW w:w="1095" w:type="dxa"/>
            <w:tcBorders>
              <w:top w:val="nil"/>
              <w:left w:val="dotDash" w:sz="4" w:space="0" w:color="auto"/>
              <w:bottom w:val="nil"/>
              <w:right w:val="nil"/>
            </w:tcBorders>
            <w:shd w:val="clear" w:color="auto" w:fill="auto"/>
            <w:noWrap/>
            <w:vAlign w:val="center"/>
          </w:tcPr>
          <w:p w14:paraId="53D62D2B" w14:textId="0B2811B9" w:rsidR="00395F1D" w:rsidRPr="00395F1D" w:rsidRDefault="00395F1D" w:rsidP="00395F1D">
            <w:pPr>
              <w:jc w:val="center"/>
              <w:rPr>
                <w:rFonts w:ascii="Times New Roman" w:eastAsia="Times New Roman" w:hAnsi="Times New Roman" w:cs="Times New Roman"/>
                <w:color w:val="000000"/>
                <w:sz w:val="20"/>
                <w:szCs w:val="20"/>
                <w:lang w:eastAsia="es-GT"/>
              </w:rPr>
            </w:pPr>
            <w:r w:rsidRPr="00395F1D">
              <w:rPr>
                <w:rFonts w:ascii="Times New Roman" w:hAnsi="Times New Roman" w:cs="Times New Roman"/>
                <w:color w:val="000000"/>
                <w:sz w:val="20"/>
                <w:szCs w:val="20"/>
              </w:rPr>
              <w:t>1.8</w:t>
            </w:r>
          </w:p>
        </w:tc>
        <w:tc>
          <w:tcPr>
            <w:tcW w:w="1098" w:type="dxa"/>
            <w:tcBorders>
              <w:top w:val="nil"/>
              <w:left w:val="nil"/>
              <w:bottom w:val="nil"/>
              <w:right w:val="nil"/>
            </w:tcBorders>
            <w:shd w:val="clear" w:color="auto" w:fill="auto"/>
            <w:noWrap/>
            <w:vAlign w:val="center"/>
          </w:tcPr>
          <w:p w14:paraId="5A8FB58B" w14:textId="0036B0DC" w:rsidR="00395F1D" w:rsidRPr="00395F1D" w:rsidRDefault="00395F1D" w:rsidP="00395F1D">
            <w:pPr>
              <w:jc w:val="center"/>
              <w:rPr>
                <w:rFonts w:ascii="Times New Roman" w:eastAsia="Times New Roman" w:hAnsi="Times New Roman" w:cs="Times New Roman"/>
                <w:color w:val="000000"/>
                <w:sz w:val="20"/>
                <w:szCs w:val="20"/>
                <w:lang w:eastAsia="es-GT"/>
              </w:rPr>
            </w:pPr>
            <w:r w:rsidRPr="00395F1D">
              <w:rPr>
                <w:rFonts w:ascii="Times New Roman" w:hAnsi="Times New Roman" w:cs="Times New Roman"/>
                <w:color w:val="000000"/>
                <w:sz w:val="20"/>
                <w:szCs w:val="20"/>
              </w:rPr>
              <w:t>1.9</w:t>
            </w:r>
          </w:p>
        </w:tc>
      </w:tr>
      <w:tr w:rsidR="00395F1D" w:rsidRPr="00D96ECA" w14:paraId="166F178E" w14:textId="77777777" w:rsidTr="00B341EB">
        <w:trPr>
          <w:trHeight w:val="238"/>
          <w:jc w:val="center"/>
        </w:trPr>
        <w:tc>
          <w:tcPr>
            <w:tcW w:w="3905" w:type="dxa"/>
            <w:tcBorders>
              <w:top w:val="nil"/>
              <w:left w:val="nil"/>
              <w:bottom w:val="nil"/>
              <w:right w:val="nil"/>
            </w:tcBorders>
            <w:shd w:val="clear" w:color="auto" w:fill="auto"/>
            <w:noWrap/>
            <w:vAlign w:val="center"/>
            <w:hideMark/>
          </w:tcPr>
          <w:p w14:paraId="35C81A98" w14:textId="77777777" w:rsidR="00395F1D" w:rsidRPr="00D96ECA" w:rsidRDefault="00395F1D" w:rsidP="00395F1D">
            <w:pPr>
              <w:ind w:firstLineChars="100" w:firstLine="200"/>
              <w:rPr>
                <w:rFonts w:ascii="Times New Roman" w:eastAsia="Times New Roman" w:hAnsi="Times New Roman" w:cs="Times New Roman"/>
                <w:color w:val="000000"/>
                <w:sz w:val="20"/>
                <w:szCs w:val="20"/>
                <w:lang w:eastAsia="es-GT"/>
              </w:rPr>
            </w:pPr>
            <w:r w:rsidRPr="00D96ECA">
              <w:rPr>
                <w:rFonts w:ascii="Times New Roman" w:eastAsia="Times New Roman" w:hAnsi="Times New Roman" w:cs="Times New Roman"/>
                <w:color w:val="000000"/>
                <w:sz w:val="20"/>
                <w:szCs w:val="20"/>
                <w:lang w:eastAsia="es-GT"/>
              </w:rPr>
              <w:t xml:space="preserve">Otros gastos </w:t>
            </w:r>
          </w:p>
        </w:tc>
        <w:tc>
          <w:tcPr>
            <w:tcW w:w="1213" w:type="dxa"/>
            <w:tcBorders>
              <w:top w:val="nil"/>
              <w:left w:val="nil"/>
              <w:bottom w:val="nil"/>
              <w:right w:val="nil"/>
            </w:tcBorders>
            <w:shd w:val="clear" w:color="auto" w:fill="auto"/>
            <w:noWrap/>
            <w:vAlign w:val="center"/>
          </w:tcPr>
          <w:p w14:paraId="58B11022" w14:textId="1E233C27" w:rsidR="00395F1D" w:rsidRPr="00395F1D" w:rsidRDefault="00395F1D" w:rsidP="00395F1D">
            <w:pPr>
              <w:jc w:val="center"/>
              <w:rPr>
                <w:rFonts w:ascii="Times New Roman" w:eastAsia="Times New Roman" w:hAnsi="Times New Roman" w:cs="Times New Roman"/>
                <w:color w:val="000000"/>
                <w:sz w:val="20"/>
                <w:szCs w:val="20"/>
                <w:lang w:eastAsia="es-GT"/>
              </w:rPr>
            </w:pPr>
            <w:r w:rsidRPr="00395F1D">
              <w:rPr>
                <w:rFonts w:ascii="Times New Roman" w:hAnsi="Times New Roman" w:cs="Times New Roman"/>
                <w:color w:val="000000"/>
                <w:sz w:val="20"/>
                <w:szCs w:val="20"/>
              </w:rPr>
              <w:t>8,321.3</w:t>
            </w:r>
          </w:p>
        </w:tc>
        <w:tc>
          <w:tcPr>
            <w:tcW w:w="1214" w:type="dxa"/>
            <w:tcBorders>
              <w:top w:val="nil"/>
              <w:left w:val="nil"/>
              <w:bottom w:val="nil"/>
              <w:right w:val="nil"/>
            </w:tcBorders>
            <w:shd w:val="clear" w:color="auto" w:fill="auto"/>
            <w:noWrap/>
            <w:vAlign w:val="center"/>
          </w:tcPr>
          <w:p w14:paraId="1BC4DD2B" w14:textId="22F5C10E" w:rsidR="00395F1D" w:rsidRPr="00395F1D" w:rsidRDefault="00395F1D" w:rsidP="00395F1D">
            <w:pPr>
              <w:jc w:val="center"/>
              <w:rPr>
                <w:rFonts w:ascii="Times New Roman" w:eastAsia="Times New Roman" w:hAnsi="Times New Roman" w:cs="Times New Roman"/>
                <w:color w:val="000000"/>
                <w:sz w:val="20"/>
                <w:szCs w:val="20"/>
                <w:lang w:eastAsia="es-GT"/>
              </w:rPr>
            </w:pPr>
            <w:r w:rsidRPr="00395F1D">
              <w:rPr>
                <w:rFonts w:ascii="Times New Roman" w:hAnsi="Times New Roman" w:cs="Times New Roman"/>
                <w:color w:val="000000"/>
                <w:sz w:val="20"/>
                <w:szCs w:val="20"/>
              </w:rPr>
              <w:t>9,108.5</w:t>
            </w:r>
          </w:p>
        </w:tc>
        <w:tc>
          <w:tcPr>
            <w:tcW w:w="1095" w:type="dxa"/>
            <w:tcBorders>
              <w:top w:val="nil"/>
              <w:left w:val="dotDash" w:sz="4" w:space="0" w:color="auto"/>
              <w:bottom w:val="nil"/>
              <w:right w:val="nil"/>
            </w:tcBorders>
            <w:shd w:val="clear" w:color="auto" w:fill="auto"/>
            <w:noWrap/>
            <w:vAlign w:val="center"/>
          </w:tcPr>
          <w:p w14:paraId="6A6574EA" w14:textId="055B528C" w:rsidR="00395F1D" w:rsidRPr="00395F1D" w:rsidRDefault="00395F1D" w:rsidP="00395F1D">
            <w:pPr>
              <w:jc w:val="center"/>
              <w:rPr>
                <w:rFonts w:ascii="Times New Roman" w:eastAsia="Times New Roman" w:hAnsi="Times New Roman" w:cs="Times New Roman"/>
                <w:color w:val="000000"/>
                <w:sz w:val="20"/>
                <w:szCs w:val="20"/>
                <w:lang w:eastAsia="es-GT"/>
              </w:rPr>
            </w:pPr>
            <w:r w:rsidRPr="00395F1D">
              <w:rPr>
                <w:rFonts w:ascii="Times New Roman" w:hAnsi="Times New Roman" w:cs="Times New Roman"/>
                <w:color w:val="000000"/>
                <w:sz w:val="20"/>
                <w:szCs w:val="20"/>
              </w:rPr>
              <w:t>1.1</w:t>
            </w:r>
          </w:p>
        </w:tc>
        <w:tc>
          <w:tcPr>
            <w:tcW w:w="1098" w:type="dxa"/>
            <w:tcBorders>
              <w:top w:val="nil"/>
              <w:left w:val="nil"/>
              <w:bottom w:val="nil"/>
              <w:right w:val="nil"/>
            </w:tcBorders>
            <w:shd w:val="clear" w:color="auto" w:fill="auto"/>
            <w:noWrap/>
            <w:vAlign w:val="center"/>
          </w:tcPr>
          <w:p w14:paraId="51431AFC" w14:textId="429881BC" w:rsidR="00395F1D" w:rsidRPr="00395F1D" w:rsidRDefault="00395F1D" w:rsidP="00395F1D">
            <w:pPr>
              <w:jc w:val="center"/>
              <w:rPr>
                <w:rFonts w:ascii="Times New Roman" w:eastAsia="Times New Roman" w:hAnsi="Times New Roman" w:cs="Times New Roman"/>
                <w:color w:val="000000"/>
                <w:sz w:val="20"/>
                <w:szCs w:val="20"/>
                <w:lang w:eastAsia="es-GT"/>
              </w:rPr>
            </w:pPr>
            <w:r w:rsidRPr="00395F1D">
              <w:rPr>
                <w:rFonts w:ascii="Times New Roman" w:hAnsi="Times New Roman" w:cs="Times New Roman"/>
                <w:color w:val="000000"/>
                <w:sz w:val="20"/>
                <w:szCs w:val="20"/>
              </w:rPr>
              <w:t>1.1</w:t>
            </w:r>
          </w:p>
        </w:tc>
      </w:tr>
      <w:tr w:rsidR="00395F1D" w:rsidRPr="00D96ECA" w14:paraId="6370C9BF" w14:textId="77777777" w:rsidTr="00B341EB">
        <w:trPr>
          <w:trHeight w:val="238"/>
          <w:jc w:val="center"/>
        </w:trPr>
        <w:tc>
          <w:tcPr>
            <w:tcW w:w="3905" w:type="dxa"/>
            <w:tcBorders>
              <w:top w:val="nil"/>
              <w:left w:val="nil"/>
              <w:bottom w:val="nil"/>
              <w:right w:val="nil"/>
            </w:tcBorders>
            <w:shd w:val="clear" w:color="auto" w:fill="auto"/>
            <w:noWrap/>
            <w:vAlign w:val="center"/>
            <w:hideMark/>
          </w:tcPr>
          <w:p w14:paraId="3EE76C8A" w14:textId="77777777" w:rsidR="00395F1D" w:rsidRPr="00D96ECA" w:rsidRDefault="00395F1D" w:rsidP="00395F1D">
            <w:pPr>
              <w:jc w:val="both"/>
              <w:rPr>
                <w:rFonts w:ascii="Times New Roman" w:eastAsia="Times New Roman" w:hAnsi="Times New Roman" w:cs="Times New Roman"/>
                <w:b/>
                <w:bCs/>
                <w:color w:val="000000"/>
                <w:sz w:val="20"/>
                <w:szCs w:val="20"/>
                <w:lang w:eastAsia="es-GT"/>
              </w:rPr>
            </w:pPr>
            <w:r w:rsidRPr="00D96ECA">
              <w:rPr>
                <w:rFonts w:ascii="Times New Roman" w:eastAsia="Times New Roman" w:hAnsi="Times New Roman" w:cs="Times New Roman"/>
                <w:b/>
                <w:bCs/>
                <w:color w:val="000000"/>
                <w:sz w:val="20"/>
                <w:szCs w:val="20"/>
                <w:lang w:eastAsia="es-GT"/>
              </w:rPr>
              <w:t>Resultado Operativo Primario</w:t>
            </w:r>
          </w:p>
        </w:tc>
        <w:tc>
          <w:tcPr>
            <w:tcW w:w="1213" w:type="dxa"/>
            <w:tcBorders>
              <w:top w:val="nil"/>
              <w:left w:val="nil"/>
              <w:bottom w:val="nil"/>
              <w:right w:val="nil"/>
            </w:tcBorders>
            <w:shd w:val="clear" w:color="auto" w:fill="auto"/>
            <w:noWrap/>
            <w:vAlign w:val="center"/>
          </w:tcPr>
          <w:p w14:paraId="4F3BCEB0" w14:textId="317854A3" w:rsidR="00395F1D" w:rsidRPr="00395F1D" w:rsidRDefault="00395F1D" w:rsidP="00395F1D">
            <w:pPr>
              <w:jc w:val="center"/>
              <w:rPr>
                <w:rFonts w:ascii="Times New Roman" w:eastAsia="Times New Roman" w:hAnsi="Times New Roman" w:cs="Times New Roman"/>
                <w:b/>
                <w:bCs/>
                <w:color w:val="000000"/>
                <w:sz w:val="20"/>
                <w:szCs w:val="20"/>
                <w:lang w:eastAsia="es-GT"/>
              </w:rPr>
            </w:pPr>
            <w:r w:rsidRPr="00395F1D">
              <w:rPr>
                <w:rFonts w:ascii="Times New Roman" w:hAnsi="Times New Roman" w:cs="Times New Roman"/>
                <w:b/>
                <w:bCs/>
                <w:color w:val="000000"/>
                <w:sz w:val="20"/>
                <w:szCs w:val="20"/>
              </w:rPr>
              <w:t>21,873.9</w:t>
            </w:r>
          </w:p>
        </w:tc>
        <w:tc>
          <w:tcPr>
            <w:tcW w:w="1214" w:type="dxa"/>
            <w:tcBorders>
              <w:top w:val="nil"/>
              <w:left w:val="nil"/>
              <w:bottom w:val="nil"/>
              <w:right w:val="nil"/>
            </w:tcBorders>
            <w:shd w:val="clear" w:color="auto" w:fill="auto"/>
            <w:noWrap/>
            <w:vAlign w:val="center"/>
          </w:tcPr>
          <w:p w14:paraId="447506A3" w14:textId="5643508E" w:rsidR="00395F1D" w:rsidRPr="00395F1D" w:rsidRDefault="00395F1D" w:rsidP="00395F1D">
            <w:pPr>
              <w:jc w:val="center"/>
              <w:rPr>
                <w:rFonts w:ascii="Times New Roman" w:eastAsia="Times New Roman" w:hAnsi="Times New Roman" w:cs="Times New Roman"/>
                <w:b/>
                <w:bCs/>
                <w:color w:val="000000"/>
                <w:sz w:val="20"/>
                <w:szCs w:val="20"/>
                <w:lang w:eastAsia="es-GT"/>
              </w:rPr>
            </w:pPr>
            <w:r w:rsidRPr="00395F1D">
              <w:rPr>
                <w:rFonts w:ascii="Times New Roman" w:hAnsi="Times New Roman" w:cs="Times New Roman"/>
                <w:b/>
                <w:bCs/>
                <w:color w:val="000000"/>
                <w:sz w:val="20"/>
                <w:szCs w:val="20"/>
              </w:rPr>
              <w:t>26,772.2</w:t>
            </w:r>
          </w:p>
        </w:tc>
        <w:tc>
          <w:tcPr>
            <w:tcW w:w="1095" w:type="dxa"/>
            <w:tcBorders>
              <w:top w:val="nil"/>
              <w:left w:val="dotDash" w:sz="4" w:space="0" w:color="auto"/>
              <w:bottom w:val="nil"/>
              <w:right w:val="nil"/>
            </w:tcBorders>
            <w:shd w:val="clear" w:color="auto" w:fill="auto"/>
            <w:noWrap/>
            <w:vAlign w:val="center"/>
          </w:tcPr>
          <w:p w14:paraId="588C66BE" w14:textId="2594E5C9" w:rsidR="00395F1D" w:rsidRPr="00395F1D" w:rsidRDefault="00395F1D" w:rsidP="00395F1D">
            <w:pPr>
              <w:jc w:val="center"/>
              <w:rPr>
                <w:rFonts w:ascii="Times New Roman" w:eastAsia="Times New Roman" w:hAnsi="Times New Roman" w:cs="Times New Roman"/>
                <w:b/>
                <w:bCs/>
                <w:color w:val="000000"/>
                <w:sz w:val="20"/>
                <w:szCs w:val="20"/>
                <w:lang w:eastAsia="es-GT"/>
              </w:rPr>
            </w:pPr>
            <w:r w:rsidRPr="00395F1D">
              <w:rPr>
                <w:rFonts w:ascii="Times New Roman" w:hAnsi="Times New Roman" w:cs="Times New Roman"/>
                <w:b/>
                <w:bCs/>
                <w:color w:val="000000"/>
                <w:sz w:val="20"/>
                <w:szCs w:val="20"/>
              </w:rPr>
              <w:t>3.0</w:t>
            </w:r>
          </w:p>
        </w:tc>
        <w:tc>
          <w:tcPr>
            <w:tcW w:w="1098" w:type="dxa"/>
            <w:tcBorders>
              <w:top w:val="nil"/>
              <w:left w:val="nil"/>
              <w:bottom w:val="nil"/>
              <w:right w:val="nil"/>
            </w:tcBorders>
            <w:shd w:val="clear" w:color="auto" w:fill="auto"/>
            <w:noWrap/>
            <w:vAlign w:val="center"/>
          </w:tcPr>
          <w:p w14:paraId="1D4E6476" w14:textId="2459312F" w:rsidR="00395F1D" w:rsidRPr="00395F1D" w:rsidRDefault="00395F1D" w:rsidP="00395F1D">
            <w:pPr>
              <w:jc w:val="center"/>
              <w:rPr>
                <w:rFonts w:ascii="Times New Roman" w:eastAsia="Times New Roman" w:hAnsi="Times New Roman" w:cs="Times New Roman"/>
                <w:b/>
                <w:bCs/>
                <w:color w:val="000000"/>
                <w:sz w:val="20"/>
                <w:szCs w:val="20"/>
                <w:lang w:eastAsia="es-GT"/>
              </w:rPr>
            </w:pPr>
            <w:r w:rsidRPr="00395F1D">
              <w:rPr>
                <w:rFonts w:ascii="Times New Roman" w:hAnsi="Times New Roman" w:cs="Times New Roman"/>
                <w:b/>
                <w:bCs/>
                <w:color w:val="000000"/>
                <w:sz w:val="20"/>
                <w:szCs w:val="20"/>
              </w:rPr>
              <w:t>3.3</w:t>
            </w:r>
          </w:p>
        </w:tc>
      </w:tr>
      <w:tr w:rsidR="00395F1D" w:rsidRPr="00D96ECA" w14:paraId="45F928BC" w14:textId="77777777" w:rsidTr="00B341EB">
        <w:trPr>
          <w:trHeight w:val="238"/>
          <w:jc w:val="center"/>
        </w:trPr>
        <w:tc>
          <w:tcPr>
            <w:tcW w:w="3905" w:type="dxa"/>
            <w:tcBorders>
              <w:top w:val="nil"/>
              <w:left w:val="nil"/>
              <w:bottom w:val="nil"/>
              <w:right w:val="nil"/>
            </w:tcBorders>
            <w:shd w:val="clear" w:color="auto" w:fill="BDD6EE" w:themeFill="accent5" w:themeFillTint="66"/>
            <w:noWrap/>
            <w:vAlign w:val="center"/>
            <w:hideMark/>
          </w:tcPr>
          <w:p w14:paraId="78F89E24" w14:textId="77777777" w:rsidR="00395F1D" w:rsidRPr="00D96ECA" w:rsidRDefault="00395F1D" w:rsidP="00395F1D">
            <w:pPr>
              <w:jc w:val="both"/>
              <w:rPr>
                <w:rFonts w:ascii="Times New Roman" w:eastAsia="Times New Roman" w:hAnsi="Times New Roman" w:cs="Times New Roman"/>
                <w:b/>
                <w:bCs/>
                <w:color w:val="000000"/>
                <w:sz w:val="20"/>
                <w:szCs w:val="20"/>
                <w:lang w:eastAsia="es-GT"/>
              </w:rPr>
            </w:pPr>
            <w:r w:rsidRPr="00D96ECA">
              <w:rPr>
                <w:rFonts w:ascii="Times New Roman" w:eastAsia="Times New Roman" w:hAnsi="Times New Roman" w:cs="Times New Roman"/>
                <w:b/>
                <w:bCs/>
                <w:color w:val="000000"/>
                <w:sz w:val="20"/>
                <w:szCs w:val="20"/>
                <w:lang w:eastAsia="es-GT"/>
              </w:rPr>
              <w:t>Resultado Operativo</w:t>
            </w:r>
          </w:p>
        </w:tc>
        <w:tc>
          <w:tcPr>
            <w:tcW w:w="1213" w:type="dxa"/>
            <w:tcBorders>
              <w:top w:val="nil"/>
              <w:left w:val="nil"/>
              <w:bottom w:val="nil"/>
              <w:right w:val="nil"/>
            </w:tcBorders>
            <w:shd w:val="clear" w:color="auto" w:fill="BDD6EE" w:themeFill="accent5" w:themeFillTint="66"/>
            <w:noWrap/>
            <w:vAlign w:val="center"/>
          </w:tcPr>
          <w:p w14:paraId="74D7D1A5" w14:textId="527FA8D7" w:rsidR="00395F1D" w:rsidRPr="00395F1D" w:rsidRDefault="00395F1D" w:rsidP="00395F1D">
            <w:pPr>
              <w:jc w:val="center"/>
              <w:rPr>
                <w:rFonts w:ascii="Times New Roman" w:eastAsia="Times New Roman" w:hAnsi="Times New Roman" w:cs="Times New Roman"/>
                <w:b/>
                <w:bCs/>
                <w:color w:val="000000"/>
                <w:sz w:val="20"/>
                <w:szCs w:val="20"/>
                <w:lang w:eastAsia="es-GT"/>
              </w:rPr>
            </w:pPr>
            <w:r w:rsidRPr="00395F1D">
              <w:rPr>
                <w:rFonts w:ascii="Times New Roman" w:hAnsi="Times New Roman" w:cs="Times New Roman"/>
                <w:b/>
                <w:bCs/>
                <w:color w:val="000000"/>
                <w:sz w:val="20"/>
                <w:szCs w:val="20"/>
              </w:rPr>
              <w:t>10,860.8</w:t>
            </w:r>
          </w:p>
        </w:tc>
        <w:tc>
          <w:tcPr>
            <w:tcW w:w="1214" w:type="dxa"/>
            <w:tcBorders>
              <w:top w:val="nil"/>
              <w:left w:val="nil"/>
              <w:bottom w:val="nil"/>
              <w:right w:val="nil"/>
            </w:tcBorders>
            <w:shd w:val="clear" w:color="auto" w:fill="BDD6EE" w:themeFill="accent5" w:themeFillTint="66"/>
            <w:noWrap/>
            <w:vAlign w:val="center"/>
          </w:tcPr>
          <w:p w14:paraId="1692AFD7" w14:textId="0B0B0B8D" w:rsidR="00395F1D" w:rsidRPr="00395F1D" w:rsidRDefault="00395F1D" w:rsidP="00395F1D">
            <w:pPr>
              <w:jc w:val="center"/>
              <w:rPr>
                <w:rFonts w:ascii="Times New Roman" w:eastAsia="Times New Roman" w:hAnsi="Times New Roman" w:cs="Times New Roman"/>
                <w:b/>
                <w:bCs/>
                <w:color w:val="000000"/>
                <w:sz w:val="20"/>
                <w:szCs w:val="20"/>
                <w:lang w:eastAsia="es-GT"/>
              </w:rPr>
            </w:pPr>
            <w:r w:rsidRPr="00395F1D">
              <w:rPr>
                <w:rFonts w:ascii="Times New Roman" w:hAnsi="Times New Roman" w:cs="Times New Roman"/>
                <w:b/>
                <w:bCs/>
                <w:color w:val="000000"/>
                <w:sz w:val="20"/>
                <w:szCs w:val="20"/>
              </w:rPr>
              <w:t>14,721.0</w:t>
            </w:r>
          </w:p>
        </w:tc>
        <w:tc>
          <w:tcPr>
            <w:tcW w:w="1095" w:type="dxa"/>
            <w:tcBorders>
              <w:top w:val="nil"/>
              <w:left w:val="dotDash" w:sz="4" w:space="0" w:color="auto"/>
              <w:bottom w:val="nil"/>
              <w:right w:val="nil"/>
            </w:tcBorders>
            <w:shd w:val="clear" w:color="auto" w:fill="BDD6EE" w:themeFill="accent5" w:themeFillTint="66"/>
            <w:noWrap/>
            <w:vAlign w:val="center"/>
          </w:tcPr>
          <w:p w14:paraId="14707930" w14:textId="04E4FDFF" w:rsidR="00395F1D" w:rsidRPr="00395F1D" w:rsidRDefault="00395F1D" w:rsidP="00395F1D">
            <w:pPr>
              <w:jc w:val="center"/>
              <w:rPr>
                <w:rFonts w:ascii="Times New Roman" w:eastAsia="Times New Roman" w:hAnsi="Times New Roman" w:cs="Times New Roman"/>
                <w:b/>
                <w:bCs/>
                <w:color w:val="000000"/>
                <w:sz w:val="20"/>
                <w:szCs w:val="20"/>
                <w:lang w:eastAsia="es-GT"/>
              </w:rPr>
            </w:pPr>
            <w:r w:rsidRPr="00395F1D">
              <w:rPr>
                <w:rFonts w:ascii="Times New Roman" w:hAnsi="Times New Roman" w:cs="Times New Roman"/>
                <w:b/>
                <w:bCs/>
                <w:color w:val="000000"/>
                <w:sz w:val="20"/>
                <w:szCs w:val="20"/>
              </w:rPr>
              <w:t>1.5</w:t>
            </w:r>
          </w:p>
        </w:tc>
        <w:tc>
          <w:tcPr>
            <w:tcW w:w="1098" w:type="dxa"/>
            <w:tcBorders>
              <w:top w:val="nil"/>
              <w:left w:val="nil"/>
              <w:bottom w:val="nil"/>
              <w:right w:val="nil"/>
            </w:tcBorders>
            <w:shd w:val="clear" w:color="auto" w:fill="BDD6EE" w:themeFill="accent5" w:themeFillTint="66"/>
            <w:noWrap/>
            <w:vAlign w:val="center"/>
          </w:tcPr>
          <w:p w14:paraId="39E5F51D" w14:textId="32956B97" w:rsidR="00395F1D" w:rsidRPr="00395F1D" w:rsidRDefault="00395F1D" w:rsidP="00395F1D">
            <w:pPr>
              <w:jc w:val="center"/>
              <w:rPr>
                <w:rFonts w:ascii="Times New Roman" w:eastAsia="Times New Roman" w:hAnsi="Times New Roman" w:cs="Times New Roman"/>
                <w:b/>
                <w:bCs/>
                <w:color w:val="000000"/>
                <w:sz w:val="20"/>
                <w:szCs w:val="20"/>
                <w:lang w:eastAsia="es-GT"/>
              </w:rPr>
            </w:pPr>
            <w:r w:rsidRPr="00395F1D">
              <w:rPr>
                <w:rFonts w:ascii="Times New Roman" w:hAnsi="Times New Roman" w:cs="Times New Roman"/>
                <w:b/>
                <w:bCs/>
                <w:color w:val="000000"/>
                <w:sz w:val="20"/>
                <w:szCs w:val="20"/>
              </w:rPr>
              <w:t>1.8</w:t>
            </w:r>
          </w:p>
        </w:tc>
      </w:tr>
      <w:tr w:rsidR="00975EDA" w:rsidRPr="00D96ECA" w14:paraId="4AFD06C6" w14:textId="77777777" w:rsidTr="00B341EB">
        <w:trPr>
          <w:trHeight w:val="238"/>
          <w:jc w:val="center"/>
        </w:trPr>
        <w:tc>
          <w:tcPr>
            <w:tcW w:w="8525" w:type="dxa"/>
            <w:gridSpan w:val="5"/>
            <w:tcBorders>
              <w:top w:val="single" w:sz="8" w:space="0" w:color="auto"/>
              <w:left w:val="nil"/>
              <w:bottom w:val="double" w:sz="6" w:space="0" w:color="auto"/>
              <w:right w:val="nil"/>
            </w:tcBorders>
            <w:shd w:val="clear" w:color="auto" w:fill="auto"/>
            <w:noWrap/>
            <w:vAlign w:val="center"/>
            <w:hideMark/>
          </w:tcPr>
          <w:p w14:paraId="029C8DEA" w14:textId="77777777" w:rsidR="00975EDA" w:rsidRPr="00D96ECA" w:rsidRDefault="00975EDA" w:rsidP="00B341EB">
            <w:pPr>
              <w:jc w:val="both"/>
              <w:rPr>
                <w:rFonts w:ascii="Times New Roman" w:eastAsia="Times New Roman" w:hAnsi="Times New Roman" w:cs="Times New Roman"/>
                <w:b/>
                <w:bCs/>
                <w:color w:val="4472C4"/>
                <w:sz w:val="20"/>
                <w:szCs w:val="20"/>
                <w:lang w:eastAsia="es-GT"/>
              </w:rPr>
            </w:pPr>
            <w:r w:rsidRPr="00D96ECA">
              <w:rPr>
                <w:rFonts w:ascii="Times New Roman" w:eastAsia="Times New Roman" w:hAnsi="Times New Roman" w:cs="Times New Roman"/>
                <w:b/>
                <w:bCs/>
                <w:color w:val="4472C4"/>
                <w:sz w:val="20"/>
                <w:szCs w:val="20"/>
                <w:lang w:eastAsia="es-GT"/>
              </w:rPr>
              <w:t>TRANSACCIONES EN ACTIVOS NO FINANCIEROS</w:t>
            </w:r>
          </w:p>
        </w:tc>
      </w:tr>
      <w:tr w:rsidR="00255899" w:rsidRPr="00D96ECA" w14:paraId="0D1E4CAF" w14:textId="77777777" w:rsidTr="00B341EB">
        <w:trPr>
          <w:trHeight w:val="238"/>
          <w:jc w:val="center"/>
        </w:trPr>
        <w:tc>
          <w:tcPr>
            <w:tcW w:w="3905" w:type="dxa"/>
            <w:tcBorders>
              <w:top w:val="nil"/>
              <w:left w:val="nil"/>
              <w:bottom w:val="nil"/>
              <w:right w:val="nil"/>
            </w:tcBorders>
            <w:shd w:val="clear" w:color="auto" w:fill="auto"/>
            <w:noWrap/>
            <w:vAlign w:val="center"/>
            <w:hideMark/>
          </w:tcPr>
          <w:p w14:paraId="67F9BFAF" w14:textId="77777777" w:rsidR="00255899" w:rsidRPr="00D96ECA" w:rsidRDefault="00255899" w:rsidP="00255899">
            <w:pPr>
              <w:jc w:val="both"/>
              <w:rPr>
                <w:rFonts w:ascii="Times New Roman" w:eastAsia="Times New Roman" w:hAnsi="Times New Roman" w:cs="Times New Roman"/>
                <w:color w:val="000000"/>
                <w:sz w:val="20"/>
                <w:szCs w:val="20"/>
                <w:lang w:eastAsia="es-GT"/>
              </w:rPr>
            </w:pPr>
            <w:r w:rsidRPr="00D96ECA">
              <w:rPr>
                <w:rFonts w:ascii="Times New Roman" w:eastAsia="Times New Roman" w:hAnsi="Times New Roman" w:cs="Times New Roman"/>
                <w:color w:val="000000"/>
                <w:sz w:val="20"/>
                <w:szCs w:val="20"/>
                <w:lang w:eastAsia="es-GT"/>
              </w:rPr>
              <w:t>Inversión bruta en activos no financieros</w:t>
            </w:r>
          </w:p>
        </w:tc>
        <w:tc>
          <w:tcPr>
            <w:tcW w:w="1213" w:type="dxa"/>
            <w:tcBorders>
              <w:top w:val="nil"/>
              <w:left w:val="nil"/>
              <w:bottom w:val="nil"/>
              <w:right w:val="nil"/>
            </w:tcBorders>
            <w:shd w:val="clear" w:color="auto" w:fill="auto"/>
            <w:noWrap/>
            <w:vAlign w:val="center"/>
          </w:tcPr>
          <w:p w14:paraId="733B80AD" w14:textId="73E31E5D" w:rsidR="00255899" w:rsidRPr="00255899" w:rsidRDefault="00255899" w:rsidP="00255899">
            <w:pPr>
              <w:jc w:val="center"/>
              <w:rPr>
                <w:rFonts w:ascii="Times New Roman" w:eastAsia="Times New Roman" w:hAnsi="Times New Roman" w:cs="Times New Roman"/>
                <w:color w:val="000000"/>
                <w:sz w:val="20"/>
                <w:szCs w:val="20"/>
                <w:lang w:eastAsia="es-GT"/>
              </w:rPr>
            </w:pPr>
            <w:r w:rsidRPr="00255899">
              <w:rPr>
                <w:rFonts w:ascii="Times New Roman" w:hAnsi="Times New Roman" w:cs="Times New Roman"/>
                <w:color w:val="000000"/>
                <w:sz w:val="20"/>
                <w:szCs w:val="20"/>
              </w:rPr>
              <w:t>17,148.3</w:t>
            </w:r>
          </w:p>
        </w:tc>
        <w:tc>
          <w:tcPr>
            <w:tcW w:w="1214" w:type="dxa"/>
            <w:tcBorders>
              <w:top w:val="nil"/>
              <w:left w:val="nil"/>
              <w:bottom w:val="nil"/>
              <w:right w:val="nil"/>
            </w:tcBorders>
            <w:shd w:val="clear" w:color="auto" w:fill="auto"/>
            <w:noWrap/>
            <w:vAlign w:val="center"/>
          </w:tcPr>
          <w:p w14:paraId="4CC46076" w14:textId="01190F36" w:rsidR="00255899" w:rsidRPr="00255899" w:rsidRDefault="00255899" w:rsidP="00255899">
            <w:pPr>
              <w:jc w:val="center"/>
              <w:rPr>
                <w:rFonts w:ascii="Times New Roman" w:eastAsia="Times New Roman" w:hAnsi="Times New Roman" w:cs="Times New Roman"/>
                <w:color w:val="000000"/>
                <w:sz w:val="20"/>
                <w:szCs w:val="20"/>
                <w:lang w:eastAsia="es-GT"/>
              </w:rPr>
            </w:pPr>
            <w:r w:rsidRPr="00255899">
              <w:rPr>
                <w:rFonts w:ascii="Times New Roman" w:hAnsi="Times New Roman" w:cs="Times New Roman"/>
                <w:color w:val="000000"/>
                <w:sz w:val="20"/>
                <w:szCs w:val="20"/>
              </w:rPr>
              <w:t>20,700.1</w:t>
            </w:r>
          </w:p>
        </w:tc>
        <w:tc>
          <w:tcPr>
            <w:tcW w:w="1095" w:type="dxa"/>
            <w:tcBorders>
              <w:top w:val="double" w:sz="6" w:space="0" w:color="auto"/>
              <w:left w:val="dotDash" w:sz="4" w:space="0" w:color="auto"/>
              <w:bottom w:val="nil"/>
              <w:right w:val="nil"/>
            </w:tcBorders>
            <w:shd w:val="clear" w:color="auto" w:fill="auto"/>
            <w:noWrap/>
            <w:vAlign w:val="center"/>
          </w:tcPr>
          <w:p w14:paraId="24B57333" w14:textId="157FF065" w:rsidR="00255899" w:rsidRPr="00255899" w:rsidRDefault="00255899" w:rsidP="00255899">
            <w:pPr>
              <w:jc w:val="center"/>
              <w:rPr>
                <w:rFonts w:ascii="Times New Roman" w:eastAsia="Times New Roman" w:hAnsi="Times New Roman" w:cs="Times New Roman"/>
                <w:color w:val="000000"/>
                <w:sz w:val="20"/>
                <w:szCs w:val="20"/>
                <w:lang w:eastAsia="es-GT"/>
              </w:rPr>
            </w:pPr>
            <w:r w:rsidRPr="00255899">
              <w:rPr>
                <w:rFonts w:ascii="Times New Roman" w:hAnsi="Times New Roman" w:cs="Times New Roman"/>
                <w:color w:val="000000"/>
                <w:sz w:val="20"/>
                <w:szCs w:val="20"/>
              </w:rPr>
              <w:t>2.3</w:t>
            </w:r>
          </w:p>
        </w:tc>
        <w:tc>
          <w:tcPr>
            <w:tcW w:w="1098" w:type="dxa"/>
            <w:tcBorders>
              <w:top w:val="nil"/>
              <w:left w:val="nil"/>
              <w:bottom w:val="nil"/>
              <w:right w:val="nil"/>
            </w:tcBorders>
            <w:shd w:val="clear" w:color="auto" w:fill="auto"/>
            <w:noWrap/>
            <w:vAlign w:val="center"/>
          </w:tcPr>
          <w:p w14:paraId="60112752" w14:textId="7D3DFE47" w:rsidR="00255899" w:rsidRPr="00255899" w:rsidRDefault="00255899" w:rsidP="00255899">
            <w:pPr>
              <w:jc w:val="center"/>
              <w:rPr>
                <w:rFonts w:ascii="Times New Roman" w:eastAsia="Times New Roman" w:hAnsi="Times New Roman" w:cs="Times New Roman"/>
                <w:color w:val="000000"/>
                <w:sz w:val="20"/>
                <w:szCs w:val="20"/>
                <w:lang w:eastAsia="es-GT"/>
              </w:rPr>
            </w:pPr>
            <w:r w:rsidRPr="00255899">
              <w:rPr>
                <w:rFonts w:ascii="Times New Roman" w:hAnsi="Times New Roman" w:cs="Times New Roman"/>
                <w:color w:val="000000"/>
                <w:sz w:val="20"/>
                <w:szCs w:val="20"/>
              </w:rPr>
              <w:t>2.6</w:t>
            </w:r>
          </w:p>
        </w:tc>
      </w:tr>
      <w:tr w:rsidR="00255899" w:rsidRPr="00D96ECA" w14:paraId="393501F4" w14:textId="77777777" w:rsidTr="00B341EB">
        <w:trPr>
          <w:trHeight w:val="238"/>
          <w:jc w:val="center"/>
        </w:trPr>
        <w:tc>
          <w:tcPr>
            <w:tcW w:w="3905" w:type="dxa"/>
            <w:tcBorders>
              <w:top w:val="nil"/>
              <w:left w:val="nil"/>
              <w:bottom w:val="nil"/>
              <w:right w:val="nil"/>
            </w:tcBorders>
            <w:shd w:val="clear" w:color="auto" w:fill="auto"/>
            <w:noWrap/>
            <w:vAlign w:val="center"/>
            <w:hideMark/>
          </w:tcPr>
          <w:p w14:paraId="5E708B85" w14:textId="77777777" w:rsidR="00255899" w:rsidRPr="00D96ECA" w:rsidRDefault="00255899" w:rsidP="00255899">
            <w:pPr>
              <w:jc w:val="both"/>
              <w:rPr>
                <w:rFonts w:ascii="Times New Roman" w:eastAsia="Times New Roman" w:hAnsi="Times New Roman" w:cs="Times New Roman"/>
                <w:color w:val="000000"/>
                <w:sz w:val="20"/>
                <w:szCs w:val="20"/>
                <w:lang w:eastAsia="es-GT"/>
              </w:rPr>
            </w:pPr>
            <w:r w:rsidRPr="00D96ECA">
              <w:rPr>
                <w:rFonts w:ascii="Times New Roman" w:eastAsia="Times New Roman" w:hAnsi="Times New Roman" w:cs="Times New Roman"/>
                <w:color w:val="000000"/>
                <w:sz w:val="20"/>
                <w:szCs w:val="20"/>
                <w:lang w:eastAsia="es-GT"/>
              </w:rPr>
              <w:t>Erogación</w:t>
            </w:r>
          </w:p>
        </w:tc>
        <w:tc>
          <w:tcPr>
            <w:tcW w:w="1213" w:type="dxa"/>
            <w:tcBorders>
              <w:top w:val="nil"/>
              <w:left w:val="nil"/>
              <w:bottom w:val="nil"/>
              <w:right w:val="nil"/>
            </w:tcBorders>
            <w:shd w:val="clear" w:color="auto" w:fill="auto"/>
            <w:noWrap/>
            <w:vAlign w:val="center"/>
          </w:tcPr>
          <w:p w14:paraId="1EA56521" w14:textId="12500040" w:rsidR="00255899" w:rsidRPr="00255899" w:rsidRDefault="00255899" w:rsidP="00255899">
            <w:pPr>
              <w:jc w:val="center"/>
              <w:rPr>
                <w:rFonts w:ascii="Times New Roman" w:eastAsia="Times New Roman" w:hAnsi="Times New Roman" w:cs="Times New Roman"/>
                <w:color w:val="000000"/>
                <w:sz w:val="20"/>
                <w:szCs w:val="20"/>
                <w:lang w:eastAsia="es-GT"/>
              </w:rPr>
            </w:pPr>
            <w:r w:rsidRPr="00255899">
              <w:rPr>
                <w:rFonts w:ascii="Times New Roman" w:hAnsi="Times New Roman" w:cs="Times New Roman"/>
                <w:color w:val="000000"/>
                <w:sz w:val="20"/>
                <w:szCs w:val="20"/>
              </w:rPr>
              <w:t>132,659.2</w:t>
            </w:r>
          </w:p>
        </w:tc>
        <w:tc>
          <w:tcPr>
            <w:tcW w:w="1214" w:type="dxa"/>
            <w:tcBorders>
              <w:top w:val="nil"/>
              <w:left w:val="nil"/>
              <w:bottom w:val="nil"/>
              <w:right w:val="nil"/>
            </w:tcBorders>
            <w:shd w:val="clear" w:color="auto" w:fill="auto"/>
            <w:noWrap/>
            <w:vAlign w:val="center"/>
          </w:tcPr>
          <w:p w14:paraId="4A256779" w14:textId="32D9AA10" w:rsidR="00255899" w:rsidRPr="00255899" w:rsidRDefault="00255899" w:rsidP="00255899">
            <w:pPr>
              <w:jc w:val="center"/>
              <w:rPr>
                <w:rFonts w:ascii="Times New Roman" w:eastAsia="Times New Roman" w:hAnsi="Times New Roman" w:cs="Times New Roman"/>
                <w:color w:val="000000"/>
                <w:sz w:val="20"/>
                <w:szCs w:val="20"/>
                <w:lang w:eastAsia="es-GT"/>
              </w:rPr>
            </w:pPr>
            <w:r w:rsidRPr="00255899">
              <w:rPr>
                <w:rFonts w:ascii="Times New Roman" w:hAnsi="Times New Roman" w:cs="Times New Roman"/>
                <w:color w:val="000000"/>
                <w:sz w:val="20"/>
                <w:szCs w:val="20"/>
              </w:rPr>
              <w:t>145,568.5</w:t>
            </w:r>
          </w:p>
        </w:tc>
        <w:tc>
          <w:tcPr>
            <w:tcW w:w="1095" w:type="dxa"/>
            <w:tcBorders>
              <w:top w:val="nil"/>
              <w:left w:val="dotDash" w:sz="4" w:space="0" w:color="auto"/>
              <w:bottom w:val="nil"/>
              <w:right w:val="nil"/>
            </w:tcBorders>
            <w:shd w:val="clear" w:color="auto" w:fill="auto"/>
            <w:noWrap/>
            <w:vAlign w:val="center"/>
          </w:tcPr>
          <w:p w14:paraId="17FF678C" w14:textId="24C63FA2" w:rsidR="00255899" w:rsidRPr="00255899" w:rsidRDefault="00255899" w:rsidP="00255899">
            <w:pPr>
              <w:jc w:val="center"/>
              <w:rPr>
                <w:rFonts w:ascii="Times New Roman" w:eastAsia="Times New Roman" w:hAnsi="Times New Roman" w:cs="Times New Roman"/>
                <w:color w:val="000000"/>
                <w:sz w:val="20"/>
                <w:szCs w:val="20"/>
                <w:lang w:eastAsia="es-GT"/>
              </w:rPr>
            </w:pPr>
            <w:r w:rsidRPr="00255899">
              <w:rPr>
                <w:rFonts w:ascii="Times New Roman" w:hAnsi="Times New Roman" w:cs="Times New Roman"/>
                <w:color w:val="000000"/>
                <w:sz w:val="20"/>
                <w:szCs w:val="20"/>
              </w:rPr>
              <w:t>18.0</w:t>
            </w:r>
          </w:p>
        </w:tc>
        <w:tc>
          <w:tcPr>
            <w:tcW w:w="1098" w:type="dxa"/>
            <w:tcBorders>
              <w:top w:val="nil"/>
              <w:left w:val="nil"/>
              <w:bottom w:val="nil"/>
              <w:right w:val="nil"/>
            </w:tcBorders>
            <w:shd w:val="clear" w:color="auto" w:fill="auto"/>
            <w:noWrap/>
            <w:vAlign w:val="center"/>
          </w:tcPr>
          <w:p w14:paraId="3C34307D" w14:textId="3278498F" w:rsidR="00255899" w:rsidRPr="00255899" w:rsidRDefault="00255899" w:rsidP="00255899">
            <w:pPr>
              <w:jc w:val="center"/>
              <w:rPr>
                <w:rFonts w:ascii="Times New Roman" w:eastAsia="Times New Roman" w:hAnsi="Times New Roman" w:cs="Times New Roman"/>
                <w:color w:val="000000"/>
                <w:sz w:val="20"/>
                <w:szCs w:val="20"/>
                <w:lang w:eastAsia="es-GT"/>
              </w:rPr>
            </w:pPr>
            <w:r w:rsidRPr="00255899">
              <w:rPr>
                <w:rFonts w:ascii="Times New Roman" w:hAnsi="Times New Roman" w:cs="Times New Roman"/>
                <w:color w:val="000000"/>
                <w:sz w:val="20"/>
                <w:szCs w:val="20"/>
              </w:rPr>
              <w:t>18.2</w:t>
            </w:r>
          </w:p>
        </w:tc>
      </w:tr>
      <w:tr w:rsidR="00255899" w:rsidRPr="00D96ECA" w14:paraId="68F384B3" w14:textId="77777777" w:rsidTr="00B341EB">
        <w:trPr>
          <w:trHeight w:val="238"/>
          <w:jc w:val="center"/>
        </w:trPr>
        <w:tc>
          <w:tcPr>
            <w:tcW w:w="3905" w:type="dxa"/>
            <w:tcBorders>
              <w:top w:val="nil"/>
              <w:left w:val="nil"/>
              <w:bottom w:val="nil"/>
              <w:right w:val="nil"/>
            </w:tcBorders>
            <w:shd w:val="clear" w:color="auto" w:fill="auto"/>
            <w:noWrap/>
            <w:vAlign w:val="center"/>
            <w:hideMark/>
          </w:tcPr>
          <w:p w14:paraId="4198BF9D" w14:textId="77777777" w:rsidR="00255899" w:rsidRPr="00D96ECA" w:rsidRDefault="00255899" w:rsidP="00255899">
            <w:pPr>
              <w:jc w:val="both"/>
              <w:rPr>
                <w:rFonts w:ascii="Times New Roman" w:eastAsia="Times New Roman" w:hAnsi="Times New Roman" w:cs="Times New Roman"/>
                <w:b/>
                <w:bCs/>
                <w:color w:val="000000"/>
                <w:sz w:val="20"/>
                <w:szCs w:val="20"/>
                <w:lang w:eastAsia="es-GT"/>
              </w:rPr>
            </w:pPr>
            <w:r w:rsidRPr="00D96ECA">
              <w:rPr>
                <w:rFonts w:ascii="Times New Roman" w:eastAsia="Times New Roman" w:hAnsi="Times New Roman" w:cs="Times New Roman"/>
                <w:b/>
                <w:bCs/>
                <w:color w:val="000000"/>
                <w:sz w:val="20"/>
                <w:szCs w:val="20"/>
                <w:lang w:eastAsia="es-GT"/>
              </w:rPr>
              <w:t>Resultado Primario</w:t>
            </w:r>
          </w:p>
        </w:tc>
        <w:tc>
          <w:tcPr>
            <w:tcW w:w="1213" w:type="dxa"/>
            <w:tcBorders>
              <w:top w:val="nil"/>
              <w:left w:val="nil"/>
              <w:bottom w:val="nil"/>
              <w:right w:val="nil"/>
            </w:tcBorders>
            <w:shd w:val="clear" w:color="auto" w:fill="auto"/>
            <w:noWrap/>
            <w:vAlign w:val="center"/>
          </w:tcPr>
          <w:p w14:paraId="1BFBB8F0" w14:textId="707CAA34" w:rsidR="00255899" w:rsidRPr="00255899" w:rsidRDefault="00255899" w:rsidP="00255899">
            <w:pPr>
              <w:jc w:val="center"/>
              <w:rPr>
                <w:rFonts w:ascii="Times New Roman" w:eastAsia="Times New Roman" w:hAnsi="Times New Roman" w:cs="Times New Roman"/>
                <w:b/>
                <w:bCs/>
                <w:color w:val="000000"/>
                <w:sz w:val="20"/>
                <w:szCs w:val="20"/>
                <w:lang w:eastAsia="es-GT"/>
              </w:rPr>
            </w:pPr>
            <w:r w:rsidRPr="00255899">
              <w:rPr>
                <w:rFonts w:ascii="Times New Roman" w:hAnsi="Times New Roman" w:cs="Times New Roman"/>
                <w:b/>
                <w:bCs/>
                <w:color w:val="000000"/>
                <w:sz w:val="20"/>
                <w:szCs w:val="20"/>
              </w:rPr>
              <w:t>4,725.6</w:t>
            </w:r>
          </w:p>
        </w:tc>
        <w:tc>
          <w:tcPr>
            <w:tcW w:w="1214" w:type="dxa"/>
            <w:tcBorders>
              <w:top w:val="nil"/>
              <w:left w:val="nil"/>
              <w:bottom w:val="nil"/>
              <w:right w:val="nil"/>
            </w:tcBorders>
            <w:shd w:val="clear" w:color="auto" w:fill="auto"/>
            <w:noWrap/>
            <w:vAlign w:val="center"/>
          </w:tcPr>
          <w:p w14:paraId="22F28CEE" w14:textId="34A2F767" w:rsidR="00255899" w:rsidRPr="00255899" w:rsidRDefault="00255899" w:rsidP="00255899">
            <w:pPr>
              <w:jc w:val="center"/>
              <w:rPr>
                <w:rFonts w:ascii="Times New Roman" w:eastAsia="Times New Roman" w:hAnsi="Times New Roman" w:cs="Times New Roman"/>
                <w:b/>
                <w:bCs/>
                <w:color w:val="000000"/>
                <w:sz w:val="20"/>
                <w:szCs w:val="20"/>
                <w:lang w:eastAsia="es-GT"/>
              </w:rPr>
            </w:pPr>
            <w:r w:rsidRPr="00255899">
              <w:rPr>
                <w:rFonts w:ascii="Times New Roman" w:hAnsi="Times New Roman" w:cs="Times New Roman"/>
                <w:b/>
                <w:bCs/>
                <w:color w:val="000000"/>
                <w:sz w:val="20"/>
                <w:szCs w:val="20"/>
              </w:rPr>
              <w:t>2,280.6</w:t>
            </w:r>
          </w:p>
        </w:tc>
        <w:tc>
          <w:tcPr>
            <w:tcW w:w="1095" w:type="dxa"/>
            <w:tcBorders>
              <w:top w:val="nil"/>
              <w:left w:val="dotDash" w:sz="4" w:space="0" w:color="auto"/>
              <w:bottom w:val="nil"/>
              <w:right w:val="nil"/>
            </w:tcBorders>
            <w:shd w:val="clear" w:color="auto" w:fill="auto"/>
            <w:noWrap/>
            <w:vAlign w:val="center"/>
          </w:tcPr>
          <w:p w14:paraId="4E1553B6" w14:textId="113ACF6A" w:rsidR="00255899" w:rsidRPr="00255899" w:rsidRDefault="00255899" w:rsidP="00255899">
            <w:pPr>
              <w:jc w:val="center"/>
              <w:rPr>
                <w:rFonts w:ascii="Times New Roman" w:eastAsia="Times New Roman" w:hAnsi="Times New Roman" w:cs="Times New Roman"/>
                <w:b/>
                <w:bCs/>
                <w:color w:val="000000"/>
                <w:sz w:val="20"/>
                <w:szCs w:val="20"/>
                <w:lang w:eastAsia="es-GT"/>
              </w:rPr>
            </w:pPr>
            <w:r w:rsidRPr="00255899">
              <w:rPr>
                <w:rFonts w:ascii="Times New Roman" w:hAnsi="Times New Roman" w:cs="Times New Roman"/>
                <w:b/>
                <w:bCs/>
                <w:color w:val="000000"/>
                <w:sz w:val="20"/>
                <w:szCs w:val="20"/>
              </w:rPr>
              <w:t>0.6</w:t>
            </w:r>
          </w:p>
        </w:tc>
        <w:tc>
          <w:tcPr>
            <w:tcW w:w="1098" w:type="dxa"/>
            <w:tcBorders>
              <w:top w:val="nil"/>
              <w:left w:val="nil"/>
              <w:bottom w:val="nil"/>
              <w:right w:val="nil"/>
            </w:tcBorders>
            <w:shd w:val="clear" w:color="auto" w:fill="auto"/>
            <w:noWrap/>
            <w:vAlign w:val="center"/>
          </w:tcPr>
          <w:p w14:paraId="23395160" w14:textId="17C3256D" w:rsidR="00255899" w:rsidRPr="00255899" w:rsidRDefault="00255899" w:rsidP="00255899">
            <w:pPr>
              <w:jc w:val="center"/>
              <w:rPr>
                <w:rFonts w:ascii="Times New Roman" w:eastAsia="Times New Roman" w:hAnsi="Times New Roman" w:cs="Times New Roman"/>
                <w:b/>
                <w:bCs/>
                <w:color w:val="000000"/>
                <w:sz w:val="20"/>
                <w:szCs w:val="20"/>
                <w:lang w:eastAsia="es-GT"/>
              </w:rPr>
            </w:pPr>
            <w:r w:rsidRPr="00255899">
              <w:rPr>
                <w:rFonts w:ascii="Times New Roman" w:hAnsi="Times New Roman" w:cs="Times New Roman"/>
                <w:b/>
                <w:bCs/>
                <w:color w:val="000000"/>
                <w:sz w:val="20"/>
                <w:szCs w:val="20"/>
              </w:rPr>
              <w:t>0.3</w:t>
            </w:r>
          </w:p>
        </w:tc>
      </w:tr>
      <w:tr w:rsidR="00255899" w:rsidRPr="00D96ECA" w14:paraId="638B7ED0" w14:textId="77777777" w:rsidTr="00B341EB">
        <w:trPr>
          <w:trHeight w:val="238"/>
          <w:jc w:val="center"/>
        </w:trPr>
        <w:tc>
          <w:tcPr>
            <w:tcW w:w="3905" w:type="dxa"/>
            <w:tcBorders>
              <w:top w:val="nil"/>
              <w:left w:val="nil"/>
              <w:bottom w:val="nil"/>
              <w:right w:val="nil"/>
            </w:tcBorders>
            <w:shd w:val="clear" w:color="auto" w:fill="8496B0" w:themeFill="text2" w:themeFillTint="99"/>
            <w:noWrap/>
            <w:vAlign w:val="center"/>
            <w:hideMark/>
          </w:tcPr>
          <w:p w14:paraId="6136A30A" w14:textId="77777777" w:rsidR="00255899" w:rsidRPr="00D96ECA" w:rsidRDefault="00255899" w:rsidP="00255899">
            <w:pPr>
              <w:jc w:val="both"/>
              <w:rPr>
                <w:rFonts w:ascii="Times New Roman" w:eastAsia="Times New Roman" w:hAnsi="Times New Roman" w:cs="Times New Roman"/>
                <w:b/>
                <w:bCs/>
                <w:color w:val="000000"/>
                <w:sz w:val="20"/>
                <w:szCs w:val="20"/>
                <w:lang w:eastAsia="es-GT"/>
              </w:rPr>
            </w:pPr>
            <w:r w:rsidRPr="00D96ECA">
              <w:rPr>
                <w:rFonts w:ascii="Times New Roman" w:eastAsia="Times New Roman" w:hAnsi="Times New Roman" w:cs="Times New Roman"/>
                <w:b/>
                <w:bCs/>
                <w:color w:val="000000"/>
                <w:sz w:val="20"/>
                <w:szCs w:val="20"/>
                <w:lang w:eastAsia="es-GT"/>
              </w:rPr>
              <w:t>Préstamo (+) / endeudamiento (-)</w:t>
            </w:r>
          </w:p>
        </w:tc>
        <w:tc>
          <w:tcPr>
            <w:tcW w:w="1213" w:type="dxa"/>
            <w:tcBorders>
              <w:top w:val="nil"/>
              <w:left w:val="nil"/>
              <w:bottom w:val="nil"/>
              <w:right w:val="nil"/>
            </w:tcBorders>
            <w:shd w:val="clear" w:color="auto" w:fill="8496B0" w:themeFill="text2" w:themeFillTint="99"/>
            <w:noWrap/>
            <w:vAlign w:val="center"/>
          </w:tcPr>
          <w:p w14:paraId="08199293" w14:textId="1AC2ADD5" w:rsidR="00255899" w:rsidRPr="00255899" w:rsidRDefault="00255899" w:rsidP="00255899">
            <w:pPr>
              <w:jc w:val="center"/>
              <w:rPr>
                <w:rFonts w:ascii="Times New Roman" w:eastAsia="Times New Roman" w:hAnsi="Times New Roman" w:cs="Times New Roman"/>
                <w:b/>
                <w:bCs/>
                <w:color w:val="000000"/>
                <w:sz w:val="20"/>
                <w:szCs w:val="20"/>
                <w:lang w:eastAsia="es-GT"/>
              </w:rPr>
            </w:pPr>
            <w:r w:rsidRPr="00255899">
              <w:rPr>
                <w:rFonts w:ascii="Times New Roman" w:hAnsi="Times New Roman" w:cs="Times New Roman"/>
                <w:b/>
                <w:bCs/>
                <w:color w:val="000000"/>
                <w:sz w:val="20"/>
                <w:szCs w:val="20"/>
              </w:rPr>
              <w:t>-6,287.5</w:t>
            </w:r>
          </w:p>
        </w:tc>
        <w:tc>
          <w:tcPr>
            <w:tcW w:w="1214" w:type="dxa"/>
            <w:tcBorders>
              <w:top w:val="nil"/>
              <w:left w:val="nil"/>
              <w:bottom w:val="nil"/>
              <w:right w:val="nil"/>
            </w:tcBorders>
            <w:shd w:val="clear" w:color="auto" w:fill="8496B0" w:themeFill="text2" w:themeFillTint="99"/>
            <w:noWrap/>
            <w:vAlign w:val="center"/>
          </w:tcPr>
          <w:p w14:paraId="5818C002" w14:textId="6DAE2D16" w:rsidR="00255899" w:rsidRPr="00255899" w:rsidRDefault="00255899" w:rsidP="00255899">
            <w:pPr>
              <w:jc w:val="center"/>
              <w:rPr>
                <w:rFonts w:ascii="Times New Roman" w:eastAsia="Times New Roman" w:hAnsi="Times New Roman" w:cs="Times New Roman"/>
                <w:b/>
                <w:bCs/>
                <w:color w:val="000000"/>
                <w:sz w:val="20"/>
                <w:szCs w:val="20"/>
                <w:lang w:eastAsia="es-GT"/>
              </w:rPr>
            </w:pPr>
            <w:r w:rsidRPr="00255899">
              <w:rPr>
                <w:rFonts w:ascii="Times New Roman" w:hAnsi="Times New Roman" w:cs="Times New Roman"/>
                <w:b/>
                <w:bCs/>
                <w:color w:val="000000"/>
                <w:sz w:val="20"/>
                <w:szCs w:val="20"/>
              </w:rPr>
              <w:t>-5,979.1</w:t>
            </w:r>
          </w:p>
        </w:tc>
        <w:tc>
          <w:tcPr>
            <w:tcW w:w="1095" w:type="dxa"/>
            <w:tcBorders>
              <w:top w:val="nil"/>
              <w:left w:val="dotDash" w:sz="4" w:space="0" w:color="auto"/>
              <w:bottom w:val="nil"/>
              <w:right w:val="nil"/>
            </w:tcBorders>
            <w:shd w:val="clear" w:color="auto" w:fill="8496B0" w:themeFill="text2" w:themeFillTint="99"/>
            <w:noWrap/>
            <w:vAlign w:val="center"/>
          </w:tcPr>
          <w:p w14:paraId="488AE5D1" w14:textId="1E79B802" w:rsidR="00255899" w:rsidRPr="00255899" w:rsidRDefault="00255899" w:rsidP="00255899">
            <w:pPr>
              <w:jc w:val="center"/>
              <w:rPr>
                <w:rFonts w:ascii="Times New Roman" w:eastAsia="Times New Roman" w:hAnsi="Times New Roman" w:cs="Times New Roman"/>
                <w:b/>
                <w:bCs/>
                <w:color w:val="000000"/>
                <w:sz w:val="20"/>
                <w:szCs w:val="20"/>
                <w:lang w:eastAsia="es-GT"/>
              </w:rPr>
            </w:pPr>
            <w:r w:rsidRPr="00255899">
              <w:rPr>
                <w:rFonts w:ascii="Times New Roman" w:hAnsi="Times New Roman" w:cs="Times New Roman"/>
                <w:b/>
                <w:bCs/>
                <w:color w:val="000000"/>
                <w:sz w:val="20"/>
                <w:szCs w:val="20"/>
              </w:rPr>
              <w:t>-0.9</w:t>
            </w:r>
          </w:p>
        </w:tc>
        <w:tc>
          <w:tcPr>
            <w:tcW w:w="1098" w:type="dxa"/>
            <w:tcBorders>
              <w:top w:val="nil"/>
              <w:left w:val="nil"/>
              <w:bottom w:val="nil"/>
              <w:right w:val="nil"/>
            </w:tcBorders>
            <w:shd w:val="clear" w:color="auto" w:fill="8496B0" w:themeFill="text2" w:themeFillTint="99"/>
            <w:noWrap/>
            <w:vAlign w:val="center"/>
          </w:tcPr>
          <w:p w14:paraId="139F5BA5" w14:textId="6ED27916" w:rsidR="00255899" w:rsidRPr="00255899" w:rsidRDefault="00255899" w:rsidP="00255899">
            <w:pPr>
              <w:jc w:val="center"/>
              <w:rPr>
                <w:rFonts w:ascii="Times New Roman" w:eastAsia="Times New Roman" w:hAnsi="Times New Roman" w:cs="Times New Roman"/>
                <w:b/>
                <w:bCs/>
                <w:color w:val="000000"/>
                <w:sz w:val="20"/>
                <w:szCs w:val="20"/>
                <w:lang w:eastAsia="es-GT"/>
              </w:rPr>
            </w:pPr>
            <w:r w:rsidRPr="00255899">
              <w:rPr>
                <w:rFonts w:ascii="Times New Roman" w:hAnsi="Times New Roman" w:cs="Times New Roman"/>
                <w:b/>
                <w:bCs/>
                <w:color w:val="000000"/>
                <w:sz w:val="20"/>
                <w:szCs w:val="20"/>
              </w:rPr>
              <w:t>-0.7</w:t>
            </w:r>
          </w:p>
        </w:tc>
      </w:tr>
      <w:tr w:rsidR="00975EDA" w:rsidRPr="00D96ECA" w14:paraId="2CD67863" w14:textId="77777777" w:rsidTr="00B341EB">
        <w:trPr>
          <w:trHeight w:val="238"/>
          <w:jc w:val="center"/>
        </w:trPr>
        <w:tc>
          <w:tcPr>
            <w:tcW w:w="8525" w:type="dxa"/>
            <w:gridSpan w:val="5"/>
            <w:tcBorders>
              <w:top w:val="single" w:sz="8" w:space="0" w:color="auto"/>
              <w:left w:val="nil"/>
              <w:bottom w:val="double" w:sz="6" w:space="0" w:color="auto"/>
              <w:right w:val="nil"/>
            </w:tcBorders>
            <w:shd w:val="clear" w:color="auto" w:fill="auto"/>
            <w:noWrap/>
            <w:vAlign w:val="center"/>
            <w:hideMark/>
          </w:tcPr>
          <w:p w14:paraId="798CE267" w14:textId="77777777" w:rsidR="00975EDA" w:rsidRPr="00D96ECA" w:rsidRDefault="00975EDA" w:rsidP="00B341EB">
            <w:pPr>
              <w:jc w:val="both"/>
              <w:rPr>
                <w:rFonts w:ascii="Times New Roman" w:eastAsia="Times New Roman" w:hAnsi="Times New Roman" w:cs="Times New Roman"/>
                <w:b/>
                <w:bCs/>
                <w:color w:val="4472C4"/>
                <w:sz w:val="20"/>
                <w:szCs w:val="20"/>
                <w:lang w:eastAsia="es-GT"/>
              </w:rPr>
            </w:pPr>
            <w:r w:rsidRPr="00D96ECA">
              <w:rPr>
                <w:rFonts w:ascii="Times New Roman" w:eastAsia="Times New Roman" w:hAnsi="Times New Roman" w:cs="Times New Roman"/>
                <w:b/>
                <w:bCs/>
                <w:color w:val="4472C4"/>
                <w:sz w:val="20"/>
                <w:szCs w:val="20"/>
                <w:lang w:eastAsia="es-GT"/>
              </w:rPr>
              <w:t>TRANSACCIONES EN ACTIVOS Y PASIVOS FINANCIEROS (FINANCIMIENTO)</w:t>
            </w:r>
          </w:p>
        </w:tc>
      </w:tr>
      <w:tr w:rsidR="00255899" w:rsidRPr="00D96ECA" w14:paraId="43F44828" w14:textId="77777777" w:rsidTr="00B341EB">
        <w:trPr>
          <w:trHeight w:val="238"/>
          <w:jc w:val="center"/>
        </w:trPr>
        <w:tc>
          <w:tcPr>
            <w:tcW w:w="3905" w:type="dxa"/>
            <w:tcBorders>
              <w:top w:val="nil"/>
              <w:left w:val="nil"/>
              <w:bottom w:val="nil"/>
              <w:right w:val="nil"/>
            </w:tcBorders>
            <w:shd w:val="clear" w:color="auto" w:fill="auto"/>
            <w:noWrap/>
            <w:vAlign w:val="center"/>
            <w:hideMark/>
          </w:tcPr>
          <w:p w14:paraId="3AD54841" w14:textId="77777777" w:rsidR="00255899" w:rsidRPr="00D96ECA" w:rsidRDefault="00255899" w:rsidP="00255899">
            <w:pPr>
              <w:jc w:val="both"/>
              <w:rPr>
                <w:rFonts w:ascii="Times New Roman" w:eastAsia="Times New Roman" w:hAnsi="Times New Roman" w:cs="Times New Roman"/>
                <w:b/>
                <w:bCs/>
                <w:color w:val="000000"/>
                <w:sz w:val="20"/>
                <w:szCs w:val="20"/>
                <w:lang w:eastAsia="es-GT"/>
              </w:rPr>
            </w:pPr>
            <w:r w:rsidRPr="00D96ECA">
              <w:rPr>
                <w:rFonts w:ascii="Times New Roman" w:eastAsia="Times New Roman" w:hAnsi="Times New Roman" w:cs="Times New Roman"/>
                <w:b/>
                <w:bCs/>
                <w:color w:val="000000"/>
                <w:sz w:val="20"/>
                <w:szCs w:val="20"/>
                <w:lang w:eastAsia="es-GT"/>
              </w:rPr>
              <w:t>Adquisición neta de activos financieros</w:t>
            </w:r>
          </w:p>
        </w:tc>
        <w:tc>
          <w:tcPr>
            <w:tcW w:w="1213" w:type="dxa"/>
            <w:tcBorders>
              <w:top w:val="nil"/>
              <w:left w:val="nil"/>
              <w:bottom w:val="nil"/>
              <w:right w:val="nil"/>
            </w:tcBorders>
            <w:shd w:val="clear" w:color="auto" w:fill="auto"/>
            <w:noWrap/>
            <w:vAlign w:val="center"/>
          </w:tcPr>
          <w:p w14:paraId="2341BABC" w14:textId="3F2C77DE" w:rsidR="00255899" w:rsidRPr="00255899" w:rsidRDefault="00255899" w:rsidP="00255899">
            <w:pPr>
              <w:jc w:val="center"/>
              <w:rPr>
                <w:rFonts w:ascii="Times New Roman" w:eastAsia="Times New Roman" w:hAnsi="Times New Roman" w:cs="Times New Roman"/>
                <w:b/>
                <w:bCs/>
                <w:color w:val="000000"/>
                <w:sz w:val="20"/>
                <w:szCs w:val="20"/>
                <w:lang w:eastAsia="es-GT"/>
              </w:rPr>
            </w:pPr>
            <w:r w:rsidRPr="00255899">
              <w:rPr>
                <w:rFonts w:ascii="Times New Roman" w:hAnsi="Times New Roman" w:cs="Times New Roman"/>
                <w:b/>
                <w:bCs/>
                <w:color w:val="000000"/>
                <w:sz w:val="20"/>
                <w:szCs w:val="20"/>
              </w:rPr>
              <w:t>852.2</w:t>
            </w:r>
          </w:p>
        </w:tc>
        <w:tc>
          <w:tcPr>
            <w:tcW w:w="1214" w:type="dxa"/>
            <w:tcBorders>
              <w:top w:val="nil"/>
              <w:left w:val="nil"/>
              <w:bottom w:val="nil"/>
              <w:right w:val="nil"/>
            </w:tcBorders>
            <w:shd w:val="clear" w:color="auto" w:fill="auto"/>
            <w:noWrap/>
            <w:vAlign w:val="center"/>
          </w:tcPr>
          <w:p w14:paraId="2BA57EF6" w14:textId="0B7EC1F2" w:rsidR="00255899" w:rsidRPr="00255899" w:rsidRDefault="00255899" w:rsidP="00255899">
            <w:pPr>
              <w:jc w:val="center"/>
              <w:rPr>
                <w:rFonts w:ascii="Times New Roman" w:eastAsia="Times New Roman" w:hAnsi="Times New Roman" w:cs="Times New Roman"/>
                <w:b/>
                <w:bCs/>
                <w:color w:val="000000"/>
                <w:sz w:val="20"/>
                <w:szCs w:val="20"/>
                <w:lang w:eastAsia="es-GT"/>
              </w:rPr>
            </w:pPr>
            <w:r w:rsidRPr="00255899">
              <w:rPr>
                <w:rFonts w:ascii="Times New Roman" w:hAnsi="Times New Roman" w:cs="Times New Roman"/>
                <w:b/>
                <w:bCs/>
                <w:color w:val="000000"/>
                <w:sz w:val="20"/>
                <w:szCs w:val="20"/>
              </w:rPr>
              <w:t>2,798.6</w:t>
            </w:r>
          </w:p>
        </w:tc>
        <w:tc>
          <w:tcPr>
            <w:tcW w:w="1095" w:type="dxa"/>
            <w:tcBorders>
              <w:top w:val="double" w:sz="6" w:space="0" w:color="auto"/>
              <w:left w:val="dotDash" w:sz="4" w:space="0" w:color="auto"/>
              <w:bottom w:val="nil"/>
              <w:right w:val="nil"/>
            </w:tcBorders>
            <w:shd w:val="clear" w:color="auto" w:fill="auto"/>
            <w:noWrap/>
            <w:vAlign w:val="center"/>
          </w:tcPr>
          <w:p w14:paraId="070473D8" w14:textId="5D946F57" w:rsidR="00255899" w:rsidRPr="00255899" w:rsidRDefault="00255899" w:rsidP="00255899">
            <w:pPr>
              <w:jc w:val="center"/>
              <w:rPr>
                <w:rFonts w:ascii="Times New Roman" w:eastAsia="Times New Roman" w:hAnsi="Times New Roman" w:cs="Times New Roman"/>
                <w:b/>
                <w:bCs/>
                <w:color w:val="000000"/>
                <w:sz w:val="20"/>
                <w:szCs w:val="20"/>
                <w:lang w:eastAsia="es-GT"/>
              </w:rPr>
            </w:pPr>
            <w:r w:rsidRPr="00255899">
              <w:rPr>
                <w:rFonts w:ascii="Times New Roman" w:hAnsi="Times New Roman" w:cs="Times New Roman"/>
                <w:b/>
                <w:bCs/>
                <w:color w:val="000000"/>
                <w:sz w:val="20"/>
                <w:szCs w:val="20"/>
              </w:rPr>
              <w:t>0.1</w:t>
            </w:r>
          </w:p>
        </w:tc>
        <w:tc>
          <w:tcPr>
            <w:tcW w:w="1098" w:type="dxa"/>
            <w:tcBorders>
              <w:top w:val="nil"/>
              <w:left w:val="nil"/>
              <w:bottom w:val="nil"/>
              <w:right w:val="nil"/>
            </w:tcBorders>
            <w:shd w:val="clear" w:color="auto" w:fill="auto"/>
            <w:noWrap/>
            <w:vAlign w:val="center"/>
          </w:tcPr>
          <w:p w14:paraId="50DCDC17" w14:textId="2CDAB7E5" w:rsidR="00255899" w:rsidRPr="00255899" w:rsidRDefault="00255899" w:rsidP="00255899">
            <w:pPr>
              <w:jc w:val="center"/>
              <w:rPr>
                <w:rFonts w:ascii="Times New Roman" w:eastAsia="Times New Roman" w:hAnsi="Times New Roman" w:cs="Times New Roman"/>
                <w:b/>
                <w:bCs/>
                <w:color w:val="000000"/>
                <w:sz w:val="20"/>
                <w:szCs w:val="20"/>
                <w:lang w:eastAsia="es-GT"/>
              </w:rPr>
            </w:pPr>
            <w:r w:rsidRPr="00255899">
              <w:rPr>
                <w:rFonts w:ascii="Times New Roman" w:hAnsi="Times New Roman" w:cs="Times New Roman"/>
                <w:b/>
                <w:bCs/>
                <w:color w:val="000000"/>
                <w:sz w:val="20"/>
                <w:szCs w:val="20"/>
              </w:rPr>
              <w:t>0.4</w:t>
            </w:r>
          </w:p>
        </w:tc>
      </w:tr>
      <w:tr w:rsidR="00255899" w:rsidRPr="00D96ECA" w14:paraId="2E930607" w14:textId="77777777" w:rsidTr="00B341EB">
        <w:trPr>
          <w:trHeight w:val="238"/>
          <w:jc w:val="center"/>
        </w:trPr>
        <w:tc>
          <w:tcPr>
            <w:tcW w:w="3905" w:type="dxa"/>
            <w:tcBorders>
              <w:top w:val="nil"/>
              <w:left w:val="nil"/>
              <w:bottom w:val="nil"/>
              <w:right w:val="nil"/>
            </w:tcBorders>
            <w:shd w:val="clear" w:color="auto" w:fill="auto"/>
            <w:noWrap/>
            <w:vAlign w:val="center"/>
            <w:hideMark/>
          </w:tcPr>
          <w:p w14:paraId="0D80EC4B" w14:textId="77777777" w:rsidR="00255899" w:rsidRPr="00D96ECA" w:rsidRDefault="00255899" w:rsidP="00255899">
            <w:pPr>
              <w:ind w:firstLineChars="100" w:firstLine="200"/>
              <w:rPr>
                <w:rFonts w:ascii="Times New Roman" w:eastAsia="Times New Roman" w:hAnsi="Times New Roman" w:cs="Times New Roman"/>
                <w:color w:val="000000"/>
                <w:sz w:val="20"/>
                <w:szCs w:val="20"/>
                <w:lang w:eastAsia="es-GT"/>
              </w:rPr>
            </w:pPr>
            <w:r w:rsidRPr="00D96ECA">
              <w:rPr>
                <w:rFonts w:ascii="Times New Roman" w:eastAsia="Times New Roman" w:hAnsi="Times New Roman" w:cs="Times New Roman"/>
                <w:color w:val="000000"/>
                <w:sz w:val="20"/>
                <w:szCs w:val="20"/>
                <w:lang w:eastAsia="es-GT"/>
              </w:rPr>
              <w:t>Billetes monedas y depósitos</w:t>
            </w:r>
          </w:p>
        </w:tc>
        <w:tc>
          <w:tcPr>
            <w:tcW w:w="1213" w:type="dxa"/>
            <w:tcBorders>
              <w:top w:val="nil"/>
              <w:left w:val="nil"/>
              <w:bottom w:val="nil"/>
              <w:right w:val="nil"/>
            </w:tcBorders>
            <w:shd w:val="clear" w:color="auto" w:fill="auto"/>
            <w:noWrap/>
            <w:vAlign w:val="center"/>
          </w:tcPr>
          <w:p w14:paraId="25F5B0D8" w14:textId="35955083" w:rsidR="00255899" w:rsidRPr="00255899" w:rsidRDefault="00255899" w:rsidP="00255899">
            <w:pPr>
              <w:jc w:val="center"/>
              <w:rPr>
                <w:rFonts w:ascii="Times New Roman" w:eastAsia="Times New Roman" w:hAnsi="Times New Roman" w:cs="Times New Roman"/>
                <w:color w:val="000000"/>
                <w:sz w:val="20"/>
                <w:szCs w:val="20"/>
                <w:lang w:eastAsia="es-GT"/>
              </w:rPr>
            </w:pPr>
            <w:r w:rsidRPr="00255899">
              <w:rPr>
                <w:rFonts w:ascii="Times New Roman" w:hAnsi="Times New Roman" w:cs="Times New Roman"/>
                <w:color w:val="000000"/>
                <w:sz w:val="20"/>
                <w:szCs w:val="20"/>
              </w:rPr>
              <w:t>-2,323.4</w:t>
            </w:r>
          </w:p>
        </w:tc>
        <w:tc>
          <w:tcPr>
            <w:tcW w:w="1214" w:type="dxa"/>
            <w:tcBorders>
              <w:top w:val="nil"/>
              <w:left w:val="nil"/>
              <w:bottom w:val="nil"/>
              <w:right w:val="nil"/>
            </w:tcBorders>
            <w:shd w:val="clear" w:color="auto" w:fill="auto"/>
            <w:noWrap/>
            <w:vAlign w:val="center"/>
          </w:tcPr>
          <w:p w14:paraId="5D8E1FC4" w14:textId="4244BD00" w:rsidR="00255899" w:rsidRPr="00255899" w:rsidRDefault="00255899" w:rsidP="00255899">
            <w:pPr>
              <w:jc w:val="center"/>
              <w:rPr>
                <w:rFonts w:ascii="Times New Roman" w:eastAsia="Times New Roman" w:hAnsi="Times New Roman" w:cs="Times New Roman"/>
                <w:color w:val="000000"/>
                <w:sz w:val="20"/>
                <w:szCs w:val="20"/>
                <w:lang w:eastAsia="es-GT"/>
              </w:rPr>
            </w:pPr>
            <w:r w:rsidRPr="00255899">
              <w:rPr>
                <w:rFonts w:ascii="Times New Roman" w:hAnsi="Times New Roman" w:cs="Times New Roman"/>
                <w:color w:val="000000"/>
                <w:sz w:val="20"/>
                <w:szCs w:val="20"/>
              </w:rPr>
              <w:t>-2,952.8</w:t>
            </w:r>
          </w:p>
        </w:tc>
        <w:tc>
          <w:tcPr>
            <w:tcW w:w="1095" w:type="dxa"/>
            <w:tcBorders>
              <w:top w:val="nil"/>
              <w:left w:val="dotDash" w:sz="4" w:space="0" w:color="auto"/>
              <w:bottom w:val="nil"/>
              <w:right w:val="nil"/>
            </w:tcBorders>
            <w:shd w:val="clear" w:color="auto" w:fill="auto"/>
            <w:noWrap/>
            <w:vAlign w:val="center"/>
          </w:tcPr>
          <w:p w14:paraId="30657F1E" w14:textId="2280B8EB" w:rsidR="00255899" w:rsidRPr="00255899" w:rsidRDefault="00255899" w:rsidP="00255899">
            <w:pPr>
              <w:jc w:val="center"/>
              <w:rPr>
                <w:rFonts w:ascii="Times New Roman" w:eastAsia="Times New Roman" w:hAnsi="Times New Roman" w:cs="Times New Roman"/>
                <w:color w:val="000000"/>
                <w:sz w:val="20"/>
                <w:szCs w:val="20"/>
                <w:lang w:eastAsia="es-GT"/>
              </w:rPr>
            </w:pPr>
            <w:r w:rsidRPr="00255899">
              <w:rPr>
                <w:rFonts w:ascii="Times New Roman" w:hAnsi="Times New Roman" w:cs="Times New Roman"/>
                <w:color w:val="000000"/>
                <w:sz w:val="20"/>
                <w:szCs w:val="20"/>
              </w:rPr>
              <w:t>-0.3</w:t>
            </w:r>
          </w:p>
        </w:tc>
        <w:tc>
          <w:tcPr>
            <w:tcW w:w="1098" w:type="dxa"/>
            <w:tcBorders>
              <w:top w:val="nil"/>
              <w:left w:val="nil"/>
              <w:bottom w:val="nil"/>
              <w:right w:val="nil"/>
            </w:tcBorders>
            <w:shd w:val="clear" w:color="auto" w:fill="auto"/>
            <w:noWrap/>
            <w:vAlign w:val="center"/>
          </w:tcPr>
          <w:p w14:paraId="40CA5E5E" w14:textId="7F0612D4" w:rsidR="00255899" w:rsidRPr="00255899" w:rsidRDefault="00255899" w:rsidP="00255899">
            <w:pPr>
              <w:jc w:val="center"/>
              <w:rPr>
                <w:rFonts w:ascii="Times New Roman" w:eastAsia="Times New Roman" w:hAnsi="Times New Roman" w:cs="Times New Roman"/>
                <w:color w:val="000000"/>
                <w:sz w:val="20"/>
                <w:szCs w:val="20"/>
                <w:lang w:eastAsia="es-GT"/>
              </w:rPr>
            </w:pPr>
            <w:r w:rsidRPr="00255899">
              <w:rPr>
                <w:rFonts w:ascii="Times New Roman" w:hAnsi="Times New Roman" w:cs="Times New Roman"/>
                <w:color w:val="000000"/>
                <w:sz w:val="20"/>
                <w:szCs w:val="20"/>
              </w:rPr>
              <w:t>-0.4</w:t>
            </w:r>
          </w:p>
        </w:tc>
      </w:tr>
      <w:tr w:rsidR="00255899" w:rsidRPr="00D96ECA" w14:paraId="5A3ADD0D" w14:textId="77777777" w:rsidTr="00B341EB">
        <w:trPr>
          <w:trHeight w:val="238"/>
          <w:jc w:val="center"/>
        </w:trPr>
        <w:tc>
          <w:tcPr>
            <w:tcW w:w="3905" w:type="dxa"/>
            <w:tcBorders>
              <w:top w:val="nil"/>
              <w:left w:val="nil"/>
              <w:bottom w:val="nil"/>
              <w:right w:val="nil"/>
            </w:tcBorders>
            <w:shd w:val="clear" w:color="auto" w:fill="auto"/>
            <w:noWrap/>
            <w:vAlign w:val="center"/>
            <w:hideMark/>
          </w:tcPr>
          <w:p w14:paraId="595B1821" w14:textId="77777777" w:rsidR="00255899" w:rsidRPr="00D96ECA" w:rsidRDefault="00255899" w:rsidP="00255899">
            <w:pPr>
              <w:ind w:firstLineChars="100" w:firstLine="200"/>
              <w:rPr>
                <w:rFonts w:ascii="Times New Roman" w:eastAsia="Times New Roman" w:hAnsi="Times New Roman" w:cs="Times New Roman"/>
                <w:color w:val="000000"/>
                <w:sz w:val="20"/>
                <w:szCs w:val="20"/>
                <w:lang w:eastAsia="es-GT"/>
              </w:rPr>
            </w:pPr>
            <w:r w:rsidRPr="00D96ECA">
              <w:rPr>
                <w:rFonts w:ascii="Times New Roman" w:eastAsia="Times New Roman" w:hAnsi="Times New Roman" w:cs="Times New Roman"/>
                <w:color w:val="000000"/>
                <w:sz w:val="20"/>
                <w:szCs w:val="20"/>
                <w:lang w:eastAsia="es-GT"/>
              </w:rPr>
              <w:t>Préstamos</w:t>
            </w:r>
          </w:p>
        </w:tc>
        <w:tc>
          <w:tcPr>
            <w:tcW w:w="1213" w:type="dxa"/>
            <w:tcBorders>
              <w:top w:val="nil"/>
              <w:left w:val="nil"/>
              <w:bottom w:val="nil"/>
              <w:right w:val="nil"/>
            </w:tcBorders>
            <w:shd w:val="clear" w:color="auto" w:fill="auto"/>
            <w:noWrap/>
            <w:vAlign w:val="center"/>
          </w:tcPr>
          <w:p w14:paraId="16B97ECF" w14:textId="4431EE43" w:rsidR="00255899" w:rsidRPr="00255899" w:rsidRDefault="00255899" w:rsidP="00255899">
            <w:pPr>
              <w:jc w:val="center"/>
              <w:rPr>
                <w:rFonts w:ascii="Times New Roman" w:eastAsia="Times New Roman" w:hAnsi="Times New Roman" w:cs="Times New Roman"/>
                <w:color w:val="000000"/>
                <w:sz w:val="20"/>
                <w:szCs w:val="20"/>
                <w:lang w:eastAsia="es-GT"/>
              </w:rPr>
            </w:pPr>
            <w:r w:rsidRPr="00255899">
              <w:rPr>
                <w:rFonts w:ascii="Times New Roman" w:hAnsi="Times New Roman" w:cs="Times New Roman"/>
                <w:color w:val="000000"/>
                <w:sz w:val="20"/>
                <w:szCs w:val="20"/>
              </w:rPr>
              <w:t>-103.1</w:t>
            </w:r>
          </w:p>
        </w:tc>
        <w:tc>
          <w:tcPr>
            <w:tcW w:w="1214" w:type="dxa"/>
            <w:tcBorders>
              <w:top w:val="nil"/>
              <w:left w:val="nil"/>
              <w:bottom w:val="nil"/>
              <w:right w:val="nil"/>
            </w:tcBorders>
            <w:shd w:val="clear" w:color="auto" w:fill="auto"/>
            <w:noWrap/>
            <w:vAlign w:val="center"/>
          </w:tcPr>
          <w:p w14:paraId="6542965A" w14:textId="54D56979" w:rsidR="00255899" w:rsidRPr="00255899" w:rsidRDefault="00255899" w:rsidP="00255899">
            <w:pPr>
              <w:jc w:val="center"/>
              <w:rPr>
                <w:rFonts w:ascii="Times New Roman" w:eastAsia="Times New Roman" w:hAnsi="Times New Roman" w:cs="Times New Roman"/>
                <w:color w:val="000000"/>
                <w:sz w:val="20"/>
                <w:szCs w:val="20"/>
                <w:lang w:eastAsia="es-GT"/>
              </w:rPr>
            </w:pPr>
            <w:r w:rsidRPr="00255899">
              <w:rPr>
                <w:rFonts w:ascii="Times New Roman" w:hAnsi="Times New Roman" w:cs="Times New Roman"/>
                <w:color w:val="000000"/>
                <w:sz w:val="20"/>
                <w:szCs w:val="20"/>
              </w:rPr>
              <w:t>-291.6</w:t>
            </w:r>
          </w:p>
        </w:tc>
        <w:tc>
          <w:tcPr>
            <w:tcW w:w="1095" w:type="dxa"/>
            <w:tcBorders>
              <w:top w:val="nil"/>
              <w:left w:val="dotDash" w:sz="4" w:space="0" w:color="auto"/>
              <w:bottom w:val="nil"/>
              <w:right w:val="nil"/>
            </w:tcBorders>
            <w:shd w:val="clear" w:color="auto" w:fill="auto"/>
            <w:noWrap/>
            <w:vAlign w:val="center"/>
          </w:tcPr>
          <w:p w14:paraId="468EDBA7" w14:textId="1191CEF7" w:rsidR="00255899" w:rsidRPr="00255899" w:rsidRDefault="00255899" w:rsidP="00255899">
            <w:pPr>
              <w:jc w:val="center"/>
              <w:rPr>
                <w:rFonts w:ascii="Times New Roman" w:eastAsia="Times New Roman" w:hAnsi="Times New Roman" w:cs="Times New Roman"/>
                <w:color w:val="000000"/>
                <w:sz w:val="20"/>
                <w:szCs w:val="20"/>
                <w:lang w:eastAsia="es-GT"/>
              </w:rPr>
            </w:pPr>
            <w:r w:rsidRPr="00255899">
              <w:rPr>
                <w:rFonts w:ascii="Times New Roman" w:hAnsi="Times New Roman" w:cs="Times New Roman"/>
                <w:color w:val="000000"/>
                <w:sz w:val="20"/>
                <w:szCs w:val="20"/>
              </w:rPr>
              <w:t>0.0</w:t>
            </w:r>
          </w:p>
        </w:tc>
        <w:tc>
          <w:tcPr>
            <w:tcW w:w="1098" w:type="dxa"/>
            <w:tcBorders>
              <w:top w:val="nil"/>
              <w:left w:val="nil"/>
              <w:bottom w:val="nil"/>
              <w:right w:val="nil"/>
            </w:tcBorders>
            <w:shd w:val="clear" w:color="auto" w:fill="auto"/>
            <w:noWrap/>
            <w:vAlign w:val="center"/>
          </w:tcPr>
          <w:p w14:paraId="718D7127" w14:textId="7E1BB03A" w:rsidR="00255899" w:rsidRPr="00255899" w:rsidRDefault="00255899" w:rsidP="00255899">
            <w:pPr>
              <w:jc w:val="center"/>
              <w:rPr>
                <w:rFonts w:ascii="Times New Roman" w:eastAsia="Times New Roman" w:hAnsi="Times New Roman" w:cs="Times New Roman"/>
                <w:color w:val="000000"/>
                <w:sz w:val="20"/>
                <w:szCs w:val="20"/>
                <w:lang w:eastAsia="es-GT"/>
              </w:rPr>
            </w:pPr>
            <w:r w:rsidRPr="00255899">
              <w:rPr>
                <w:rFonts w:ascii="Times New Roman" w:hAnsi="Times New Roman" w:cs="Times New Roman"/>
                <w:color w:val="000000"/>
                <w:sz w:val="20"/>
                <w:szCs w:val="20"/>
              </w:rPr>
              <w:t>0.0</w:t>
            </w:r>
          </w:p>
        </w:tc>
      </w:tr>
      <w:tr w:rsidR="00255899" w:rsidRPr="00D96ECA" w14:paraId="564C4D61" w14:textId="77777777" w:rsidTr="00B341EB">
        <w:trPr>
          <w:trHeight w:val="238"/>
          <w:jc w:val="center"/>
        </w:trPr>
        <w:tc>
          <w:tcPr>
            <w:tcW w:w="3905" w:type="dxa"/>
            <w:tcBorders>
              <w:top w:val="nil"/>
              <w:left w:val="nil"/>
              <w:bottom w:val="nil"/>
              <w:right w:val="nil"/>
            </w:tcBorders>
            <w:shd w:val="clear" w:color="auto" w:fill="auto"/>
            <w:noWrap/>
            <w:vAlign w:val="center"/>
            <w:hideMark/>
          </w:tcPr>
          <w:p w14:paraId="1F3F2D8B" w14:textId="77777777" w:rsidR="00255899" w:rsidRPr="00D96ECA" w:rsidRDefault="00255899" w:rsidP="00255899">
            <w:pPr>
              <w:ind w:firstLineChars="100" w:firstLine="200"/>
              <w:rPr>
                <w:rFonts w:ascii="Times New Roman" w:eastAsia="Times New Roman" w:hAnsi="Times New Roman" w:cs="Times New Roman"/>
                <w:color w:val="000000"/>
                <w:sz w:val="20"/>
                <w:szCs w:val="20"/>
                <w:lang w:eastAsia="es-GT"/>
              </w:rPr>
            </w:pPr>
            <w:r w:rsidRPr="00D96ECA">
              <w:rPr>
                <w:rFonts w:ascii="Times New Roman" w:eastAsia="Times New Roman" w:hAnsi="Times New Roman" w:cs="Times New Roman"/>
                <w:color w:val="000000"/>
                <w:sz w:val="20"/>
                <w:szCs w:val="20"/>
                <w:lang w:eastAsia="es-GT"/>
              </w:rPr>
              <w:t>Otros</w:t>
            </w:r>
          </w:p>
        </w:tc>
        <w:tc>
          <w:tcPr>
            <w:tcW w:w="1213" w:type="dxa"/>
            <w:tcBorders>
              <w:top w:val="nil"/>
              <w:left w:val="nil"/>
              <w:bottom w:val="nil"/>
              <w:right w:val="nil"/>
            </w:tcBorders>
            <w:shd w:val="clear" w:color="auto" w:fill="auto"/>
            <w:noWrap/>
            <w:vAlign w:val="center"/>
          </w:tcPr>
          <w:p w14:paraId="55C2DD99" w14:textId="6E1435CC" w:rsidR="00255899" w:rsidRPr="00255899" w:rsidRDefault="00255899" w:rsidP="00255899">
            <w:pPr>
              <w:jc w:val="center"/>
              <w:rPr>
                <w:rFonts w:ascii="Times New Roman" w:eastAsia="Times New Roman" w:hAnsi="Times New Roman" w:cs="Times New Roman"/>
                <w:color w:val="000000"/>
                <w:sz w:val="20"/>
                <w:szCs w:val="20"/>
                <w:lang w:eastAsia="es-GT"/>
              </w:rPr>
            </w:pPr>
            <w:r w:rsidRPr="00255899">
              <w:rPr>
                <w:rFonts w:ascii="Times New Roman" w:hAnsi="Times New Roman" w:cs="Times New Roman"/>
                <w:color w:val="000000"/>
                <w:sz w:val="20"/>
                <w:szCs w:val="20"/>
              </w:rPr>
              <w:t>3,278.7</w:t>
            </w:r>
          </w:p>
        </w:tc>
        <w:tc>
          <w:tcPr>
            <w:tcW w:w="1214" w:type="dxa"/>
            <w:tcBorders>
              <w:top w:val="nil"/>
              <w:left w:val="nil"/>
              <w:bottom w:val="nil"/>
              <w:right w:val="nil"/>
            </w:tcBorders>
            <w:shd w:val="clear" w:color="auto" w:fill="auto"/>
            <w:noWrap/>
            <w:vAlign w:val="center"/>
          </w:tcPr>
          <w:p w14:paraId="2FBC27F3" w14:textId="55D992E9" w:rsidR="00255899" w:rsidRPr="00255899" w:rsidRDefault="00255899" w:rsidP="00255899">
            <w:pPr>
              <w:jc w:val="center"/>
              <w:rPr>
                <w:rFonts w:ascii="Times New Roman" w:eastAsia="Times New Roman" w:hAnsi="Times New Roman" w:cs="Times New Roman"/>
                <w:color w:val="000000"/>
                <w:sz w:val="20"/>
                <w:szCs w:val="20"/>
                <w:lang w:eastAsia="es-GT"/>
              </w:rPr>
            </w:pPr>
            <w:r w:rsidRPr="00255899">
              <w:rPr>
                <w:rFonts w:ascii="Times New Roman" w:hAnsi="Times New Roman" w:cs="Times New Roman"/>
                <w:color w:val="000000"/>
                <w:sz w:val="20"/>
                <w:szCs w:val="20"/>
              </w:rPr>
              <w:t>6,042.9</w:t>
            </w:r>
          </w:p>
        </w:tc>
        <w:tc>
          <w:tcPr>
            <w:tcW w:w="1095" w:type="dxa"/>
            <w:tcBorders>
              <w:top w:val="nil"/>
              <w:left w:val="dotDash" w:sz="4" w:space="0" w:color="auto"/>
              <w:bottom w:val="nil"/>
              <w:right w:val="nil"/>
            </w:tcBorders>
            <w:shd w:val="clear" w:color="auto" w:fill="auto"/>
            <w:noWrap/>
            <w:vAlign w:val="center"/>
          </w:tcPr>
          <w:p w14:paraId="6055684C" w14:textId="087FE49C" w:rsidR="00255899" w:rsidRPr="00255899" w:rsidRDefault="00255899" w:rsidP="00255899">
            <w:pPr>
              <w:jc w:val="center"/>
              <w:rPr>
                <w:rFonts w:ascii="Times New Roman" w:eastAsia="Times New Roman" w:hAnsi="Times New Roman" w:cs="Times New Roman"/>
                <w:color w:val="000000"/>
                <w:sz w:val="20"/>
                <w:szCs w:val="20"/>
                <w:lang w:eastAsia="es-GT"/>
              </w:rPr>
            </w:pPr>
            <w:r w:rsidRPr="00255899">
              <w:rPr>
                <w:rFonts w:ascii="Times New Roman" w:hAnsi="Times New Roman" w:cs="Times New Roman"/>
                <w:color w:val="000000"/>
                <w:sz w:val="20"/>
                <w:szCs w:val="20"/>
              </w:rPr>
              <w:t>0.4</w:t>
            </w:r>
          </w:p>
        </w:tc>
        <w:tc>
          <w:tcPr>
            <w:tcW w:w="1098" w:type="dxa"/>
            <w:tcBorders>
              <w:top w:val="nil"/>
              <w:left w:val="nil"/>
              <w:bottom w:val="nil"/>
              <w:right w:val="nil"/>
            </w:tcBorders>
            <w:shd w:val="clear" w:color="auto" w:fill="auto"/>
            <w:noWrap/>
            <w:vAlign w:val="center"/>
          </w:tcPr>
          <w:p w14:paraId="478F0F57" w14:textId="090007A8" w:rsidR="00255899" w:rsidRPr="00255899" w:rsidRDefault="00255899" w:rsidP="00255899">
            <w:pPr>
              <w:jc w:val="center"/>
              <w:rPr>
                <w:rFonts w:ascii="Times New Roman" w:eastAsia="Times New Roman" w:hAnsi="Times New Roman" w:cs="Times New Roman"/>
                <w:color w:val="000000"/>
                <w:sz w:val="20"/>
                <w:szCs w:val="20"/>
                <w:lang w:eastAsia="es-GT"/>
              </w:rPr>
            </w:pPr>
            <w:r w:rsidRPr="00255899">
              <w:rPr>
                <w:rFonts w:ascii="Times New Roman" w:hAnsi="Times New Roman" w:cs="Times New Roman"/>
                <w:color w:val="000000"/>
                <w:sz w:val="20"/>
                <w:szCs w:val="20"/>
              </w:rPr>
              <w:t>0.8</w:t>
            </w:r>
          </w:p>
        </w:tc>
      </w:tr>
      <w:tr w:rsidR="00255899" w:rsidRPr="00D96ECA" w14:paraId="33EF46B1" w14:textId="77777777" w:rsidTr="00B341EB">
        <w:trPr>
          <w:trHeight w:val="238"/>
          <w:jc w:val="center"/>
        </w:trPr>
        <w:tc>
          <w:tcPr>
            <w:tcW w:w="3905" w:type="dxa"/>
            <w:tcBorders>
              <w:top w:val="nil"/>
              <w:left w:val="nil"/>
              <w:bottom w:val="nil"/>
              <w:right w:val="nil"/>
            </w:tcBorders>
            <w:shd w:val="clear" w:color="auto" w:fill="auto"/>
            <w:noWrap/>
            <w:vAlign w:val="center"/>
            <w:hideMark/>
          </w:tcPr>
          <w:p w14:paraId="484154BC" w14:textId="77777777" w:rsidR="00255899" w:rsidRPr="00D96ECA" w:rsidRDefault="00255899" w:rsidP="00255899">
            <w:pPr>
              <w:jc w:val="both"/>
              <w:rPr>
                <w:rFonts w:ascii="Times New Roman" w:eastAsia="Times New Roman" w:hAnsi="Times New Roman" w:cs="Times New Roman"/>
                <w:b/>
                <w:bCs/>
                <w:color w:val="000000"/>
                <w:sz w:val="20"/>
                <w:szCs w:val="20"/>
                <w:lang w:eastAsia="es-GT"/>
              </w:rPr>
            </w:pPr>
            <w:r w:rsidRPr="00D96ECA">
              <w:rPr>
                <w:rFonts w:ascii="Times New Roman" w:eastAsia="Times New Roman" w:hAnsi="Times New Roman" w:cs="Times New Roman"/>
                <w:b/>
                <w:bCs/>
                <w:color w:val="000000"/>
                <w:sz w:val="20"/>
                <w:szCs w:val="20"/>
                <w:lang w:eastAsia="es-GT"/>
              </w:rPr>
              <w:t>Incurrimiento neto de pasivos</w:t>
            </w:r>
          </w:p>
        </w:tc>
        <w:tc>
          <w:tcPr>
            <w:tcW w:w="1213" w:type="dxa"/>
            <w:tcBorders>
              <w:top w:val="nil"/>
              <w:left w:val="nil"/>
              <w:bottom w:val="nil"/>
              <w:right w:val="nil"/>
            </w:tcBorders>
            <w:shd w:val="clear" w:color="auto" w:fill="auto"/>
            <w:noWrap/>
            <w:vAlign w:val="center"/>
          </w:tcPr>
          <w:p w14:paraId="0D5C899D" w14:textId="67A93C82" w:rsidR="00255899" w:rsidRPr="00255899" w:rsidRDefault="00255899" w:rsidP="00255899">
            <w:pPr>
              <w:jc w:val="center"/>
              <w:rPr>
                <w:rFonts w:ascii="Times New Roman" w:eastAsia="Times New Roman" w:hAnsi="Times New Roman" w:cs="Times New Roman"/>
                <w:b/>
                <w:bCs/>
                <w:color w:val="000000"/>
                <w:sz w:val="20"/>
                <w:szCs w:val="20"/>
                <w:lang w:eastAsia="es-GT"/>
              </w:rPr>
            </w:pPr>
            <w:r w:rsidRPr="00255899">
              <w:rPr>
                <w:rFonts w:ascii="Times New Roman" w:hAnsi="Times New Roman" w:cs="Times New Roman"/>
                <w:b/>
                <w:bCs/>
                <w:color w:val="000000"/>
                <w:sz w:val="20"/>
                <w:szCs w:val="20"/>
              </w:rPr>
              <w:t>7,455.1</w:t>
            </w:r>
          </w:p>
        </w:tc>
        <w:tc>
          <w:tcPr>
            <w:tcW w:w="1214" w:type="dxa"/>
            <w:tcBorders>
              <w:top w:val="nil"/>
              <w:left w:val="nil"/>
              <w:bottom w:val="nil"/>
              <w:right w:val="nil"/>
            </w:tcBorders>
            <w:shd w:val="clear" w:color="auto" w:fill="auto"/>
            <w:noWrap/>
            <w:vAlign w:val="center"/>
          </w:tcPr>
          <w:p w14:paraId="3218134B" w14:textId="5CC62D44" w:rsidR="00255899" w:rsidRPr="00255899" w:rsidRDefault="00255899" w:rsidP="00255899">
            <w:pPr>
              <w:jc w:val="center"/>
              <w:rPr>
                <w:rFonts w:ascii="Times New Roman" w:eastAsia="Times New Roman" w:hAnsi="Times New Roman" w:cs="Times New Roman"/>
                <w:b/>
                <w:bCs/>
                <w:color w:val="000000"/>
                <w:sz w:val="20"/>
                <w:szCs w:val="20"/>
                <w:lang w:eastAsia="es-GT"/>
              </w:rPr>
            </w:pPr>
            <w:r w:rsidRPr="00255899">
              <w:rPr>
                <w:rFonts w:ascii="Times New Roman" w:hAnsi="Times New Roman" w:cs="Times New Roman"/>
                <w:b/>
                <w:bCs/>
                <w:color w:val="000000"/>
                <w:sz w:val="20"/>
                <w:szCs w:val="20"/>
              </w:rPr>
              <w:t>7,865.3</w:t>
            </w:r>
          </w:p>
        </w:tc>
        <w:tc>
          <w:tcPr>
            <w:tcW w:w="1095" w:type="dxa"/>
            <w:tcBorders>
              <w:top w:val="nil"/>
              <w:left w:val="dotDash" w:sz="4" w:space="0" w:color="auto"/>
              <w:bottom w:val="nil"/>
              <w:right w:val="nil"/>
            </w:tcBorders>
            <w:shd w:val="clear" w:color="auto" w:fill="auto"/>
            <w:noWrap/>
            <w:vAlign w:val="center"/>
          </w:tcPr>
          <w:p w14:paraId="60A8F41E" w14:textId="1BE20E3A" w:rsidR="00255899" w:rsidRPr="00255899" w:rsidRDefault="00255899" w:rsidP="00255899">
            <w:pPr>
              <w:jc w:val="center"/>
              <w:rPr>
                <w:rFonts w:ascii="Times New Roman" w:eastAsia="Times New Roman" w:hAnsi="Times New Roman" w:cs="Times New Roman"/>
                <w:b/>
                <w:bCs/>
                <w:color w:val="000000"/>
                <w:sz w:val="20"/>
                <w:szCs w:val="20"/>
                <w:lang w:eastAsia="es-GT"/>
              </w:rPr>
            </w:pPr>
            <w:r w:rsidRPr="00255899">
              <w:rPr>
                <w:rFonts w:ascii="Times New Roman" w:hAnsi="Times New Roman" w:cs="Times New Roman"/>
                <w:b/>
                <w:bCs/>
                <w:color w:val="000000"/>
                <w:sz w:val="20"/>
                <w:szCs w:val="20"/>
              </w:rPr>
              <w:t>1.0</w:t>
            </w:r>
          </w:p>
        </w:tc>
        <w:tc>
          <w:tcPr>
            <w:tcW w:w="1098" w:type="dxa"/>
            <w:tcBorders>
              <w:top w:val="nil"/>
              <w:left w:val="nil"/>
              <w:bottom w:val="nil"/>
              <w:right w:val="nil"/>
            </w:tcBorders>
            <w:shd w:val="clear" w:color="auto" w:fill="auto"/>
            <w:noWrap/>
            <w:vAlign w:val="center"/>
          </w:tcPr>
          <w:p w14:paraId="4CAA14DD" w14:textId="59897EEB" w:rsidR="00255899" w:rsidRPr="00255899" w:rsidRDefault="00255899" w:rsidP="00255899">
            <w:pPr>
              <w:jc w:val="center"/>
              <w:rPr>
                <w:rFonts w:ascii="Times New Roman" w:eastAsia="Times New Roman" w:hAnsi="Times New Roman" w:cs="Times New Roman"/>
                <w:b/>
                <w:bCs/>
                <w:color w:val="000000"/>
                <w:sz w:val="20"/>
                <w:szCs w:val="20"/>
                <w:lang w:eastAsia="es-GT"/>
              </w:rPr>
            </w:pPr>
            <w:r w:rsidRPr="00255899">
              <w:rPr>
                <w:rFonts w:ascii="Times New Roman" w:hAnsi="Times New Roman" w:cs="Times New Roman"/>
                <w:b/>
                <w:bCs/>
                <w:color w:val="000000"/>
                <w:sz w:val="20"/>
                <w:szCs w:val="20"/>
              </w:rPr>
              <w:t>1.0</w:t>
            </w:r>
          </w:p>
        </w:tc>
      </w:tr>
      <w:tr w:rsidR="00255899" w:rsidRPr="00D96ECA" w14:paraId="1AF6C773" w14:textId="77777777" w:rsidTr="00B341EB">
        <w:trPr>
          <w:trHeight w:val="238"/>
          <w:jc w:val="center"/>
        </w:trPr>
        <w:tc>
          <w:tcPr>
            <w:tcW w:w="3905" w:type="dxa"/>
            <w:tcBorders>
              <w:top w:val="nil"/>
              <w:left w:val="nil"/>
              <w:bottom w:val="nil"/>
              <w:right w:val="nil"/>
            </w:tcBorders>
            <w:shd w:val="clear" w:color="auto" w:fill="auto"/>
            <w:noWrap/>
            <w:vAlign w:val="center"/>
            <w:hideMark/>
          </w:tcPr>
          <w:p w14:paraId="7D77B70F" w14:textId="77777777" w:rsidR="00255899" w:rsidRPr="00D96ECA" w:rsidRDefault="00255899" w:rsidP="00255899">
            <w:pPr>
              <w:ind w:firstLineChars="100" w:firstLine="200"/>
              <w:rPr>
                <w:rFonts w:ascii="Times New Roman" w:eastAsia="Times New Roman" w:hAnsi="Times New Roman" w:cs="Times New Roman"/>
                <w:color w:val="000000"/>
                <w:sz w:val="20"/>
                <w:szCs w:val="20"/>
                <w:lang w:eastAsia="es-GT"/>
              </w:rPr>
            </w:pPr>
            <w:r w:rsidRPr="00D96ECA">
              <w:rPr>
                <w:rFonts w:ascii="Times New Roman" w:eastAsia="Times New Roman" w:hAnsi="Times New Roman" w:cs="Times New Roman"/>
                <w:color w:val="000000"/>
                <w:sz w:val="20"/>
                <w:szCs w:val="20"/>
                <w:lang w:eastAsia="es-GT"/>
              </w:rPr>
              <w:t>Títulos de deuda</w:t>
            </w:r>
          </w:p>
        </w:tc>
        <w:tc>
          <w:tcPr>
            <w:tcW w:w="1213" w:type="dxa"/>
            <w:tcBorders>
              <w:top w:val="nil"/>
              <w:left w:val="nil"/>
              <w:bottom w:val="nil"/>
              <w:right w:val="nil"/>
            </w:tcBorders>
            <w:shd w:val="clear" w:color="auto" w:fill="auto"/>
            <w:noWrap/>
            <w:vAlign w:val="center"/>
          </w:tcPr>
          <w:p w14:paraId="74B6B494" w14:textId="70D40FB9" w:rsidR="00255899" w:rsidRPr="00255899" w:rsidRDefault="00255899" w:rsidP="00255899">
            <w:pPr>
              <w:jc w:val="center"/>
              <w:rPr>
                <w:rFonts w:ascii="Times New Roman" w:eastAsia="Times New Roman" w:hAnsi="Times New Roman" w:cs="Times New Roman"/>
                <w:color w:val="000000"/>
                <w:sz w:val="20"/>
                <w:szCs w:val="20"/>
                <w:lang w:eastAsia="es-GT"/>
              </w:rPr>
            </w:pPr>
            <w:r w:rsidRPr="00255899">
              <w:rPr>
                <w:rFonts w:ascii="Times New Roman" w:hAnsi="Times New Roman" w:cs="Times New Roman"/>
                <w:color w:val="000000"/>
                <w:sz w:val="20"/>
                <w:szCs w:val="20"/>
              </w:rPr>
              <w:t>5,520.0</w:t>
            </w:r>
          </w:p>
        </w:tc>
        <w:tc>
          <w:tcPr>
            <w:tcW w:w="1214" w:type="dxa"/>
            <w:tcBorders>
              <w:top w:val="nil"/>
              <w:left w:val="nil"/>
              <w:bottom w:val="nil"/>
              <w:right w:val="nil"/>
            </w:tcBorders>
            <w:shd w:val="clear" w:color="auto" w:fill="auto"/>
            <w:noWrap/>
            <w:vAlign w:val="center"/>
          </w:tcPr>
          <w:p w14:paraId="203A94F8" w14:textId="5A696FE5" w:rsidR="00255899" w:rsidRPr="00255899" w:rsidRDefault="00255899" w:rsidP="00255899">
            <w:pPr>
              <w:jc w:val="center"/>
              <w:rPr>
                <w:rFonts w:ascii="Times New Roman" w:eastAsia="Times New Roman" w:hAnsi="Times New Roman" w:cs="Times New Roman"/>
                <w:color w:val="000000"/>
                <w:sz w:val="20"/>
                <w:szCs w:val="20"/>
                <w:lang w:eastAsia="es-GT"/>
              </w:rPr>
            </w:pPr>
            <w:r w:rsidRPr="00255899">
              <w:rPr>
                <w:rFonts w:ascii="Times New Roman" w:hAnsi="Times New Roman" w:cs="Times New Roman"/>
                <w:color w:val="000000"/>
                <w:sz w:val="20"/>
                <w:szCs w:val="20"/>
              </w:rPr>
              <w:t>10,300.2</w:t>
            </w:r>
          </w:p>
        </w:tc>
        <w:tc>
          <w:tcPr>
            <w:tcW w:w="1095" w:type="dxa"/>
            <w:tcBorders>
              <w:top w:val="nil"/>
              <w:left w:val="dotDash" w:sz="4" w:space="0" w:color="auto"/>
              <w:bottom w:val="nil"/>
              <w:right w:val="nil"/>
            </w:tcBorders>
            <w:shd w:val="clear" w:color="auto" w:fill="auto"/>
            <w:noWrap/>
            <w:vAlign w:val="center"/>
          </w:tcPr>
          <w:p w14:paraId="0271A3AC" w14:textId="20846820" w:rsidR="00255899" w:rsidRPr="00255899" w:rsidRDefault="00255899" w:rsidP="00255899">
            <w:pPr>
              <w:jc w:val="center"/>
              <w:rPr>
                <w:rFonts w:ascii="Times New Roman" w:eastAsia="Times New Roman" w:hAnsi="Times New Roman" w:cs="Times New Roman"/>
                <w:color w:val="000000"/>
                <w:sz w:val="20"/>
                <w:szCs w:val="20"/>
                <w:lang w:eastAsia="es-GT"/>
              </w:rPr>
            </w:pPr>
            <w:r w:rsidRPr="00255899">
              <w:rPr>
                <w:rFonts w:ascii="Times New Roman" w:hAnsi="Times New Roman" w:cs="Times New Roman"/>
                <w:color w:val="000000"/>
                <w:sz w:val="20"/>
                <w:szCs w:val="20"/>
              </w:rPr>
              <w:t>0.7</w:t>
            </w:r>
          </w:p>
        </w:tc>
        <w:tc>
          <w:tcPr>
            <w:tcW w:w="1098" w:type="dxa"/>
            <w:tcBorders>
              <w:top w:val="nil"/>
              <w:left w:val="nil"/>
              <w:bottom w:val="nil"/>
              <w:right w:val="nil"/>
            </w:tcBorders>
            <w:shd w:val="clear" w:color="auto" w:fill="auto"/>
            <w:noWrap/>
            <w:vAlign w:val="center"/>
          </w:tcPr>
          <w:p w14:paraId="5CA0AC17" w14:textId="69B5E59B" w:rsidR="00255899" w:rsidRPr="00255899" w:rsidRDefault="00255899" w:rsidP="00255899">
            <w:pPr>
              <w:jc w:val="center"/>
              <w:rPr>
                <w:rFonts w:ascii="Times New Roman" w:eastAsia="Times New Roman" w:hAnsi="Times New Roman" w:cs="Times New Roman"/>
                <w:color w:val="000000"/>
                <w:sz w:val="20"/>
                <w:szCs w:val="20"/>
                <w:lang w:eastAsia="es-GT"/>
              </w:rPr>
            </w:pPr>
            <w:r w:rsidRPr="00255899">
              <w:rPr>
                <w:rFonts w:ascii="Times New Roman" w:hAnsi="Times New Roman" w:cs="Times New Roman"/>
                <w:color w:val="000000"/>
                <w:sz w:val="20"/>
                <w:szCs w:val="20"/>
              </w:rPr>
              <w:t>1.3</w:t>
            </w:r>
          </w:p>
        </w:tc>
      </w:tr>
      <w:tr w:rsidR="00255899" w:rsidRPr="00D96ECA" w14:paraId="2E61EFF0" w14:textId="77777777" w:rsidTr="00B341EB">
        <w:trPr>
          <w:trHeight w:val="238"/>
          <w:jc w:val="center"/>
        </w:trPr>
        <w:tc>
          <w:tcPr>
            <w:tcW w:w="3905" w:type="dxa"/>
            <w:tcBorders>
              <w:top w:val="nil"/>
              <w:left w:val="nil"/>
              <w:bottom w:val="nil"/>
              <w:right w:val="nil"/>
            </w:tcBorders>
            <w:shd w:val="clear" w:color="auto" w:fill="auto"/>
            <w:noWrap/>
            <w:vAlign w:val="center"/>
            <w:hideMark/>
          </w:tcPr>
          <w:p w14:paraId="084E5023" w14:textId="77777777" w:rsidR="00255899" w:rsidRPr="00D96ECA" w:rsidRDefault="00255899" w:rsidP="00255899">
            <w:pPr>
              <w:ind w:firstLineChars="100" w:firstLine="200"/>
              <w:rPr>
                <w:rFonts w:ascii="Times New Roman" w:eastAsia="Times New Roman" w:hAnsi="Times New Roman" w:cs="Times New Roman"/>
                <w:color w:val="000000"/>
                <w:sz w:val="20"/>
                <w:szCs w:val="20"/>
                <w:lang w:eastAsia="es-GT"/>
              </w:rPr>
            </w:pPr>
            <w:r w:rsidRPr="00D96ECA">
              <w:rPr>
                <w:rFonts w:ascii="Times New Roman" w:eastAsia="Times New Roman" w:hAnsi="Times New Roman" w:cs="Times New Roman"/>
                <w:color w:val="000000"/>
                <w:sz w:val="20"/>
                <w:szCs w:val="20"/>
                <w:lang w:eastAsia="es-GT"/>
              </w:rPr>
              <w:t>Préstamos</w:t>
            </w:r>
          </w:p>
        </w:tc>
        <w:tc>
          <w:tcPr>
            <w:tcW w:w="1213" w:type="dxa"/>
            <w:tcBorders>
              <w:top w:val="nil"/>
              <w:left w:val="nil"/>
              <w:bottom w:val="nil"/>
              <w:right w:val="nil"/>
            </w:tcBorders>
            <w:shd w:val="clear" w:color="auto" w:fill="auto"/>
            <w:noWrap/>
            <w:vAlign w:val="center"/>
          </w:tcPr>
          <w:p w14:paraId="3F64FB86" w14:textId="7C2379A1" w:rsidR="00255899" w:rsidRPr="00255899" w:rsidRDefault="00255899" w:rsidP="00255899">
            <w:pPr>
              <w:jc w:val="center"/>
              <w:rPr>
                <w:rFonts w:ascii="Times New Roman" w:eastAsia="Times New Roman" w:hAnsi="Times New Roman" w:cs="Times New Roman"/>
                <w:color w:val="000000"/>
                <w:sz w:val="20"/>
                <w:szCs w:val="20"/>
                <w:lang w:eastAsia="es-GT"/>
              </w:rPr>
            </w:pPr>
            <w:r w:rsidRPr="00255899">
              <w:rPr>
                <w:rFonts w:ascii="Times New Roman" w:hAnsi="Times New Roman" w:cs="Times New Roman"/>
                <w:color w:val="000000"/>
                <w:sz w:val="20"/>
                <w:szCs w:val="20"/>
              </w:rPr>
              <w:t>1,464.8</w:t>
            </w:r>
          </w:p>
        </w:tc>
        <w:tc>
          <w:tcPr>
            <w:tcW w:w="1214" w:type="dxa"/>
            <w:tcBorders>
              <w:top w:val="nil"/>
              <w:left w:val="nil"/>
              <w:bottom w:val="nil"/>
              <w:right w:val="nil"/>
            </w:tcBorders>
            <w:shd w:val="clear" w:color="auto" w:fill="auto"/>
            <w:noWrap/>
            <w:vAlign w:val="center"/>
          </w:tcPr>
          <w:p w14:paraId="20120EFC" w14:textId="6A36E8AD" w:rsidR="00255899" w:rsidRPr="00255899" w:rsidRDefault="00255899" w:rsidP="00255899">
            <w:pPr>
              <w:jc w:val="center"/>
              <w:rPr>
                <w:rFonts w:ascii="Times New Roman" w:eastAsia="Times New Roman" w:hAnsi="Times New Roman" w:cs="Times New Roman"/>
                <w:color w:val="000000"/>
                <w:sz w:val="20"/>
                <w:szCs w:val="20"/>
                <w:lang w:eastAsia="es-GT"/>
              </w:rPr>
            </w:pPr>
            <w:r w:rsidRPr="00255899">
              <w:rPr>
                <w:rFonts w:ascii="Times New Roman" w:hAnsi="Times New Roman" w:cs="Times New Roman"/>
                <w:color w:val="000000"/>
                <w:sz w:val="20"/>
                <w:szCs w:val="20"/>
              </w:rPr>
              <w:t>-2,146.0</w:t>
            </w:r>
          </w:p>
        </w:tc>
        <w:tc>
          <w:tcPr>
            <w:tcW w:w="1095" w:type="dxa"/>
            <w:tcBorders>
              <w:top w:val="nil"/>
              <w:left w:val="dotDash" w:sz="4" w:space="0" w:color="auto"/>
              <w:bottom w:val="nil"/>
              <w:right w:val="nil"/>
            </w:tcBorders>
            <w:shd w:val="clear" w:color="auto" w:fill="auto"/>
            <w:noWrap/>
            <w:vAlign w:val="center"/>
          </w:tcPr>
          <w:p w14:paraId="6FD5A213" w14:textId="44B111CF" w:rsidR="00255899" w:rsidRPr="00255899" w:rsidRDefault="00255899" w:rsidP="00255899">
            <w:pPr>
              <w:jc w:val="center"/>
              <w:rPr>
                <w:rFonts w:ascii="Times New Roman" w:eastAsia="Times New Roman" w:hAnsi="Times New Roman" w:cs="Times New Roman"/>
                <w:color w:val="000000"/>
                <w:sz w:val="20"/>
                <w:szCs w:val="20"/>
                <w:lang w:eastAsia="es-GT"/>
              </w:rPr>
            </w:pPr>
            <w:r w:rsidRPr="00255899">
              <w:rPr>
                <w:rFonts w:ascii="Times New Roman" w:hAnsi="Times New Roman" w:cs="Times New Roman"/>
                <w:color w:val="000000"/>
                <w:sz w:val="20"/>
                <w:szCs w:val="20"/>
              </w:rPr>
              <w:t>0.2</w:t>
            </w:r>
          </w:p>
        </w:tc>
        <w:tc>
          <w:tcPr>
            <w:tcW w:w="1098" w:type="dxa"/>
            <w:tcBorders>
              <w:top w:val="nil"/>
              <w:left w:val="nil"/>
              <w:bottom w:val="nil"/>
              <w:right w:val="nil"/>
            </w:tcBorders>
            <w:shd w:val="clear" w:color="auto" w:fill="auto"/>
            <w:noWrap/>
            <w:vAlign w:val="center"/>
          </w:tcPr>
          <w:p w14:paraId="71B7AC82" w14:textId="56665963" w:rsidR="00255899" w:rsidRPr="00255899" w:rsidRDefault="00255899" w:rsidP="00255899">
            <w:pPr>
              <w:jc w:val="center"/>
              <w:rPr>
                <w:rFonts w:ascii="Times New Roman" w:eastAsia="Times New Roman" w:hAnsi="Times New Roman" w:cs="Times New Roman"/>
                <w:color w:val="000000"/>
                <w:sz w:val="20"/>
                <w:szCs w:val="20"/>
                <w:lang w:eastAsia="es-GT"/>
              </w:rPr>
            </w:pPr>
            <w:r w:rsidRPr="00255899">
              <w:rPr>
                <w:rFonts w:ascii="Times New Roman" w:hAnsi="Times New Roman" w:cs="Times New Roman"/>
                <w:color w:val="000000"/>
                <w:sz w:val="20"/>
                <w:szCs w:val="20"/>
              </w:rPr>
              <w:t>-0.3</w:t>
            </w:r>
          </w:p>
        </w:tc>
      </w:tr>
      <w:tr w:rsidR="00255899" w:rsidRPr="00D96ECA" w14:paraId="3B7765DB" w14:textId="77777777" w:rsidTr="00B341EB">
        <w:trPr>
          <w:trHeight w:val="238"/>
          <w:jc w:val="center"/>
        </w:trPr>
        <w:tc>
          <w:tcPr>
            <w:tcW w:w="3905" w:type="dxa"/>
            <w:tcBorders>
              <w:top w:val="nil"/>
              <w:left w:val="nil"/>
              <w:bottom w:val="nil"/>
              <w:right w:val="nil"/>
            </w:tcBorders>
            <w:shd w:val="clear" w:color="auto" w:fill="auto"/>
            <w:noWrap/>
            <w:vAlign w:val="center"/>
            <w:hideMark/>
          </w:tcPr>
          <w:p w14:paraId="7E3E95A3" w14:textId="77777777" w:rsidR="00255899" w:rsidRPr="00D96ECA" w:rsidRDefault="00255899" w:rsidP="00255899">
            <w:pPr>
              <w:ind w:firstLineChars="100" w:firstLine="200"/>
              <w:rPr>
                <w:rFonts w:ascii="Times New Roman" w:eastAsia="Times New Roman" w:hAnsi="Times New Roman" w:cs="Times New Roman"/>
                <w:color w:val="000000"/>
                <w:sz w:val="20"/>
                <w:szCs w:val="20"/>
                <w:lang w:eastAsia="es-GT"/>
              </w:rPr>
            </w:pPr>
            <w:r w:rsidRPr="00D96ECA">
              <w:rPr>
                <w:rFonts w:ascii="Times New Roman" w:eastAsia="Times New Roman" w:hAnsi="Times New Roman" w:cs="Times New Roman"/>
                <w:color w:val="000000"/>
                <w:sz w:val="20"/>
                <w:szCs w:val="20"/>
                <w:lang w:eastAsia="es-GT"/>
              </w:rPr>
              <w:t>Otros</w:t>
            </w:r>
          </w:p>
        </w:tc>
        <w:tc>
          <w:tcPr>
            <w:tcW w:w="1213" w:type="dxa"/>
            <w:tcBorders>
              <w:top w:val="nil"/>
              <w:left w:val="nil"/>
              <w:bottom w:val="nil"/>
              <w:right w:val="nil"/>
            </w:tcBorders>
            <w:shd w:val="clear" w:color="auto" w:fill="auto"/>
            <w:noWrap/>
            <w:vAlign w:val="center"/>
          </w:tcPr>
          <w:p w14:paraId="41FF8B0C" w14:textId="5FD48705" w:rsidR="00255899" w:rsidRPr="00255899" w:rsidRDefault="00255899" w:rsidP="00255899">
            <w:pPr>
              <w:jc w:val="center"/>
              <w:rPr>
                <w:rFonts w:ascii="Times New Roman" w:eastAsia="Times New Roman" w:hAnsi="Times New Roman" w:cs="Times New Roman"/>
                <w:color w:val="000000"/>
                <w:sz w:val="20"/>
                <w:szCs w:val="20"/>
                <w:lang w:eastAsia="es-GT"/>
              </w:rPr>
            </w:pPr>
            <w:r w:rsidRPr="00255899">
              <w:rPr>
                <w:rFonts w:ascii="Times New Roman" w:hAnsi="Times New Roman" w:cs="Times New Roman"/>
                <w:color w:val="000000"/>
                <w:sz w:val="20"/>
                <w:szCs w:val="20"/>
              </w:rPr>
              <w:t>470.2</w:t>
            </w:r>
          </w:p>
        </w:tc>
        <w:tc>
          <w:tcPr>
            <w:tcW w:w="1214" w:type="dxa"/>
            <w:tcBorders>
              <w:top w:val="nil"/>
              <w:left w:val="nil"/>
              <w:bottom w:val="nil"/>
              <w:right w:val="nil"/>
            </w:tcBorders>
            <w:shd w:val="clear" w:color="auto" w:fill="auto"/>
            <w:noWrap/>
            <w:vAlign w:val="center"/>
          </w:tcPr>
          <w:p w14:paraId="03861684" w14:textId="552FB1DA" w:rsidR="00255899" w:rsidRPr="00255899" w:rsidRDefault="00255899" w:rsidP="00255899">
            <w:pPr>
              <w:jc w:val="center"/>
              <w:rPr>
                <w:rFonts w:ascii="Times New Roman" w:eastAsia="Times New Roman" w:hAnsi="Times New Roman" w:cs="Times New Roman"/>
                <w:color w:val="000000"/>
                <w:sz w:val="20"/>
                <w:szCs w:val="20"/>
                <w:lang w:eastAsia="es-GT"/>
              </w:rPr>
            </w:pPr>
            <w:r w:rsidRPr="00255899">
              <w:rPr>
                <w:rFonts w:ascii="Times New Roman" w:hAnsi="Times New Roman" w:cs="Times New Roman"/>
                <w:color w:val="000000"/>
                <w:sz w:val="20"/>
                <w:szCs w:val="20"/>
              </w:rPr>
              <w:t>-288.9</w:t>
            </w:r>
          </w:p>
        </w:tc>
        <w:tc>
          <w:tcPr>
            <w:tcW w:w="1095" w:type="dxa"/>
            <w:tcBorders>
              <w:top w:val="nil"/>
              <w:left w:val="dotDash" w:sz="4" w:space="0" w:color="auto"/>
              <w:bottom w:val="nil"/>
              <w:right w:val="nil"/>
            </w:tcBorders>
            <w:shd w:val="clear" w:color="auto" w:fill="auto"/>
            <w:noWrap/>
            <w:vAlign w:val="center"/>
          </w:tcPr>
          <w:p w14:paraId="4A1A808C" w14:textId="677F4662" w:rsidR="00255899" w:rsidRPr="00255899" w:rsidRDefault="00255899" w:rsidP="00255899">
            <w:pPr>
              <w:jc w:val="center"/>
              <w:rPr>
                <w:rFonts w:ascii="Times New Roman" w:eastAsia="Times New Roman" w:hAnsi="Times New Roman" w:cs="Times New Roman"/>
                <w:color w:val="000000"/>
                <w:sz w:val="20"/>
                <w:szCs w:val="20"/>
                <w:lang w:eastAsia="es-GT"/>
              </w:rPr>
            </w:pPr>
            <w:r w:rsidRPr="00255899">
              <w:rPr>
                <w:rFonts w:ascii="Times New Roman" w:hAnsi="Times New Roman" w:cs="Times New Roman"/>
                <w:color w:val="000000"/>
                <w:sz w:val="20"/>
                <w:szCs w:val="20"/>
              </w:rPr>
              <w:t>0.1</w:t>
            </w:r>
          </w:p>
        </w:tc>
        <w:tc>
          <w:tcPr>
            <w:tcW w:w="1098" w:type="dxa"/>
            <w:tcBorders>
              <w:top w:val="nil"/>
              <w:left w:val="nil"/>
              <w:bottom w:val="nil"/>
              <w:right w:val="nil"/>
            </w:tcBorders>
            <w:shd w:val="clear" w:color="auto" w:fill="auto"/>
            <w:noWrap/>
            <w:vAlign w:val="center"/>
          </w:tcPr>
          <w:p w14:paraId="75C25658" w14:textId="7FE226C5" w:rsidR="00255899" w:rsidRPr="00255899" w:rsidRDefault="00255899" w:rsidP="00255899">
            <w:pPr>
              <w:jc w:val="center"/>
              <w:rPr>
                <w:rFonts w:ascii="Times New Roman" w:eastAsia="Times New Roman" w:hAnsi="Times New Roman" w:cs="Times New Roman"/>
                <w:color w:val="000000"/>
                <w:sz w:val="20"/>
                <w:szCs w:val="20"/>
                <w:lang w:eastAsia="es-GT"/>
              </w:rPr>
            </w:pPr>
            <w:r w:rsidRPr="00255899">
              <w:rPr>
                <w:rFonts w:ascii="Times New Roman" w:hAnsi="Times New Roman" w:cs="Times New Roman"/>
                <w:color w:val="000000"/>
                <w:sz w:val="20"/>
                <w:szCs w:val="20"/>
              </w:rPr>
              <w:t>0.0</w:t>
            </w:r>
          </w:p>
        </w:tc>
      </w:tr>
      <w:tr w:rsidR="00255899" w:rsidRPr="00D96ECA" w14:paraId="67BC43B1" w14:textId="77777777" w:rsidTr="00B341EB">
        <w:trPr>
          <w:trHeight w:val="238"/>
          <w:jc w:val="center"/>
        </w:trPr>
        <w:tc>
          <w:tcPr>
            <w:tcW w:w="3905" w:type="dxa"/>
            <w:tcBorders>
              <w:top w:val="nil"/>
              <w:left w:val="nil"/>
              <w:bottom w:val="nil"/>
              <w:right w:val="nil"/>
            </w:tcBorders>
            <w:shd w:val="clear" w:color="auto" w:fill="auto"/>
            <w:noWrap/>
            <w:vAlign w:val="center"/>
            <w:hideMark/>
          </w:tcPr>
          <w:p w14:paraId="6E8B4E02" w14:textId="77777777" w:rsidR="00255899" w:rsidRPr="00D96ECA" w:rsidRDefault="00255899" w:rsidP="00255899">
            <w:pPr>
              <w:jc w:val="both"/>
              <w:rPr>
                <w:rFonts w:ascii="Times New Roman" w:eastAsia="Times New Roman" w:hAnsi="Times New Roman" w:cs="Times New Roman"/>
                <w:b/>
                <w:bCs/>
                <w:color w:val="000000"/>
                <w:sz w:val="20"/>
                <w:szCs w:val="20"/>
                <w:lang w:eastAsia="es-GT"/>
              </w:rPr>
            </w:pPr>
            <w:r w:rsidRPr="00D96ECA">
              <w:rPr>
                <w:rFonts w:ascii="Times New Roman" w:eastAsia="Times New Roman" w:hAnsi="Times New Roman" w:cs="Times New Roman"/>
                <w:b/>
                <w:bCs/>
                <w:color w:val="000000"/>
                <w:sz w:val="20"/>
                <w:szCs w:val="20"/>
                <w:lang w:eastAsia="es-GT"/>
              </w:rPr>
              <w:t>Discrepancia estadística global</w:t>
            </w:r>
          </w:p>
        </w:tc>
        <w:tc>
          <w:tcPr>
            <w:tcW w:w="1213" w:type="dxa"/>
            <w:tcBorders>
              <w:top w:val="nil"/>
              <w:left w:val="nil"/>
              <w:bottom w:val="nil"/>
              <w:right w:val="nil"/>
            </w:tcBorders>
            <w:shd w:val="clear" w:color="auto" w:fill="auto"/>
            <w:noWrap/>
            <w:vAlign w:val="center"/>
          </w:tcPr>
          <w:p w14:paraId="713C9F8E" w14:textId="7F9719BA" w:rsidR="00255899" w:rsidRPr="00255899" w:rsidRDefault="00255899" w:rsidP="00255899">
            <w:pPr>
              <w:jc w:val="center"/>
              <w:rPr>
                <w:rFonts w:ascii="Times New Roman" w:eastAsia="Times New Roman" w:hAnsi="Times New Roman" w:cs="Times New Roman"/>
                <w:b/>
                <w:bCs/>
                <w:color w:val="000000"/>
                <w:sz w:val="20"/>
                <w:szCs w:val="20"/>
                <w:lang w:eastAsia="es-GT"/>
              </w:rPr>
            </w:pPr>
            <w:r w:rsidRPr="00255899">
              <w:rPr>
                <w:rFonts w:ascii="Times New Roman" w:hAnsi="Times New Roman" w:cs="Times New Roman"/>
                <w:b/>
                <w:bCs/>
                <w:color w:val="000000"/>
                <w:sz w:val="20"/>
                <w:szCs w:val="20"/>
              </w:rPr>
              <w:t>-315.3</w:t>
            </w:r>
          </w:p>
        </w:tc>
        <w:tc>
          <w:tcPr>
            <w:tcW w:w="1214" w:type="dxa"/>
            <w:tcBorders>
              <w:top w:val="nil"/>
              <w:left w:val="nil"/>
              <w:bottom w:val="nil"/>
              <w:right w:val="nil"/>
            </w:tcBorders>
            <w:shd w:val="clear" w:color="auto" w:fill="auto"/>
            <w:noWrap/>
            <w:vAlign w:val="center"/>
          </w:tcPr>
          <w:p w14:paraId="3DC1FC1A" w14:textId="6BE1C580" w:rsidR="00255899" w:rsidRPr="00255899" w:rsidRDefault="00255899" w:rsidP="00255899">
            <w:pPr>
              <w:jc w:val="center"/>
              <w:rPr>
                <w:rFonts w:ascii="Times New Roman" w:eastAsia="Times New Roman" w:hAnsi="Times New Roman" w:cs="Times New Roman"/>
                <w:b/>
                <w:bCs/>
                <w:color w:val="000000"/>
                <w:sz w:val="20"/>
                <w:szCs w:val="20"/>
                <w:lang w:eastAsia="es-GT"/>
              </w:rPr>
            </w:pPr>
            <w:r w:rsidRPr="00255899">
              <w:rPr>
                <w:rFonts w:ascii="Times New Roman" w:hAnsi="Times New Roman" w:cs="Times New Roman"/>
                <w:b/>
                <w:bCs/>
                <w:color w:val="000000"/>
                <w:sz w:val="20"/>
                <w:szCs w:val="20"/>
              </w:rPr>
              <w:t>912.4</w:t>
            </w:r>
          </w:p>
        </w:tc>
        <w:tc>
          <w:tcPr>
            <w:tcW w:w="1095" w:type="dxa"/>
            <w:tcBorders>
              <w:top w:val="nil"/>
              <w:left w:val="dotDash" w:sz="4" w:space="0" w:color="auto"/>
              <w:bottom w:val="nil"/>
              <w:right w:val="nil"/>
            </w:tcBorders>
            <w:shd w:val="clear" w:color="auto" w:fill="auto"/>
            <w:noWrap/>
            <w:vAlign w:val="center"/>
          </w:tcPr>
          <w:p w14:paraId="55F1527A" w14:textId="17507185" w:rsidR="00255899" w:rsidRPr="00255899" w:rsidRDefault="00255899" w:rsidP="00255899">
            <w:pPr>
              <w:jc w:val="center"/>
              <w:rPr>
                <w:rFonts w:ascii="Times New Roman" w:eastAsia="Times New Roman" w:hAnsi="Times New Roman" w:cs="Times New Roman"/>
                <w:b/>
                <w:bCs/>
                <w:color w:val="000000"/>
                <w:sz w:val="20"/>
                <w:szCs w:val="20"/>
                <w:lang w:eastAsia="es-GT"/>
              </w:rPr>
            </w:pPr>
            <w:r w:rsidRPr="00255899">
              <w:rPr>
                <w:rFonts w:ascii="Times New Roman" w:hAnsi="Times New Roman" w:cs="Times New Roman"/>
                <w:b/>
                <w:bCs/>
                <w:color w:val="000000"/>
                <w:sz w:val="20"/>
                <w:szCs w:val="20"/>
              </w:rPr>
              <w:t>0.0</w:t>
            </w:r>
          </w:p>
        </w:tc>
        <w:tc>
          <w:tcPr>
            <w:tcW w:w="1098" w:type="dxa"/>
            <w:tcBorders>
              <w:top w:val="nil"/>
              <w:left w:val="nil"/>
              <w:bottom w:val="nil"/>
              <w:right w:val="nil"/>
            </w:tcBorders>
            <w:shd w:val="clear" w:color="auto" w:fill="auto"/>
            <w:noWrap/>
            <w:vAlign w:val="center"/>
          </w:tcPr>
          <w:p w14:paraId="25F5F4C7" w14:textId="5266E68B" w:rsidR="00255899" w:rsidRPr="00255899" w:rsidRDefault="00255899" w:rsidP="00255899">
            <w:pPr>
              <w:jc w:val="center"/>
              <w:rPr>
                <w:rFonts w:ascii="Times New Roman" w:eastAsia="Times New Roman" w:hAnsi="Times New Roman" w:cs="Times New Roman"/>
                <w:b/>
                <w:bCs/>
                <w:color w:val="000000"/>
                <w:sz w:val="20"/>
                <w:szCs w:val="20"/>
                <w:lang w:eastAsia="es-GT"/>
              </w:rPr>
            </w:pPr>
            <w:r w:rsidRPr="00255899">
              <w:rPr>
                <w:rFonts w:ascii="Times New Roman" w:hAnsi="Times New Roman" w:cs="Times New Roman"/>
                <w:b/>
                <w:bCs/>
                <w:color w:val="000000"/>
                <w:sz w:val="20"/>
                <w:szCs w:val="20"/>
              </w:rPr>
              <w:t>0.1</w:t>
            </w:r>
          </w:p>
        </w:tc>
      </w:tr>
    </w:tbl>
    <w:p w14:paraId="3C7DCF7E" w14:textId="77777777" w:rsidR="00975EDA" w:rsidRPr="00F22DD8" w:rsidRDefault="00975EDA" w:rsidP="00975EDA">
      <w:pPr>
        <w:rPr>
          <w:rFonts w:ascii="Times New Roman" w:hAnsi="Times New Roman" w:cs="Times New Roman"/>
          <w:sz w:val="18"/>
          <w:szCs w:val="18"/>
        </w:rPr>
      </w:pPr>
      <w:r w:rsidRPr="00F22DD8">
        <w:rPr>
          <w:rFonts w:ascii="Times New Roman" w:hAnsi="Times New Roman" w:cs="Times New Roman"/>
          <w:sz w:val="18"/>
          <w:szCs w:val="18"/>
        </w:rPr>
        <w:t>*Cifras preliminares</w:t>
      </w:r>
    </w:p>
    <w:p w14:paraId="418DE7B8" w14:textId="77777777" w:rsidR="00975EDA" w:rsidRDefault="00975EDA" w:rsidP="00975EDA">
      <w:pPr>
        <w:jc w:val="both"/>
        <w:rPr>
          <w:rFonts w:ascii="Times New Roman" w:hAnsi="Times New Roman" w:cs="Times New Roman"/>
        </w:rPr>
      </w:pPr>
    </w:p>
    <w:p w14:paraId="54A58F2E" w14:textId="77777777" w:rsidR="008D6E8B" w:rsidRPr="006A6ACD" w:rsidRDefault="008D6E8B" w:rsidP="00975EDA">
      <w:pPr>
        <w:jc w:val="both"/>
        <w:rPr>
          <w:rFonts w:ascii="Times New Roman" w:hAnsi="Times New Roman" w:cs="Times New Roman"/>
        </w:rPr>
      </w:pPr>
    </w:p>
    <w:p w14:paraId="6CB3C733" w14:textId="0454BB00" w:rsidR="0022699D" w:rsidRPr="002F5044" w:rsidRDefault="0022699D" w:rsidP="002F5044">
      <w:pPr>
        <w:pStyle w:val="Prrafodelista"/>
        <w:numPr>
          <w:ilvl w:val="0"/>
          <w:numId w:val="24"/>
        </w:numPr>
        <w:spacing w:line="276" w:lineRule="auto"/>
        <w:jc w:val="both"/>
        <w:outlineLvl w:val="0"/>
        <w:rPr>
          <w:rFonts w:ascii="Times New Roman" w:eastAsiaTheme="majorEastAsia" w:hAnsi="Times New Roman" w:cs="Times New Roman"/>
          <w:b/>
          <w:bCs/>
          <w:sz w:val="26"/>
          <w:szCs w:val="26"/>
          <w:lang w:val="es-ES_tradnl" w:eastAsia="es-ES"/>
        </w:rPr>
      </w:pPr>
      <w:bookmarkStart w:id="135" w:name="_Toc125723294"/>
      <w:bookmarkStart w:id="136" w:name="_Toc160196862"/>
      <w:r w:rsidRPr="002F5044">
        <w:rPr>
          <w:rFonts w:ascii="Times New Roman" w:eastAsiaTheme="majorEastAsia" w:hAnsi="Times New Roman" w:cs="Times New Roman"/>
          <w:b/>
          <w:bCs/>
          <w:sz w:val="26"/>
          <w:szCs w:val="26"/>
          <w:lang w:val="es-ES_tradnl" w:eastAsia="es-ES"/>
        </w:rPr>
        <w:lastRenderedPageBreak/>
        <w:t xml:space="preserve">Supuestos económicos y previsiones fiscales para </w:t>
      </w:r>
      <w:bookmarkStart w:id="137" w:name="_Toc94250364"/>
      <w:bookmarkStart w:id="138" w:name="_Toc94250432"/>
      <w:bookmarkStart w:id="139" w:name="_Toc94251072"/>
      <w:bookmarkStart w:id="140" w:name="_Toc94257734"/>
      <w:bookmarkStart w:id="141" w:name="_Toc94259650"/>
      <w:bookmarkStart w:id="142" w:name="_Toc125451212"/>
      <w:bookmarkStart w:id="143" w:name="_Toc125451325"/>
      <w:bookmarkStart w:id="144" w:name="_Toc125458274"/>
      <w:bookmarkStart w:id="145" w:name="_Toc125458362"/>
      <w:bookmarkStart w:id="146" w:name="_Toc93398027"/>
      <w:bookmarkStart w:id="147" w:name="_Toc94259651"/>
      <w:bookmarkEnd w:id="135"/>
      <w:bookmarkEnd w:id="137"/>
      <w:bookmarkEnd w:id="138"/>
      <w:bookmarkEnd w:id="139"/>
      <w:bookmarkEnd w:id="140"/>
      <w:bookmarkEnd w:id="141"/>
      <w:bookmarkEnd w:id="142"/>
      <w:bookmarkEnd w:id="143"/>
      <w:bookmarkEnd w:id="144"/>
      <w:bookmarkEnd w:id="145"/>
      <w:r w:rsidRPr="002F5044">
        <w:rPr>
          <w:rFonts w:ascii="Times New Roman" w:eastAsiaTheme="majorEastAsia" w:hAnsi="Times New Roman" w:cs="Times New Roman"/>
          <w:b/>
          <w:bCs/>
          <w:sz w:val="26"/>
          <w:szCs w:val="26"/>
          <w:lang w:val="es-ES_tradnl" w:eastAsia="es-ES"/>
        </w:rPr>
        <w:t>2024</w:t>
      </w:r>
      <w:bookmarkEnd w:id="136"/>
    </w:p>
    <w:p w14:paraId="47EDDA4D" w14:textId="77777777" w:rsidR="0022699D" w:rsidRPr="00F22DD8" w:rsidRDefault="0022699D" w:rsidP="004A4C21">
      <w:pPr>
        <w:rPr>
          <w:rFonts w:ascii="Times New Roman" w:eastAsiaTheme="majorEastAsia" w:hAnsi="Times New Roman" w:cs="Times New Roman"/>
          <w:b/>
          <w:bCs/>
          <w:sz w:val="22"/>
          <w:szCs w:val="22"/>
          <w:lang w:val="es-ES_tradnl" w:eastAsia="es-ES"/>
        </w:rPr>
      </w:pPr>
    </w:p>
    <w:p w14:paraId="0ADC8FAC" w14:textId="11101D34" w:rsidR="0022699D" w:rsidRPr="00F22DD8" w:rsidRDefault="002F5044" w:rsidP="004A4C21">
      <w:pPr>
        <w:keepNext/>
        <w:keepLines/>
        <w:tabs>
          <w:tab w:val="left" w:pos="1134"/>
        </w:tabs>
        <w:spacing w:line="276" w:lineRule="auto"/>
        <w:ind w:left="567" w:hanging="283"/>
        <w:contextualSpacing/>
        <w:jc w:val="both"/>
        <w:outlineLvl w:val="1"/>
        <w:rPr>
          <w:rFonts w:ascii="Times New Roman" w:eastAsiaTheme="majorEastAsia" w:hAnsi="Times New Roman" w:cs="Times New Roman"/>
          <w:b/>
          <w:bCs/>
        </w:rPr>
      </w:pPr>
      <w:bookmarkStart w:id="148" w:name="_Toc125723295"/>
      <w:bookmarkStart w:id="149" w:name="_Toc160196863"/>
      <w:r w:rsidRPr="00F22DD8">
        <w:rPr>
          <w:rFonts w:ascii="Times New Roman" w:eastAsiaTheme="majorEastAsia" w:hAnsi="Times New Roman" w:cs="Times New Roman"/>
          <w:b/>
          <w:bCs/>
        </w:rPr>
        <w:t xml:space="preserve">8.1 </w:t>
      </w:r>
      <w:r w:rsidR="0022699D" w:rsidRPr="00F22DD8">
        <w:rPr>
          <w:rFonts w:ascii="Times New Roman" w:eastAsiaTheme="majorEastAsia" w:hAnsi="Times New Roman" w:cs="Times New Roman"/>
          <w:b/>
          <w:bCs/>
        </w:rPr>
        <w:t>Supuestos de la economía mundial</w:t>
      </w:r>
      <w:bookmarkEnd w:id="146"/>
      <w:bookmarkEnd w:id="147"/>
      <w:bookmarkEnd w:id="148"/>
      <w:bookmarkEnd w:id="149"/>
    </w:p>
    <w:p w14:paraId="4A8068D7" w14:textId="77777777" w:rsidR="0022699D" w:rsidRPr="00F22DD8" w:rsidRDefault="0022699D" w:rsidP="004A4C21">
      <w:pPr>
        <w:rPr>
          <w:rFonts w:ascii="Times New Roman" w:eastAsiaTheme="majorEastAsia" w:hAnsi="Times New Roman" w:cs="Times New Roman"/>
          <w:b/>
          <w:bCs/>
          <w:sz w:val="22"/>
          <w:szCs w:val="22"/>
        </w:rPr>
      </w:pPr>
    </w:p>
    <w:p w14:paraId="3B42D227" w14:textId="25182833" w:rsidR="0022699D" w:rsidRPr="0022699D" w:rsidRDefault="0022699D" w:rsidP="004A4C21">
      <w:pPr>
        <w:contextualSpacing/>
        <w:jc w:val="both"/>
        <w:rPr>
          <w:rFonts w:ascii="Times New Roman" w:eastAsia="Times New Roman" w:hAnsi="Times New Roman" w:cs="Calibri"/>
          <w:sz w:val="22"/>
          <w:szCs w:val="22"/>
        </w:rPr>
      </w:pPr>
      <w:r w:rsidRPr="0022699D">
        <w:rPr>
          <w:rFonts w:ascii="Times New Roman" w:eastAsia="Times New Roman" w:hAnsi="Times New Roman" w:cs="Calibri"/>
          <w:sz w:val="22"/>
          <w:szCs w:val="22"/>
        </w:rPr>
        <w:t>Los Organismos internacionales prevén que el crecimiento de la economía mundial se desacelere en el año 2023, debido a que la economía ha estado en recuperación después de los efectos provocados por la pandemia del COVID-19,</w:t>
      </w:r>
      <w:r w:rsidR="00487C2D">
        <w:rPr>
          <w:rFonts w:ascii="Times New Roman" w:eastAsia="Times New Roman" w:hAnsi="Times New Roman" w:cs="Calibri"/>
          <w:sz w:val="22"/>
          <w:szCs w:val="22"/>
        </w:rPr>
        <w:t xml:space="preserve"> aunado</w:t>
      </w:r>
      <w:r w:rsidRPr="0022699D">
        <w:rPr>
          <w:rFonts w:ascii="Times New Roman" w:eastAsia="Times New Roman" w:hAnsi="Times New Roman" w:cs="Calibri"/>
          <w:sz w:val="22"/>
          <w:szCs w:val="22"/>
        </w:rPr>
        <w:t xml:space="preserve"> </w:t>
      </w:r>
      <w:r w:rsidR="00487C2D">
        <w:rPr>
          <w:rFonts w:ascii="Times New Roman" w:eastAsia="Times New Roman" w:hAnsi="Times New Roman" w:cs="Calibri"/>
          <w:sz w:val="22"/>
          <w:szCs w:val="22"/>
        </w:rPr>
        <w:t>a</w:t>
      </w:r>
      <w:r w:rsidRPr="0022699D">
        <w:rPr>
          <w:rFonts w:ascii="Times New Roman" w:eastAsia="Times New Roman" w:hAnsi="Times New Roman" w:cs="Calibri"/>
          <w:sz w:val="22"/>
          <w:szCs w:val="22"/>
        </w:rPr>
        <w:t>l conflicto entre Rusia y Ucrania que afectó considerablemente el costo de vida de los hogares por el incremento de los precios de las economías derivado del costo de las materias primas, y por la disminución de la demanda agregada en la mayoría de países del mundo derivado de las políticas monetarias restrictivas de los últimos años.</w:t>
      </w:r>
    </w:p>
    <w:p w14:paraId="0D84F80A" w14:textId="77777777" w:rsidR="0022699D" w:rsidRPr="0022699D" w:rsidRDefault="0022699D" w:rsidP="004A4C21">
      <w:pPr>
        <w:contextualSpacing/>
        <w:jc w:val="both"/>
        <w:rPr>
          <w:rFonts w:ascii="Times New Roman" w:eastAsia="Times New Roman" w:hAnsi="Times New Roman" w:cs="Calibri"/>
          <w:sz w:val="22"/>
          <w:szCs w:val="22"/>
        </w:rPr>
      </w:pPr>
    </w:p>
    <w:p w14:paraId="412C5141" w14:textId="48250850" w:rsidR="0022699D" w:rsidRPr="0022699D" w:rsidRDefault="0022699D" w:rsidP="004A4C21">
      <w:pPr>
        <w:contextualSpacing/>
        <w:jc w:val="both"/>
        <w:rPr>
          <w:rFonts w:ascii="Times New Roman" w:eastAsia="Times New Roman" w:hAnsi="Times New Roman" w:cs="Calibri"/>
          <w:sz w:val="22"/>
          <w:szCs w:val="22"/>
        </w:rPr>
      </w:pPr>
      <w:r w:rsidRPr="0022699D">
        <w:rPr>
          <w:rFonts w:ascii="Times New Roman" w:eastAsia="Times New Roman" w:hAnsi="Times New Roman" w:cs="Calibri"/>
          <w:sz w:val="22"/>
          <w:szCs w:val="22"/>
        </w:rPr>
        <w:t>El Fondo Monetario Internacional (FMI) indicó en sus perspectivas de octubre 2023 que espera que el crecimiento económico del 2024 se encuentre en 2.9%, presentando una disminución de 0.1 puntos porcentuales con respecto al crecimiento del año anterior, dado que la economía se recupera a un paso moderado y aún no se espera que se recuperen los niveles de crecimiento prepandemia en este año. La Organización para la Cooperación y el Desarrollo Económico (OCDE) en sus últimas previsiones de noviembre 2023 indica que el crecimiento de 2024 estará en 2.7%, teniendo crecimiento moderado en el primer semestre con modestas mejoras en el segundo semestre, debido a la visibilidad del incremento de las tasas de interés en el desempeño económico. Por su parte, el Banco Mundial (BM) en su informe de perspectivas globales de enero de 2024, espera también una ralentización del crecimiento</w:t>
      </w:r>
      <w:r w:rsidR="0007141F">
        <w:rPr>
          <w:rFonts w:ascii="Times New Roman" w:eastAsia="Times New Roman" w:hAnsi="Times New Roman" w:cs="Calibri"/>
          <w:sz w:val="22"/>
          <w:szCs w:val="22"/>
        </w:rPr>
        <w:t xml:space="preserve"> económico</w:t>
      </w:r>
      <w:r w:rsidRPr="0022699D">
        <w:rPr>
          <w:rFonts w:ascii="Times New Roman" w:eastAsia="Times New Roman" w:hAnsi="Times New Roman" w:cs="Calibri"/>
          <w:sz w:val="22"/>
          <w:szCs w:val="22"/>
        </w:rPr>
        <w:t>, ubicándose en 2.4% para dicho año. Presentando el tercer año consecutivo en desaceleración, argumentando también el efecto rezagado de la política monetaria</w:t>
      </w:r>
      <w:r w:rsidR="002E5F74">
        <w:rPr>
          <w:rFonts w:ascii="Times New Roman" w:eastAsia="Times New Roman" w:hAnsi="Times New Roman" w:cs="Calibri"/>
          <w:sz w:val="22"/>
          <w:szCs w:val="22"/>
        </w:rPr>
        <w:t>, cambiaria y crediticia</w:t>
      </w:r>
      <w:r w:rsidRPr="0022699D">
        <w:rPr>
          <w:rFonts w:ascii="Times New Roman" w:eastAsia="Times New Roman" w:hAnsi="Times New Roman" w:cs="Calibri"/>
          <w:sz w:val="22"/>
          <w:szCs w:val="22"/>
        </w:rPr>
        <w:t xml:space="preserve">, años de inflación alta, el endurecimiento de las condiciones crediticias y un comportamiento anémico en el comercio y la inversión.                          </w:t>
      </w:r>
    </w:p>
    <w:p w14:paraId="5D04AE6B" w14:textId="77777777" w:rsidR="00D74672" w:rsidRPr="0022699D" w:rsidRDefault="00D74672" w:rsidP="004A4C21">
      <w:pPr>
        <w:contextualSpacing/>
        <w:jc w:val="both"/>
        <w:rPr>
          <w:rFonts w:ascii="Times New Roman" w:eastAsia="Times New Roman" w:hAnsi="Times New Roman" w:cs="Calibri"/>
          <w:sz w:val="22"/>
          <w:szCs w:val="22"/>
        </w:rPr>
      </w:pPr>
    </w:p>
    <w:tbl>
      <w:tblPr>
        <w:tblStyle w:val="Tablaconcuadrcula3"/>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7"/>
        <w:gridCol w:w="4221"/>
      </w:tblGrid>
      <w:tr w:rsidR="0022699D" w:rsidRPr="0022699D" w14:paraId="58BAE0D0" w14:textId="77777777" w:rsidTr="00973C72">
        <w:trPr>
          <w:jc w:val="center"/>
        </w:trPr>
        <w:tc>
          <w:tcPr>
            <w:tcW w:w="4650" w:type="dxa"/>
          </w:tcPr>
          <w:p w14:paraId="1D811CE5" w14:textId="7C53F743" w:rsidR="0022699D" w:rsidRPr="004A4C21" w:rsidRDefault="004A4C21" w:rsidP="004A4C21">
            <w:pPr>
              <w:pStyle w:val="Descripcin"/>
              <w:keepNext/>
              <w:jc w:val="center"/>
            </w:pPr>
            <w:bookmarkStart w:id="150" w:name="_Toc125733217"/>
            <w:bookmarkStart w:id="151" w:name="_Toc158103867"/>
            <w:r w:rsidRPr="004A4C21">
              <w:rPr>
                <w:sz w:val="22"/>
                <w:szCs w:val="22"/>
              </w:rPr>
              <w:t xml:space="preserve">Gráfico </w:t>
            </w:r>
            <w:r w:rsidRPr="004A4C21">
              <w:rPr>
                <w:sz w:val="22"/>
                <w:szCs w:val="22"/>
              </w:rPr>
              <w:fldChar w:fldCharType="begin"/>
            </w:r>
            <w:r w:rsidRPr="004A4C21">
              <w:rPr>
                <w:sz w:val="22"/>
                <w:szCs w:val="22"/>
              </w:rPr>
              <w:instrText xml:space="preserve"> SEQ Gráfico \* ARABIC </w:instrText>
            </w:r>
            <w:r w:rsidRPr="004A4C21">
              <w:rPr>
                <w:sz w:val="22"/>
                <w:szCs w:val="22"/>
              </w:rPr>
              <w:fldChar w:fldCharType="separate"/>
            </w:r>
            <w:r w:rsidR="00C015DC">
              <w:rPr>
                <w:noProof/>
                <w:sz w:val="22"/>
                <w:szCs w:val="22"/>
              </w:rPr>
              <w:t>22</w:t>
            </w:r>
            <w:r w:rsidRPr="004A4C21">
              <w:rPr>
                <w:sz w:val="22"/>
                <w:szCs w:val="22"/>
              </w:rPr>
              <w:fldChar w:fldCharType="end"/>
            </w:r>
            <w:r w:rsidRPr="004A4C21">
              <w:rPr>
                <w:sz w:val="22"/>
                <w:szCs w:val="22"/>
              </w:rPr>
              <w:t xml:space="preserve">.  </w:t>
            </w:r>
            <w:r w:rsidR="0022699D" w:rsidRPr="004A4C21">
              <w:rPr>
                <w:rFonts w:eastAsia="Times New Roman" w:cs="Calibri"/>
                <w:bCs/>
                <w:sz w:val="22"/>
                <w:szCs w:val="22"/>
              </w:rPr>
              <w:t>Perspectivas de crecimiento de la</w:t>
            </w:r>
            <w:r w:rsidR="0022699D" w:rsidRPr="0022699D">
              <w:rPr>
                <w:rFonts w:eastAsia="Times New Roman" w:cs="Calibri"/>
                <w:bCs/>
                <w:sz w:val="22"/>
                <w:szCs w:val="22"/>
              </w:rPr>
              <w:t xml:space="preserve"> economía mundial (%)</w:t>
            </w:r>
            <w:bookmarkEnd w:id="150"/>
            <w:bookmarkEnd w:id="151"/>
          </w:p>
        </w:tc>
        <w:tc>
          <w:tcPr>
            <w:tcW w:w="4188" w:type="dxa"/>
          </w:tcPr>
          <w:p w14:paraId="7D3E43C5" w14:textId="4E657860" w:rsidR="0022699D" w:rsidRPr="004A4C21" w:rsidRDefault="004A4C21" w:rsidP="004A4C21">
            <w:pPr>
              <w:pStyle w:val="Descripcin"/>
              <w:keepNext/>
              <w:spacing w:after="0"/>
              <w:jc w:val="center"/>
              <w:rPr>
                <w:sz w:val="22"/>
                <w:szCs w:val="22"/>
              </w:rPr>
            </w:pPr>
            <w:bookmarkStart w:id="152" w:name="_Toc125733218"/>
            <w:bookmarkStart w:id="153" w:name="_Toc158103868"/>
            <w:r w:rsidRPr="004A4C21">
              <w:rPr>
                <w:sz w:val="22"/>
                <w:szCs w:val="22"/>
              </w:rPr>
              <w:t xml:space="preserve">Gráfico </w:t>
            </w:r>
            <w:r w:rsidRPr="004A4C21">
              <w:rPr>
                <w:sz w:val="22"/>
                <w:szCs w:val="22"/>
              </w:rPr>
              <w:fldChar w:fldCharType="begin"/>
            </w:r>
            <w:r w:rsidRPr="004A4C21">
              <w:rPr>
                <w:sz w:val="22"/>
                <w:szCs w:val="22"/>
              </w:rPr>
              <w:instrText xml:space="preserve"> SEQ Gráfico \* ARABIC </w:instrText>
            </w:r>
            <w:r w:rsidRPr="004A4C21">
              <w:rPr>
                <w:sz w:val="22"/>
                <w:szCs w:val="22"/>
              </w:rPr>
              <w:fldChar w:fldCharType="separate"/>
            </w:r>
            <w:r w:rsidR="00C015DC">
              <w:rPr>
                <w:noProof/>
                <w:sz w:val="22"/>
                <w:szCs w:val="22"/>
              </w:rPr>
              <w:t>23</w:t>
            </w:r>
            <w:r w:rsidRPr="004A4C21">
              <w:rPr>
                <w:sz w:val="22"/>
                <w:szCs w:val="22"/>
              </w:rPr>
              <w:fldChar w:fldCharType="end"/>
            </w:r>
            <w:r w:rsidRPr="004A4C21">
              <w:rPr>
                <w:sz w:val="22"/>
                <w:szCs w:val="22"/>
              </w:rPr>
              <w:t xml:space="preserve">.  </w:t>
            </w:r>
            <w:r w:rsidR="0022699D" w:rsidRPr="004A4C21">
              <w:rPr>
                <w:rFonts w:eastAsia="Times New Roman" w:cs="Calibri"/>
                <w:bCs/>
                <w:sz w:val="22"/>
                <w:szCs w:val="22"/>
              </w:rPr>
              <w:t>Perspectivas de crecimiento para las economías avanzadas y emergentes (%)</w:t>
            </w:r>
            <w:bookmarkEnd w:id="152"/>
            <w:bookmarkEnd w:id="153"/>
          </w:p>
        </w:tc>
      </w:tr>
      <w:tr w:rsidR="0022699D" w:rsidRPr="0022699D" w14:paraId="610BC849" w14:textId="77777777" w:rsidTr="00973C72">
        <w:trPr>
          <w:jc w:val="center"/>
        </w:trPr>
        <w:tc>
          <w:tcPr>
            <w:tcW w:w="4615" w:type="dxa"/>
          </w:tcPr>
          <w:p w14:paraId="144F7C55" w14:textId="77777777" w:rsidR="0022699D" w:rsidRPr="0022699D" w:rsidRDefault="0022699D" w:rsidP="0022699D">
            <w:pPr>
              <w:spacing w:line="276" w:lineRule="auto"/>
              <w:contextualSpacing/>
              <w:jc w:val="center"/>
              <w:rPr>
                <w:rFonts w:ascii="Times New Roman" w:eastAsia="Times New Roman" w:hAnsi="Times New Roman" w:cs="Calibri"/>
                <w:sz w:val="22"/>
                <w:szCs w:val="22"/>
              </w:rPr>
            </w:pPr>
            <w:r w:rsidRPr="0022699D">
              <w:rPr>
                <w:rFonts w:ascii="Times New Roman" w:eastAsia="Times New Roman" w:hAnsi="Times New Roman" w:cs="Calibri"/>
                <w:noProof/>
                <w:sz w:val="22"/>
                <w:szCs w:val="22"/>
              </w:rPr>
              <w:drawing>
                <wp:inline distT="0" distB="0" distL="0" distR="0" wp14:anchorId="54627810" wp14:editId="0A9B47E7">
                  <wp:extent cx="2524125" cy="1798320"/>
                  <wp:effectExtent l="0" t="0" r="0" b="0"/>
                  <wp:docPr id="18" name="Gráfico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4223" w:type="dxa"/>
          </w:tcPr>
          <w:p w14:paraId="48618A84" w14:textId="77777777" w:rsidR="0022699D" w:rsidRPr="0022699D" w:rsidRDefault="0022699D" w:rsidP="0022699D">
            <w:pPr>
              <w:spacing w:line="276" w:lineRule="auto"/>
              <w:contextualSpacing/>
              <w:jc w:val="both"/>
              <w:rPr>
                <w:rFonts w:ascii="Times New Roman" w:eastAsia="Times New Roman" w:hAnsi="Times New Roman" w:cs="Calibri"/>
                <w:sz w:val="22"/>
                <w:szCs w:val="22"/>
              </w:rPr>
            </w:pPr>
            <w:r w:rsidRPr="0022699D">
              <w:rPr>
                <w:rFonts w:ascii="Times New Roman" w:eastAsia="Times New Roman" w:hAnsi="Times New Roman" w:cs="Calibri"/>
                <w:noProof/>
                <w:sz w:val="22"/>
                <w:szCs w:val="22"/>
              </w:rPr>
              <w:drawing>
                <wp:inline distT="0" distB="0" distL="0" distR="0" wp14:anchorId="30F19C52" wp14:editId="150F109B">
                  <wp:extent cx="2524125" cy="1798320"/>
                  <wp:effectExtent l="0" t="0" r="0" b="0"/>
                  <wp:docPr id="17" name="Gráfico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rsidR="0022699D" w:rsidRPr="0022699D" w14:paraId="169272BC" w14:textId="77777777" w:rsidTr="00973C72">
        <w:trPr>
          <w:jc w:val="center"/>
        </w:trPr>
        <w:tc>
          <w:tcPr>
            <w:tcW w:w="4615" w:type="dxa"/>
          </w:tcPr>
          <w:p w14:paraId="1C0F8CA9" w14:textId="77777777" w:rsidR="0022699D" w:rsidRPr="0022699D" w:rsidRDefault="0022699D" w:rsidP="0022699D">
            <w:pPr>
              <w:spacing w:line="276" w:lineRule="auto"/>
              <w:contextualSpacing/>
              <w:jc w:val="both"/>
              <w:rPr>
                <w:rFonts w:ascii="Times New Roman" w:eastAsia="Times New Roman" w:hAnsi="Times New Roman" w:cs="Calibri"/>
                <w:sz w:val="18"/>
                <w:szCs w:val="18"/>
              </w:rPr>
            </w:pPr>
            <w:r w:rsidRPr="0022699D">
              <w:rPr>
                <w:rFonts w:ascii="Times New Roman" w:eastAsia="Times New Roman" w:hAnsi="Times New Roman" w:cs="Calibri"/>
                <w:sz w:val="18"/>
                <w:szCs w:val="18"/>
              </w:rPr>
              <w:t>Fuente: FMI, OCDE y Banco Mundial</w:t>
            </w:r>
          </w:p>
        </w:tc>
        <w:tc>
          <w:tcPr>
            <w:tcW w:w="4223" w:type="dxa"/>
          </w:tcPr>
          <w:p w14:paraId="1B93F7B4" w14:textId="77777777" w:rsidR="0022699D" w:rsidRPr="0022699D" w:rsidRDefault="0022699D" w:rsidP="0022699D">
            <w:pPr>
              <w:spacing w:line="276" w:lineRule="auto"/>
              <w:contextualSpacing/>
              <w:jc w:val="both"/>
              <w:rPr>
                <w:rFonts w:ascii="Times New Roman" w:eastAsia="Times New Roman" w:hAnsi="Times New Roman" w:cs="Calibri"/>
                <w:sz w:val="22"/>
                <w:szCs w:val="22"/>
              </w:rPr>
            </w:pPr>
            <w:r w:rsidRPr="0022699D">
              <w:rPr>
                <w:rFonts w:ascii="Times New Roman" w:eastAsia="Times New Roman" w:hAnsi="Times New Roman" w:cs="Calibri"/>
                <w:sz w:val="18"/>
                <w:szCs w:val="18"/>
              </w:rPr>
              <w:t>Fuente: FMI, WEO octubre 2023</w:t>
            </w:r>
          </w:p>
        </w:tc>
      </w:tr>
    </w:tbl>
    <w:p w14:paraId="0B484E92" w14:textId="77777777" w:rsidR="0022699D" w:rsidRPr="004A4C21" w:rsidRDefault="0022699D" w:rsidP="004A4C21">
      <w:pPr>
        <w:contextualSpacing/>
        <w:jc w:val="both"/>
        <w:rPr>
          <w:rFonts w:ascii="Times New Roman" w:eastAsia="Times New Roman" w:hAnsi="Times New Roman" w:cs="Calibri"/>
          <w:sz w:val="20"/>
          <w:szCs w:val="20"/>
        </w:rPr>
      </w:pPr>
    </w:p>
    <w:p w14:paraId="6FFAFA52" w14:textId="18F6FE71" w:rsidR="0022699D" w:rsidRPr="00F22DD8" w:rsidRDefault="0022699D" w:rsidP="004A4C21">
      <w:pPr>
        <w:contextualSpacing/>
        <w:jc w:val="both"/>
        <w:rPr>
          <w:rFonts w:ascii="Times New Roman" w:eastAsia="Times New Roman" w:hAnsi="Times New Roman" w:cs="Calibri"/>
          <w:sz w:val="22"/>
          <w:szCs w:val="22"/>
        </w:rPr>
      </w:pPr>
      <w:r w:rsidRPr="00F22DD8">
        <w:rPr>
          <w:rFonts w:ascii="Times New Roman" w:eastAsia="Times New Roman" w:hAnsi="Times New Roman" w:cs="Calibri"/>
          <w:sz w:val="22"/>
          <w:szCs w:val="22"/>
        </w:rPr>
        <w:t>Los riesgos del crecimiento global se encuentran más balanceados desde que en junio del 2023 los aumentos de las tasas de interés por parte de los bancos centrales empezaron a ceder y la inflación a disminuir. No obstante, los riesgos siguen inclinados a la baja, la posible intensificación del conflicto en el medio oriente representa el mayor riesgo a la baja o alguna otra tensión geopolítica que tenga efectos adversos en los mercados de materias prima</w:t>
      </w:r>
      <w:r w:rsidR="0007141F" w:rsidRPr="00F22DD8">
        <w:rPr>
          <w:rFonts w:ascii="Times New Roman" w:eastAsia="Times New Roman" w:hAnsi="Times New Roman" w:cs="Calibri"/>
          <w:sz w:val="22"/>
          <w:szCs w:val="22"/>
        </w:rPr>
        <w:t>s</w:t>
      </w:r>
      <w:r w:rsidRPr="00F22DD8">
        <w:rPr>
          <w:rFonts w:ascii="Times New Roman" w:eastAsia="Times New Roman" w:hAnsi="Times New Roman" w:cs="Calibri"/>
          <w:sz w:val="22"/>
          <w:szCs w:val="22"/>
        </w:rPr>
        <w:t xml:space="preserve">, comercio o de vínculos financieros. El crecimiento débil, la deuda elevada de los países y las altas tasas de interés incrementan el riesgo de estrés financiero, especialmente en los países de mercados emergentes y en desarrollo más vulnerables. </w:t>
      </w:r>
    </w:p>
    <w:p w14:paraId="0A622057" w14:textId="77777777" w:rsidR="0022699D" w:rsidRPr="00F22DD8" w:rsidRDefault="0022699D" w:rsidP="004A4C21">
      <w:pPr>
        <w:contextualSpacing/>
        <w:jc w:val="both"/>
        <w:rPr>
          <w:rFonts w:ascii="Times New Roman" w:eastAsia="Times New Roman" w:hAnsi="Times New Roman" w:cs="Calibri"/>
          <w:sz w:val="22"/>
          <w:szCs w:val="22"/>
        </w:rPr>
      </w:pPr>
    </w:p>
    <w:p w14:paraId="717F6984" w14:textId="21E2B874" w:rsidR="0022699D" w:rsidRPr="00F22DD8" w:rsidRDefault="0022699D" w:rsidP="004A4C21">
      <w:pPr>
        <w:contextualSpacing/>
        <w:jc w:val="both"/>
        <w:rPr>
          <w:rFonts w:ascii="Times New Roman" w:eastAsia="Times New Roman" w:hAnsi="Times New Roman" w:cs="Calibri"/>
          <w:sz w:val="22"/>
          <w:szCs w:val="22"/>
        </w:rPr>
      </w:pPr>
      <w:r w:rsidRPr="00F22DD8">
        <w:rPr>
          <w:rFonts w:ascii="Times New Roman" w:eastAsia="Times New Roman" w:hAnsi="Times New Roman" w:cs="Calibri"/>
          <w:sz w:val="22"/>
          <w:szCs w:val="22"/>
        </w:rPr>
        <w:lastRenderedPageBreak/>
        <w:t xml:space="preserve">La ralentización económica reciente de China también es otro riesgo a la baja del crecimiento mundial, dado que </w:t>
      </w:r>
      <w:r w:rsidR="0007141F" w:rsidRPr="00F22DD8">
        <w:rPr>
          <w:rFonts w:ascii="Times New Roman" w:eastAsia="Times New Roman" w:hAnsi="Times New Roman" w:cs="Calibri"/>
          <w:sz w:val="22"/>
          <w:szCs w:val="22"/>
        </w:rPr>
        <w:t>é</w:t>
      </w:r>
      <w:r w:rsidRPr="00F22DD8">
        <w:rPr>
          <w:rFonts w:ascii="Times New Roman" w:eastAsia="Times New Roman" w:hAnsi="Times New Roman" w:cs="Calibri"/>
          <w:sz w:val="22"/>
          <w:szCs w:val="22"/>
        </w:rPr>
        <w:t>ste tendría efectos indirectos adversos en el comercio mundial. Entre los riesgos al alza del crecimiento económico global destaca la sorprendente resiliencia de la actividad económica de Estados Unidos en el último año, reduciendo la inflación y con la posibilidad de tener</w:t>
      </w:r>
      <w:r w:rsidR="0007141F" w:rsidRPr="00F22DD8">
        <w:rPr>
          <w:rFonts w:ascii="Times New Roman" w:eastAsia="Times New Roman" w:hAnsi="Times New Roman" w:cs="Calibri"/>
          <w:sz w:val="22"/>
          <w:szCs w:val="22"/>
        </w:rPr>
        <w:t xml:space="preserve"> mayor </w:t>
      </w:r>
      <w:r w:rsidRPr="00F22DD8">
        <w:rPr>
          <w:rFonts w:ascii="Times New Roman" w:eastAsia="Times New Roman" w:hAnsi="Times New Roman" w:cs="Calibri"/>
          <w:sz w:val="22"/>
          <w:szCs w:val="22"/>
        </w:rPr>
        <w:t>crecimiento al esperado por el mejoramiento de la oferta.</w:t>
      </w:r>
    </w:p>
    <w:p w14:paraId="3FFFEAD5" w14:textId="77777777" w:rsidR="0022699D" w:rsidRPr="00F22DD8" w:rsidRDefault="0022699D" w:rsidP="004A4C21">
      <w:pPr>
        <w:contextualSpacing/>
        <w:jc w:val="both"/>
        <w:rPr>
          <w:rFonts w:ascii="Roboto" w:hAnsi="Roboto"/>
          <w:color w:val="333333"/>
          <w:shd w:val="clear" w:color="auto" w:fill="FFFFFF"/>
        </w:rPr>
      </w:pPr>
    </w:p>
    <w:p w14:paraId="57E0CD36" w14:textId="117DAC92" w:rsidR="0022699D" w:rsidRPr="00F22DD8" w:rsidRDefault="0022699D" w:rsidP="004A4C21">
      <w:pPr>
        <w:contextualSpacing/>
        <w:jc w:val="both"/>
        <w:rPr>
          <w:rFonts w:ascii="Times New Roman" w:eastAsia="Times New Roman" w:hAnsi="Times New Roman" w:cs="Calibri"/>
          <w:sz w:val="22"/>
          <w:szCs w:val="22"/>
        </w:rPr>
      </w:pPr>
      <w:r w:rsidRPr="00F22DD8">
        <w:rPr>
          <w:rFonts w:ascii="Times New Roman" w:eastAsia="Times New Roman" w:hAnsi="Times New Roman" w:cs="Calibri"/>
          <w:sz w:val="22"/>
          <w:szCs w:val="22"/>
        </w:rPr>
        <w:t>Se espera que la desaceleración de las economías contin</w:t>
      </w:r>
      <w:r w:rsidR="009519EC" w:rsidRPr="00F22DD8">
        <w:rPr>
          <w:rFonts w:ascii="Times New Roman" w:eastAsia="Times New Roman" w:hAnsi="Times New Roman" w:cs="Calibri"/>
          <w:sz w:val="22"/>
          <w:szCs w:val="22"/>
        </w:rPr>
        <w:t>ú</w:t>
      </w:r>
      <w:r w:rsidRPr="00F22DD8">
        <w:rPr>
          <w:rFonts w:ascii="Times New Roman" w:eastAsia="Times New Roman" w:hAnsi="Times New Roman" w:cs="Calibri"/>
          <w:sz w:val="22"/>
          <w:szCs w:val="22"/>
        </w:rPr>
        <w:t xml:space="preserve">e en el presente año, al pasar de 2.6% en 2022 a 1.5% en 2023 y 1.1% en 2024 debido al crecimiento lento de Estados Unidos (1.5%) y de la Zona del </w:t>
      </w:r>
      <w:proofErr w:type="gramStart"/>
      <w:r w:rsidRPr="00F22DD8">
        <w:rPr>
          <w:rFonts w:ascii="Times New Roman" w:eastAsia="Times New Roman" w:hAnsi="Times New Roman" w:cs="Calibri"/>
          <w:sz w:val="22"/>
          <w:szCs w:val="22"/>
        </w:rPr>
        <w:t>Euro</w:t>
      </w:r>
      <w:proofErr w:type="gramEnd"/>
      <w:r w:rsidRPr="00F22DD8">
        <w:rPr>
          <w:rFonts w:ascii="Times New Roman" w:eastAsia="Times New Roman" w:hAnsi="Times New Roman" w:cs="Calibri"/>
          <w:sz w:val="22"/>
          <w:szCs w:val="22"/>
        </w:rPr>
        <w:t xml:space="preserve"> (1.2%), además de una leve baja en el desempleo reflejando disminución en las rigideces en los mercados laborales. Para las economías de mercados emergentes y en desarrollo se espera en 2024 crecimiento de 4.0% igual al de 202</w:t>
      </w:r>
      <w:r w:rsidR="00A86425" w:rsidRPr="00F22DD8">
        <w:rPr>
          <w:rFonts w:ascii="Times New Roman" w:eastAsia="Times New Roman" w:hAnsi="Times New Roman" w:cs="Calibri"/>
          <w:sz w:val="22"/>
          <w:szCs w:val="22"/>
        </w:rPr>
        <w:t>3</w:t>
      </w:r>
      <w:r w:rsidRPr="00F22DD8">
        <w:rPr>
          <w:rFonts w:ascii="Times New Roman" w:eastAsia="Times New Roman" w:hAnsi="Times New Roman" w:cs="Calibri"/>
          <w:sz w:val="22"/>
          <w:szCs w:val="22"/>
        </w:rPr>
        <w:t xml:space="preserve">, esto debido a las perspectivas de un estable crecimiento para la mayoría de las economías de esta región, debido al repunte del comercio y la mejora de la demanda interna por la reducción en la inflación. No obstante, los elevados costos de endeudamiento reducirán el espacio fiscal para estas economías. Para China se espera desaceleración en su crecimiento </w:t>
      </w:r>
      <w:r w:rsidR="009519EC" w:rsidRPr="00F22DD8">
        <w:rPr>
          <w:rFonts w:ascii="Times New Roman" w:eastAsia="Times New Roman" w:hAnsi="Times New Roman" w:cs="Calibri"/>
          <w:sz w:val="22"/>
          <w:szCs w:val="22"/>
        </w:rPr>
        <w:t xml:space="preserve">económico </w:t>
      </w:r>
      <w:r w:rsidRPr="00F22DD8">
        <w:rPr>
          <w:rFonts w:ascii="Times New Roman" w:eastAsia="Times New Roman" w:hAnsi="Times New Roman" w:cs="Calibri"/>
          <w:sz w:val="22"/>
          <w:szCs w:val="22"/>
        </w:rPr>
        <w:t>por la disminución de la confianza de los consumidores por la baja en el crecimiento del sector inmobiliario.</w:t>
      </w:r>
    </w:p>
    <w:p w14:paraId="662D76AB" w14:textId="77777777" w:rsidR="0022699D" w:rsidRPr="00F22DD8" w:rsidRDefault="0022699D" w:rsidP="004A4C21">
      <w:pPr>
        <w:contextualSpacing/>
        <w:jc w:val="both"/>
        <w:rPr>
          <w:rFonts w:ascii="Times New Roman" w:eastAsia="Times New Roman" w:hAnsi="Times New Roman" w:cs="Calibri"/>
          <w:sz w:val="22"/>
          <w:szCs w:val="22"/>
        </w:rPr>
      </w:pPr>
    </w:p>
    <w:p w14:paraId="792E6718" w14:textId="77777777" w:rsidR="0022699D" w:rsidRPr="00F22DD8" w:rsidRDefault="0022699D" w:rsidP="004A4C21">
      <w:pPr>
        <w:contextualSpacing/>
        <w:jc w:val="both"/>
        <w:rPr>
          <w:rFonts w:ascii="Times New Roman" w:eastAsia="Times New Roman" w:hAnsi="Times New Roman" w:cs="Calibri"/>
          <w:sz w:val="22"/>
          <w:szCs w:val="22"/>
        </w:rPr>
      </w:pPr>
      <w:r w:rsidRPr="00F22DD8">
        <w:rPr>
          <w:rFonts w:ascii="Times New Roman" w:eastAsia="Times New Roman" w:hAnsi="Times New Roman" w:cs="Calibri"/>
          <w:sz w:val="22"/>
          <w:szCs w:val="22"/>
        </w:rPr>
        <w:t>Para América Latina y el Caribe se proyecta que el crecimiento de 2024 se mantenga en 2.3% similar al del año previo. Las condiciones financieras seguirán afectando el crecimiento de corto plazo.  No obstante, se espera que la inflación se siga desacelerando. No se prevé que la política fiscal impulse el crecimiento en este año, además, no se espera que los precios de las materias primas impulsen el crecimiento en estas economías.</w:t>
      </w:r>
    </w:p>
    <w:p w14:paraId="0435EFEB" w14:textId="77777777" w:rsidR="0022699D" w:rsidRPr="00F22DD8" w:rsidRDefault="0022699D" w:rsidP="004A4C21">
      <w:pPr>
        <w:contextualSpacing/>
        <w:jc w:val="both"/>
        <w:rPr>
          <w:rFonts w:ascii="Times New Roman" w:eastAsia="Times New Roman" w:hAnsi="Times New Roman" w:cs="Calibri"/>
          <w:sz w:val="22"/>
          <w:szCs w:val="22"/>
        </w:rPr>
      </w:pPr>
    </w:p>
    <w:p w14:paraId="2441C8F0" w14:textId="1D5218AF" w:rsidR="0022699D" w:rsidRPr="004A4C21" w:rsidRDefault="0022699D" w:rsidP="004A4C21">
      <w:pPr>
        <w:contextualSpacing/>
        <w:jc w:val="both"/>
        <w:rPr>
          <w:rFonts w:ascii="Times New Roman" w:eastAsia="Times New Roman" w:hAnsi="Times New Roman" w:cs="Calibri"/>
          <w:sz w:val="20"/>
          <w:szCs w:val="20"/>
        </w:rPr>
      </w:pPr>
      <w:r w:rsidRPr="00F22DD8">
        <w:rPr>
          <w:rFonts w:ascii="Times New Roman" w:eastAsia="Times New Roman" w:hAnsi="Times New Roman" w:cs="Calibri"/>
          <w:sz w:val="22"/>
          <w:szCs w:val="22"/>
        </w:rPr>
        <w:t xml:space="preserve">La evolución de las perspectivas del crecimiento mundial ha sido a la baja para el 2024, disminuyendo gradualmente de 3.4% en abril del 2022 a 2.9% en octubre del 2023, lo que muestra que llevará tiempo para que </w:t>
      </w:r>
      <w:r w:rsidR="00344616" w:rsidRPr="00F22DD8">
        <w:rPr>
          <w:rFonts w:ascii="Times New Roman" w:eastAsia="Times New Roman" w:hAnsi="Times New Roman" w:cs="Calibri"/>
          <w:sz w:val="22"/>
          <w:szCs w:val="22"/>
        </w:rPr>
        <w:t xml:space="preserve">en </w:t>
      </w:r>
      <w:r w:rsidRPr="00F22DD8">
        <w:rPr>
          <w:rFonts w:ascii="Times New Roman" w:eastAsia="Times New Roman" w:hAnsi="Times New Roman" w:cs="Calibri"/>
          <w:sz w:val="22"/>
          <w:szCs w:val="22"/>
        </w:rPr>
        <w:t>algunos años más la economía retorne a su crecimiento promedio prepandemia. La perspectiva de crecimiento del 2024 de las Economías Avanzadas ha sido también a la baja, con excepción de Estados Unidos. Para las Economías de mercados emergentes y en desarrollo la perspectiva disminuyó 0.6 puntos porcentuales de abril de 2022 a octubre de 2024 y en el caso de América Latina y el Caribe disminuyó 0.2 puntos porcentuales en el mismo periodo.</w:t>
      </w:r>
    </w:p>
    <w:p w14:paraId="0AC66C5E" w14:textId="77777777" w:rsidR="0022699D" w:rsidRPr="004A4C21" w:rsidRDefault="0022699D" w:rsidP="004A4C21">
      <w:pPr>
        <w:contextualSpacing/>
        <w:jc w:val="both"/>
        <w:rPr>
          <w:rFonts w:ascii="Times New Roman" w:eastAsia="Times New Roman" w:hAnsi="Times New Roman" w:cs="Calibri"/>
          <w:sz w:val="20"/>
          <w:szCs w:val="20"/>
        </w:rPr>
      </w:pPr>
    </w:p>
    <w:tbl>
      <w:tblPr>
        <w:tblStyle w:val="Tablaconcuadrcula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22699D" w:rsidRPr="0022699D" w14:paraId="563DD92B" w14:textId="77777777" w:rsidTr="00973C72">
        <w:tc>
          <w:tcPr>
            <w:tcW w:w="8828" w:type="dxa"/>
          </w:tcPr>
          <w:p w14:paraId="0E88152E" w14:textId="1BC04F6C" w:rsidR="0022699D" w:rsidRDefault="004A4C21" w:rsidP="004A4C21">
            <w:pPr>
              <w:pStyle w:val="Descripcin"/>
              <w:keepNext/>
              <w:spacing w:after="0"/>
              <w:jc w:val="center"/>
              <w:rPr>
                <w:sz w:val="22"/>
                <w:szCs w:val="22"/>
              </w:rPr>
            </w:pPr>
            <w:bookmarkStart w:id="154" w:name="_Toc160196927"/>
            <w:r w:rsidRPr="004A4C21">
              <w:rPr>
                <w:sz w:val="22"/>
                <w:szCs w:val="22"/>
              </w:rPr>
              <w:t xml:space="preserve">Tabla </w:t>
            </w:r>
            <w:r w:rsidRPr="004A4C21">
              <w:rPr>
                <w:sz w:val="22"/>
                <w:szCs w:val="22"/>
              </w:rPr>
              <w:fldChar w:fldCharType="begin"/>
            </w:r>
            <w:r w:rsidRPr="004A4C21">
              <w:rPr>
                <w:sz w:val="22"/>
                <w:szCs w:val="22"/>
              </w:rPr>
              <w:instrText xml:space="preserve"> SEQ Tabla \* ARABIC </w:instrText>
            </w:r>
            <w:r w:rsidRPr="004A4C21">
              <w:rPr>
                <w:sz w:val="22"/>
                <w:szCs w:val="22"/>
              </w:rPr>
              <w:fldChar w:fldCharType="separate"/>
            </w:r>
            <w:r w:rsidR="00C015DC">
              <w:rPr>
                <w:noProof/>
                <w:sz w:val="22"/>
                <w:szCs w:val="22"/>
              </w:rPr>
              <w:t>12</w:t>
            </w:r>
            <w:r w:rsidRPr="004A4C21">
              <w:rPr>
                <w:sz w:val="22"/>
                <w:szCs w:val="22"/>
              </w:rPr>
              <w:fldChar w:fldCharType="end"/>
            </w:r>
            <w:r w:rsidRPr="004A4C21">
              <w:rPr>
                <w:sz w:val="22"/>
                <w:szCs w:val="22"/>
              </w:rPr>
              <w:t xml:space="preserve">.  </w:t>
            </w:r>
            <w:r w:rsidR="0022699D" w:rsidRPr="004A4C21">
              <w:rPr>
                <w:sz w:val="22"/>
                <w:szCs w:val="22"/>
              </w:rPr>
              <w:t>Evolución de las estimaciones de cierre 2024 según el FMI</w:t>
            </w:r>
            <w:bookmarkEnd w:id="154"/>
          </w:p>
          <w:p w14:paraId="3340C121" w14:textId="23B915DA" w:rsidR="00F22DD8" w:rsidRPr="00F22DD8" w:rsidRDefault="00F22DD8" w:rsidP="00F22DD8"/>
        </w:tc>
      </w:tr>
      <w:tr w:rsidR="0022699D" w:rsidRPr="0022699D" w14:paraId="5D8DFEB0" w14:textId="77777777" w:rsidTr="00973C72">
        <w:tc>
          <w:tcPr>
            <w:tcW w:w="8828" w:type="dxa"/>
          </w:tcPr>
          <w:tbl>
            <w:tblPr>
              <w:tblStyle w:val="Tablaconcuadrcula3"/>
              <w:tblW w:w="6124" w:type="dxa"/>
              <w:jc w:val="center"/>
              <w:tblInd w:w="0" w:type="dxa"/>
              <w:tblLook w:val="04A0" w:firstRow="1" w:lastRow="0" w:firstColumn="1" w:lastColumn="0" w:noHBand="0" w:noVBand="1"/>
            </w:tblPr>
            <w:tblGrid>
              <w:gridCol w:w="2090"/>
              <w:gridCol w:w="589"/>
              <w:gridCol w:w="801"/>
              <w:gridCol w:w="647"/>
              <w:gridCol w:w="589"/>
              <w:gridCol w:w="607"/>
              <w:gridCol w:w="801"/>
            </w:tblGrid>
            <w:tr w:rsidR="0022699D" w:rsidRPr="0022699D" w14:paraId="2515D567" w14:textId="77777777" w:rsidTr="004A4C21">
              <w:trPr>
                <w:trHeight w:val="46"/>
                <w:jc w:val="center"/>
              </w:trPr>
              <w:tc>
                <w:tcPr>
                  <w:tcW w:w="2090" w:type="dxa"/>
                  <w:shd w:val="clear" w:color="auto" w:fill="D9E2F3" w:themeFill="accent1" w:themeFillTint="33"/>
                  <w:vAlign w:val="center"/>
                </w:tcPr>
                <w:p w14:paraId="1DC130B9" w14:textId="77777777" w:rsidR="0022699D" w:rsidRPr="0022699D" w:rsidRDefault="0022699D" w:rsidP="0022699D">
                  <w:pPr>
                    <w:jc w:val="both"/>
                    <w:rPr>
                      <w:rFonts w:ascii="Times New Roman" w:hAnsi="Times New Roman"/>
                      <w:b/>
                      <w:bCs/>
                      <w:sz w:val="16"/>
                      <w:szCs w:val="18"/>
                      <w:lang w:val="es-GT"/>
                    </w:rPr>
                  </w:pPr>
                  <w:r w:rsidRPr="0022699D">
                    <w:rPr>
                      <w:rFonts w:ascii="Times New Roman" w:hAnsi="Times New Roman"/>
                      <w:b/>
                      <w:bCs/>
                      <w:sz w:val="16"/>
                      <w:szCs w:val="18"/>
                      <w:lang w:val="es-GT"/>
                    </w:rPr>
                    <w:t>Región o país</w:t>
                  </w:r>
                </w:p>
              </w:tc>
              <w:tc>
                <w:tcPr>
                  <w:tcW w:w="589" w:type="dxa"/>
                  <w:shd w:val="clear" w:color="auto" w:fill="D9E2F3" w:themeFill="accent1" w:themeFillTint="33"/>
                  <w:vAlign w:val="center"/>
                </w:tcPr>
                <w:p w14:paraId="1776E47A" w14:textId="77777777" w:rsidR="0022699D" w:rsidRPr="0022699D" w:rsidRDefault="0022699D" w:rsidP="0022699D">
                  <w:pPr>
                    <w:jc w:val="center"/>
                    <w:rPr>
                      <w:rFonts w:ascii="Times New Roman" w:hAnsi="Times New Roman"/>
                      <w:b/>
                      <w:bCs/>
                      <w:sz w:val="16"/>
                      <w:szCs w:val="18"/>
                      <w:lang w:val="es-GT"/>
                    </w:rPr>
                  </w:pPr>
                  <w:proofErr w:type="spellStart"/>
                  <w:r w:rsidRPr="0022699D">
                    <w:rPr>
                      <w:rFonts w:ascii="Times New Roman" w:hAnsi="Times New Roman"/>
                      <w:b/>
                      <w:bCs/>
                      <w:sz w:val="16"/>
                      <w:szCs w:val="18"/>
                      <w:lang w:val="en-US"/>
                    </w:rPr>
                    <w:t>abril</w:t>
                  </w:r>
                  <w:proofErr w:type="spellEnd"/>
                  <w:r w:rsidRPr="0022699D">
                    <w:rPr>
                      <w:rFonts w:ascii="Times New Roman" w:hAnsi="Times New Roman"/>
                      <w:b/>
                      <w:bCs/>
                      <w:sz w:val="16"/>
                      <w:szCs w:val="18"/>
                      <w:lang w:val="en-US"/>
                    </w:rPr>
                    <w:t xml:space="preserve"> 2022</w:t>
                  </w:r>
                </w:p>
              </w:tc>
              <w:tc>
                <w:tcPr>
                  <w:tcW w:w="801" w:type="dxa"/>
                  <w:shd w:val="clear" w:color="auto" w:fill="D9E2F3" w:themeFill="accent1" w:themeFillTint="33"/>
                  <w:vAlign w:val="center"/>
                </w:tcPr>
                <w:p w14:paraId="4727E9CC" w14:textId="77777777" w:rsidR="0022699D" w:rsidRPr="0022699D" w:rsidRDefault="0022699D" w:rsidP="0022699D">
                  <w:pPr>
                    <w:jc w:val="center"/>
                    <w:rPr>
                      <w:rFonts w:ascii="Times New Roman" w:hAnsi="Times New Roman"/>
                      <w:b/>
                      <w:bCs/>
                      <w:sz w:val="16"/>
                      <w:szCs w:val="18"/>
                      <w:lang w:val="es-GT"/>
                    </w:rPr>
                  </w:pPr>
                  <w:proofErr w:type="spellStart"/>
                  <w:r w:rsidRPr="0022699D">
                    <w:rPr>
                      <w:rFonts w:ascii="Times New Roman" w:hAnsi="Times New Roman"/>
                      <w:b/>
                      <w:bCs/>
                      <w:sz w:val="16"/>
                      <w:szCs w:val="18"/>
                      <w:lang w:val="en-US"/>
                    </w:rPr>
                    <w:t>octubre</w:t>
                  </w:r>
                  <w:proofErr w:type="spellEnd"/>
                  <w:r w:rsidRPr="0022699D">
                    <w:rPr>
                      <w:rFonts w:ascii="Times New Roman" w:hAnsi="Times New Roman"/>
                      <w:b/>
                      <w:bCs/>
                      <w:sz w:val="16"/>
                      <w:szCs w:val="18"/>
                      <w:lang w:val="en-US"/>
                    </w:rPr>
                    <w:t xml:space="preserve"> 2022</w:t>
                  </w:r>
                </w:p>
              </w:tc>
              <w:tc>
                <w:tcPr>
                  <w:tcW w:w="647" w:type="dxa"/>
                  <w:shd w:val="clear" w:color="auto" w:fill="D9E2F3" w:themeFill="accent1" w:themeFillTint="33"/>
                  <w:vAlign w:val="center"/>
                </w:tcPr>
                <w:p w14:paraId="614109E7" w14:textId="77777777" w:rsidR="0022699D" w:rsidRPr="0022699D" w:rsidRDefault="0022699D" w:rsidP="0022699D">
                  <w:pPr>
                    <w:jc w:val="center"/>
                    <w:rPr>
                      <w:rFonts w:ascii="Times New Roman" w:hAnsi="Times New Roman"/>
                      <w:b/>
                      <w:bCs/>
                      <w:sz w:val="16"/>
                      <w:szCs w:val="18"/>
                      <w:lang w:val="en-US"/>
                    </w:rPr>
                  </w:pPr>
                  <w:proofErr w:type="spellStart"/>
                  <w:r w:rsidRPr="0022699D">
                    <w:rPr>
                      <w:rFonts w:ascii="Times New Roman" w:hAnsi="Times New Roman"/>
                      <w:b/>
                      <w:bCs/>
                      <w:sz w:val="16"/>
                      <w:szCs w:val="18"/>
                      <w:lang w:val="en-US"/>
                    </w:rPr>
                    <w:t>enero</w:t>
                  </w:r>
                  <w:proofErr w:type="spellEnd"/>
                  <w:r w:rsidRPr="0022699D">
                    <w:rPr>
                      <w:rFonts w:ascii="Times New Roman" w:hAnsi="Times New Roman"/>
                      <w:b/>
                      <w:bCs/>
                      <w:sz w:val="16"/>
                      <w:szCs w:val="18"/>
                      <w:lang w:val="en-US"/>
                    </w:rPr>
                    <w:t xml:space="preserve"> 2023</w:t>
                  </w:r>
                </w:p>
              </w:tc>
              <w:tc>
                <w:tcPr>
                  <w:tcW w:w="589" w:type="dxa"/>
                  <w:shd w:val="clear" w:color="auto" w:fill="D9E2F3" w:themeFill="accent1" w:themeFillTint="33"/>
                  <w:vAlign w:val="center"/>
                </w:tcPr>
                <w:p w14:paraId="1725D81C" w14:textId="77777777" w:rsidR="0022699D" w:rsidRPr="0022699D" w:rsidRDefault="0022699D" w:rsidP="0022699D">
                  <w:pPr>
                    <w:jc w:val="center"/>
                    <w:rPr>
                      <w:rFonts w:ascii="Times New Roman" w:hAnsi="Times New Roman"/>
                      <w:b/>
                      <w:bCs/>
                      <w:sz w:val="16"/>
                      <w:szCs w:val="18"/>
                      <w:lang w:val="en-US"/>
                    </w:rPr>
                  </w:pPr>
                  <w:proofErr w:type="spellStart"/>
                  <w:r w:rsidRPr="0022699D">
                    <w:rPr>
                      <w:rFonts w:ascii="Times New Roman" w:hAnsi="Times New Roman"/>
                      <w:b/>
                      <w:bCs/>
                      <w:sz w:val="16"/>
                      <w:szCs w:val="18"/>
                      <w:lang w:val="en-US"/>
                    </w:rPr>
                    <w:t>abril</w:t>
                  </w:r>
                  <w:proofErr w:type="spellEnd"/>
                  <w:r w:rsidRPr="0022699D">
                    <w:rPr>
                      <w:rFonts w:ascii="Times New Roman" w:hAnsi="Times New Roman"/>
                      <w:b/>
                      <w:bCs/>
                      <w:sz w:val="16"/>
                      <w:szCs w:val="18"/>
                      <w:lang w:val="en-US"/>
                    </w:rPr>
                    <w:t xml:space="preserve"> 2023</w:t>
                  </w:r>
                </w:p>
              </w:tc>
              <w:tc>
                <w:tcPr>
                  <w:tcW w:w="607" w:type="dxa"/>
                  <w:shd w:val="clear" w:color="auto" w:fill="D9E2F3" w:themeFill="accent1" w:themeFillTint="33"/>
                  <w:vAlign w:val="center"/>
                </w:tcPr>
                <w:p w14:paraId="21E060F2" w14:textId="77777777" w:rsidR="0022699D" w:rsidRPr="0022699D" w:rsidRDefault="0022699D" w:rsidP="0022699D">
                  <w:pPr>
                    <w:jc w:val="center"/>
                    <w:rPr>
                      <w:rFonts w:ascii="Times New Roman" w:hAnsi="Times New Roman"/>
                      <w:b/>
                      <w:bCs/>
                      <w:sz w:val="16"/>
                      <w:szCs w:val="18"/>
                      <w:lang w:val="en-US"/>
                    </w:rPr>
                  </w:pPr>
                  <w:proofErr w:type="spellStart"/>
                  <w:r w:rsidRPr="0022699D">
                    <w:rPr>
                      <w:rFonts w:ascii="Times New Roman" w:hAnsi="Times New Roman"/>
                      <w:b/>
                      <w:bCs/>
                      <w:sz w:val="16"/>
                      <w:szCs w:val="18"/>
                      <w:lang w:val="en-US"/>
                    </w:rPr>
                    <w:t>julio</w:t>
                  </w:r>
                  <w:proofErr w:type="spellEnd"/>
                  <w:r w:rsidRPr="0022699D">
                    <w:rPr>
                      <w:rFonts w:ascii="Times New Roman" w:hAnsi="Times New Roman"/>
                      <w:b/>
                      <w:bCs/>
                      <w:sz w:val="16"/>
                      <w:szCs w:val="18"/>
                      <w:lang w:val="en-US"/>
                    </w:rPr>
                    <w:t xml:space="preserve"> 2023</w:t>
                  </w:r>
                </w:p>
              </w:tc>
              <w:tc>
                <w:tcPr>
                  <w:tcW w:w="801" w:type="dxa"/>
                  <w:shd w:val="clear" w:color="auto" w:fill="D9E2F3" w:themeFill="accent1" w:themeFillTint="33"/>
                  <w:vAlign w:val="center"/>
                </w:tcPr>
                <w:p w14:paraId="37F3F549" w14:textId="77777777" w:rsidR="0022699D" w:rsidRPr="0022699D" w:rsidRDefault="0022699D" w:rsidP="0022699D">
                  <w:pPr>
                    <w:jc w:val="center"/>
                    <w:rPr>
                      <w:rFonts w:ascii="Times New Roman" w:hAnsi="Times New Roman"/>
                      <w:b/>
                      <w:bCs/>
                      <w:sz w:val="16"/>
                      <w:szCs w:val="18"/>
                      <w:lang w:val="en-US"/>
                    </w:rPr>
                  </w:pPr>
                  <w:r w:rsidRPr="0022699D">
                    <w:rPr>
                      <w:rFonts w:ascii="Times New Roman" w:hAnsi="Times New Roman"/>
                      <w:b/>
                      <w:bCs/>
                      <w:sz w:val="16"/>
                      <w:szCs w:val="18"/>
                      <w:lang w:val="es-GT"/>
                    </w:rPr>
                    <w:t>octubre</w:t>
                  </w:r>
                  <w:r w:rsidRPr="0022699D">
                    <w:rPr>
                      <w:rFonts w:ascii="Times New Roman" w:hAnsi="Times New Roman"/>
                      <w:b/>
                      <w:bCs/>
                      <w:sz w:val="16"/>
                      <w:szCs w:val="18"/>
                      <w:lang w:val="en-US"/>
                    </w:rPr>
                    <w:t xml:space="preserve"> 2023</w:t>
                  </w:r>
                </w:p>
              </w:tc>
            </w:tr>
            <w:tr w:rsidR="0022699D" w:rsidRPr="0022699D" w14:paraId="3BF19231" w14:textId="77777777" w:rsidTr="004A4C21">
              <w:trPr>
                <w:trHeight w:val="46"/>
                <w:jc w:val="center"/>
              </w:trPr>
              <w:tc>
                <w:tcPr>
                  <w:tcW w:w="2090" w:type="dxa"/>
                  <w:shd w:val="clear" w:color="auto" w:fill="auto"/>
                  <w:vAlign w:val="center"/>
                </w:tcPr>
                <w:p w14:paraId="51A888C3" w14:textId="77777777" w:rsidR="0022699D" w:rsidRPr="0022699D" w:rsidRDefault="0022699D" w:rsidP="0022699D">
                  <w:pPr>
                    <w:rPr>
                      <w:rFonts w:ascii="Times New Roman" w:hAnsi="Times New Roman"/>
                      <w:b/>
                      <w:bCs/>
                      <w:sz w:val="16"/>
                      <w:szCs w:val="18"/>
                      <w:u w:val="single"/>
                    </w:rPr>
                  </w:pPr>
                  <w:r w:rsidRPr="0022699D">
                    <w:rPr>
                      <w:rFonts w:ascii="Times New Roman" w:hAnsi="Times New Roman"/>
                      <w:b/>
                      <w:bCs/>
                      <w:sz w:val="16"/>
                      <w:szCs w:val="18"/>
                    </w:rPr>
                    <w:t>Producción mundial</w:t>
                  </w:r>
                </w:p>
              </w:tc>
              <w:tc>
                <w:tcPr>
                  <w:tcW w:w="589" w:type="dxa"/>
                </w:tcPr>
                <w:p w14:paraId="49939175" w14:textId="77777777" w:rsidR="0022699D" w:rsidRPr="0022699D" w:rsidRDefault="0022699D" w:rsidP="0022699D">
                  <w:pPr>
                    <w:jc w:val="center"/>
                    <w:rPr>
                      <w:rFonts w:ascii="Times New Roman" w:hAnsi="Times New Roman"/>
                      <w:b/>
                      <w:bCs/>
                      <w:sz w:val="16"/>
                      <w:szCs w:val="18"/>
                      <w:lang w:val="es-GT"/>
                    </w:rPr>
                  </w:pPr>
                  <w:r w:rsidRPr="0022699D">
                    <w:rPr>
                      <w:rFonts w:ascii="Times New Roman" w:hAnsi="Times New Roman"/>
                      <w:b/>
                      <w:bCs/>
                      <w:sz w:val="16"/>
                      <w:szCs w:val="18"/>
                      <w:lang w:val="es-GT"/>
                    </w:rPr>
                    <w:t>3.4</w:t>
                  </w:r>
                </w:p>
              </w:tc>
              <w:tc>
                <w:tcPr>
                  <w:tcW w:w="801" w:type="dxa"/>
                </w:tcPr>
                <w:p w14:paraId="3D400F91" w14:textId="77777777" w:rsidR="0022699D" w:rsidRPr="0022699D" w:rsidRDefault="0022699D" w:rsidP="0022699D">
                  <w:pPr>
                    <w:jc w:val="center"/>
                    <w:rPr>
                      <w:rFonts w:ascii="Times New Roman" w:hAnsi="Times New Roman"/>
                      <w:b/>
                      <w:bCs/>
                      <w:sz w:val="16"/>
                      <w:szCs w:val="18"/>
                      <w:lang w:val="es-GT"/>
                    </w:rPr>
                  </w:pPr>
                  <w:r w:rsidRPr="0022699D">
                    <w:rPr>
                      <w:rFonts w:ascii="Times New Roman" w:hAnsi="Times New Roman"/>
                      <w:b/>
                      <w:bCs/>
                      <w:sz w:val="16"/>
                      <w:szCs w:val="18"/>
                      <w:lang w:val="es-GT"/>
                    </w:rPr>
                    <w:t>3.2</w:t>
                  </w:r>
                </w:p>
              </w:tc>
              <w:tc>
                <w:tcPr>
                  <w:tcW w:w="647" w:type="dxa"/>
                  <w:shd w:val="clear" w:color="auto" w:fill="auto"/>
                  <w:vAlign w:val="center"/>
                </w:tcPr>
                <w:p w14:paraId="5DA21440" w14:textId="77777777" w:rsidR="0022699D" w:rsidRPr="0022699D" w:rsidRDefault="0022699D" w:rsidP="0022699D">
                  <w:pPr>
                    <w:jc w:val="center"/>
                    <w:rPr>
                      <w:rFonts w:ascii="Times New Roman" w:hAnsi="Times New Roman"/>
                      <w:b/>
                      <w:bCs/>
                      <w:sz w:val="16"/>
                      <w:szCs w:val="18"/>
                      <w:lang w:val="es-GT"/>
                    </w:rPr>
                  </w:pPr>
                  <w:r w:rsidRPr="0022699D">
                    <w:rPr>
                      <w:rFonts w:ascii="Times New Roman" w:hAnsi="Times New Roman"/>
                      <w:b/>
                      <w:bCs/>
                      <w:sz w:val="16"/>
                      <w:szCs w:val="18"/>
                      <w:lang w:val="es-GT"/>
                    </w:rPr>
                    <w:t>3.1</w:t>
                  </w:r>
                </w:p>
              </w:tc>
              <w:tc>
                <w:tcPr>
                  <w:tcW w:w="589" w:type="dxa"/>
                  <w:shd w:val="clear" w:color="auto" w:fill="auto"/>
                  <w:vAlign w:val="center"/>
                </w:tcPr>
                <w:p w14:paraId="2DEFCEA4" w14:textId="77777777" w:rsidR="0022699D" w:rsidRPr="0022699D" w:rsidRDefault="0022699D" w:rsidP="0022699D">
                  <w:pPr>
                    <w:jc w:val="center"/>
                    <w:rPr>
                      <w:rFonts w:ascii="Times New Roman" w:hAnsi="Times New Roman"/>
                      <w:b/>
                      <w:bCs/>
                      <w:sz w:val="16"/>
                      <w:szCs w:val="18"/>
                      <w:lang w:val="es-GT"/>
                    </w:rPr>
                  </w:pPr>
                  <w:r w:rsidRPr="0022699D">
                    <w:rPr>
                      <w:rFonts w:ascii="Times New Roman" w:hAnsi="Times New Roman"/>
                      <w:b/>
                      <w:bCs/>
                      <w:sz w:val="16"/>
                      <w:szCs w:val="18"/>
                      <w:lang w:val="es-GT"/>
                    </w:rPr>
                    <w:t>3.0</w:t>
                  </w:r>
                </w:p>
              </w:tc>
              <w:tc>
                <w:tcPr>
                  <w:tcW w:w="607" w:type="dxa"/>
                  <w:shd w:val="clear" w:color="auto" w:fill="auto"/>
                  <w:vAlign w:val="center"/>
                </w:tcPr>
                <w:p w14:paraId="63D738ED" w14:textId="77777777" w:rsidR="0022699D" w:rsidRPr="0022699D" w:rsidRDefault="0022699D" w:rsidP="0022699D">
                  <w:pPr>
                    <w:jc w:val="center"/>
                    <w:rPr>
                      <w:rFonts w:ascii="Times New Roman" w:hAnsi="Times New Roman"/>
                      <w:b/>
                      <w:bCs/>
                      <w:sz w:val="16"/>
                      <w:szCs w:val="18"/>
                      <w:lang w:val="es-GT"/>
                    </w:rPr>
                  </w:pPr>
                  <w:r w:rsidRPr="0022699D">
                    <w:rPr>
                      <w:rFonts w:ascii="Times New Roman" w:hAnsi="Times New Roman"/>
                      <w:b/>
                      <w:bCs/>
                      <w:sz w:val="16"/>
                      <w:szCs w:val="18"/>
                      <w:lang w:val="es-GT"/>
                    </w:rPr>
                    <w:t>3.0</w:t>
                  </w:r>
                </w:p>
              </w:tc>
              <w:tc>
                <w:tcPr>
                  <w:tcW w:w="801" w:type="dxa"/>
                  <w:vAlign w:val="center"/>
                </w:tcPr>
                <w:p w14:paraId="52AFC3A6" w14:textId="77777777" w:rsidR="0022699D" w:rsidRPr="0022699D" w:rsidRDefault="0022699D" w:rsidP="0022699D">
                  <w:pPr>
                    <w:jc w:val="center"/>
                    <w:rPr>
                      <w:rFonts w:ascii="Times New Roman" w:hAnsi="Times New Roman"/>
                      <w:b/>
                      <w:bCs/>
                      <w:sz w:val="16"/>
                      <w:szCs w:val="18"/>
                      <w:lang w:val="es-GT"/>
                    </w:rPr>
                  </w:pPr>
                  <w:r w:rsidRPr="0022699D">
                    <w:rPr>
                      <w:rFonts w:ascii="Times New Roman" w:hAnsi="Times New Roman"/>
                      <w:b/>
                      <w:bCs/>
                      <w:sz w:val="16"/>
                      <w:szCs w:val="18"/>
                      <w:lang w:val="es-GT"/>
                    </w:rPr>
                    <w:t>2.9</w:t>
                  </w:r>
                </w:p>
              </w:tc>
            </w:tr>
            <w:tr w:rsidR="0022699D" w:rsidRPr="0022699D" w14:paraId="395FD604" w14:textId="77777777" w:rsidTr="004A4C21">
              <w:trPr>
                <w:trHeight w:val="46"/>
                <w:jc w:val="center"/>
              </w:trPr>
              <w:tc>
                <w:tcPr>
                  <w:tcW w:w="2090" w:type="dxa"/>
                  <w:shd w:val="clear" w:color="auto" w:fill="auto"/>
                  <w:vAlign w:val="center"/>
                </w:tcPr>
                <w:p w14:paraId="3D82484E" w14:textId="77777777" w:rsidR="0022699D" w:rsidRPr="0022699D" w:rsidRDefault="0022699D" w:rsidP="0022699D">
                  <w:pPr>
                    <w:rPr>
                      <w:rFonts w:ascii="Times New Roman" w:hAnsi="Times New Roman"/>
                      <w:b/>
                      <w:bCs/>
                      <w:sz w:val="16"/>
                      <w:szCs w:val="18"/>
                      <w:u w:val="single"/>
                    </w:rPr>
                  </w:pPr>
                  <w:r w:rsidRPr="0022699D">
                    <w:rPr>
                      <w:rFonts w:ascii="Times New Roman" w:hAnsi="Times New Roman"/>
                      <w:b/>
                      <w:bCs/>
                      <w:sz w:val="16"/>
                      <w:szCs w:val="18"/>
                    </w:rPr>
                    <w:t xml:space="preserve">  Economías avanzadas</w:t>
                  </w:r>
                </w:p>
              </w:tc>
              <w:tc>
                <w:tcPr>
                  <w:tcW w:w="589" w:type="dxa"/>
                </w:tcPr>
                <w:p w14:paraId="4A1C9E65" w14:textId="77777777" w:rsidR="0022699D" w:rsidRPr="0022699D" w:rsidRDefault="0022699D" w:rsidP="0022699D">
                  <w:pPr>
                    <w:jc w:val="center"/>
                    <w:rPr>
                      <w:rFonts w:ascii="Times New Roman" w:hAnsi="Times New Roman"/>
                      <w:b/>
                      <w:bCs/>
                      <w:sz w:val="16"/>
                      <w:szCs w:val="18"/>
                      <w:lang w:val="es-GT"/>
                    </w:rPr>
                  </w:pPr>
                  <w:r w:rsidRPr="0022699D">
                    <w:rPr>
                      <w:rFonts w:ascii="Times New Roman" w:hAnsi="Times New Roman"/>
                      <w:b/>
                      <w:bCs/>
                      <w:sz w:val="16"/>
                      <w:szCs w:val="18"/>
                      <w:lang w:val="es-GT"/>
                    </w:rPr>
                    <w:t>1.7</w:t>
                  </w:r>
                </w:p>
              </w:tc>
              <w:tc>
                <w:tcPr>
                  <w:tcW w:w="801" w:type="dxa"/>
                </w:tcPr>
                <w:p w14:paraId="46F55C29" w14:textId="77777777" w:rsidR="0022699D" w:rsidRPr="0022699D" w:rsidRDefault="0022699D" w:rsidP="0022699D">
                  <w:pPr>
                    <w:jc w:val="center"/>
                    <w:rPr>
                      <w:rFonts w:ascii="Times New Roman" w:hAnsi="Times New Roman"/>
                      <w:b/>
                      <w:bCs/>
                      <w:sz w:val="16"/>
                      <w:szCs w:val="18"/>
                      <w:lang w:val="es-GT"/>
                    </w:rPr>
                  </w:pPr>
                  <w:r w:rsidRPr="0022699D">
                    <w:rPr>
                      <w:rFonts w:ascii="Times New Roman" w:hAnsi="Times New Roman"/>
                      <w:b/>
                      <w:bCs/>
                      <w:sz w:val="16"/>
                      <w:szCs w:val="18"/>
                      <w:lang w:val="es-GT"/>
                    </w:rPr>
                    <w:t>1.6</w:t>
                  </w:r>
                </w:p>
              </w:tc>
              <w:tc>
                <w:tcPr>
                  <w:tcW w:w="647" w:type="dxa"/>
                  <w:shd w:val="clear" w:color="auto" w:fill="auto"/>
                  <w:vAlign w:val="center"/>
                </w:tcPr>
                <w:p w14:paraId="4DDD7812" w14:textId="77777777" w:rsidR="0022699D" w:rsidRPr="0022699D" w:rsidRDefault="0022699D" w:rsidP="0022699D">
                  <w:pPr>
                    <w:jc w:val="center"/>
                    <w:rPr>
                      <w:rFonts w:ascii="Times New Roman" w:hAnsi="Times New Roman"/>
                      <w:b/>
                      <w:bCs/>
                      <w:sz w:val="16"/>
                      <w:szCs w:val="18"/>
                      <w:lang w:val="es-GT"/>
                    </w:rPr>
                  </w:pPr>
                  <w:r w:rsidRPr="0022699D">
                    <w:rPr>
                      <w:rFonts w:ascii="Times New Roman" w:hAnsi="Times New Roman"/>
                      <w:b/>
                      <w:bCs/>
                      <w:sz w:val="16"/>
                      <w:szCs w:val="18"/>
                      <w:lang w:val="es-GT"/>
                    </w:rPr>
                    <w:t>1.4</w:t>
                  </w:r>
                </w:p>
              </w:tc>
              <w:tc>
                <w:tcPr>
                  <w:tcW w:w="589" w:type="dxa"/>
                  <w:shd w:val="clear" w:color="auto" w:fill="auto"/>
                  <w:vAlign w:val="center"/>
                </w:tcPr>
                <w:p w14:paraId="445428F3" w14:textId="77777777" w:rsidR="0022699D" w:rsidRPr="0022699D" w:rsidRDefault="0022699D" w:rsidP="0022699D">
                  <w:pPr>
                    <w:jc w:val="center"/>
                    <w:rPr>
                      <w:rFonts w:ascii="Times New Roman" w:hAnsi="Times New Roman"/>
                      <w:b/>
                      <w:bCs/>
                      <w:sz w:val="16"/>
                      <w:szCs w:val="18"/>
                      <w:lang w:val="es-GT"/>
                    </w:rPr>
                  </w:pPr>
                  <w:r w:rsidRPr="0022699D">
                    <w:rPr>
                      <w:rFonts w:ascii="Times New Roman" w:hAnsi="Times New Roman"/>
                      <w:b/>
                      <w:bCs/>
                      <w:sz w:val="16"/>
                      <w:szCs w:val="18"/>
                      <w:lang w:val="es-GT"/>
                    </w:rPr>
                    <w:t>1.4</w:t>
                  </w:r>
                </w:p>
              </w:tc>
              <w:tc>
                <w:tcPr>
                  <w:tcW w:w="607" w:type="dxa"/>
                  <w:shd w:val="clear" w:color="auto" w:fill="auto"/>
                  <w:vAlign w:val="center"/>
                </w:tcPr>
                <w:p w14:paraId="6BB3C705" w14:textId="77777777" w:rsidR="0022699D" w:rsidRPr="0022699D" w:rsidRDefault="0022699D" w:rsidP="0022699D">
                  <w:pPr>
                    <w:jc w:val="center"/>
                    <w:rPr>
                      <w:rFonts w:ascii="Times New Roman" w:hAnsi="Times New Roman"/>
                      <w:b/>
                      <w:bCs/>
                      <w:sz w:val="16"/>
                      <w:szCs w:val="18"/>
                      <w:lang w:val="es-GT"/>
                    </w:rPr>
                  </w:pPr>
                  <w:r w:rsidRPr="0022699D">
                    <w:rPr>
                      <w:rFonts w:ascii="Times New Roman" w:hAnsi="Times New Roman"/>
                      <w:b/>
                      <w:bCs/>
                      <w:sz w:val="16"/>
                      <w:szCs w:val="18"/>
                      <w:lang w:val="es-GT"/>
                    </w:rPr>
                    <w:t>1.4</w:t>
                  </w:r>
                </w:p>
              </w:tc>
              <w:tc>
                <w:tcPr>
                  <w:tcW w:w="801" w:type="dxa"/>
                  <w:vAlign w:val="center"/>
                </w:tcPr>
                <w:p w14:paraId="6AE6F55D" w14:textId="77777777" w:rsidR="0022699D" w:rsidRPr="0022699D" w:rsidRDefault="0022699D" w:rsidP="0022699D">
                  <w:pPr>
                    <w:jc w:val="center"/>
                    <w:rPr>
                      <w:rFonts w:ascii="Times New Roman" w:hAnsi="Times New Roman"/>
                      <w:b/>
                      <w:bCs/>
                      <w:sz w:val="16"/>
                      <w:szCs w:val="18"/>
                      <w:lang w:val="es-GT"/>
                    </w:rPr>
                  </w:pPr>
                  <w:r w:rsidRPr="0022699D">
                    <w:rPr>
                      <w:rFonts w:ascii="Times New Roman" w:hAnsi="Times New Roman"/>
                      <w:b/>
                      <w:bCs/>
                      <w:sz w:val="16"/>
                      <w:szCs w:val="18"/>
                      <w:lang w:val="es-GT"/>
                    </w:rPr>
                    <w:t>1.4</w:t>
                  </w:r>
                </w:p>
              </w:tc>
            </w:tr>
            <w:tr w:rsidR="0022699D" w:rsidRPr="0022699D" w14:paraId="6A18513D" w14:textId="77777777" w:rsidTr="004A4C21">
              <w:trPr>
                <w:trHeight w:val="46"/>
                <w:jc w:val="center"/>
              </w:trPr>
              <w:tc>
                <w:tcPr>
                  <w:tcW w:w="2090" w:type="dxa"/>
                  <w:shd w:val="clear" w:color="auto" w:fill="auto"/>
                  <w:vAlign w:val="center"/>
                </w:tcPr>
                <w:p w14:paraId="2CA21A37" w14:textId="77777777" w:rsidR="0022699D" w:rsidRPr="0022699D" w:rsidRDefault="0022699D" w:rsidP="0022699D">
                  <w:pPr>
                    <w:rPr>
                      <w:rFonts w:ascii="Times New Roman" w:hAnsi="Times New Roman"/>
                      <w:sz w:val="16"/>
                      <w:szCs w:val="18"/>
                      <w:u w:val="single"/>
                    </w:rPr>
                  </w:pPr>
                  <w:r w:rsidRPr="0022699D">
                    <w:rPr>
                      <w:rFonts w:ascii="Times New Roman" w:hAnsi="Times New Roman"/>
                      <w:sz w:val="16"/>
                      <w:szCs w:val="18"/>
                    </w:rPr>
                    <w:t xml:space="preserve">    Estados Unidos</w:t>
                  </w:r>
                </w:p>
              </w:tc>
              <w:tc>
                <w:tcPr>
                  <w:tcW w:w="589" w:type="dxa"/>
                </w:tcPr>
                <w:p w14:paraId="61D483C0"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1.4</w:t>
                  </w:r>
                </w:p>
              </w:tc>
              <w:tc>
                <w:tcPr>
                  <w:tcW w:w="801" w:type="dxa"/>
                </w:tcPr>
                <w:p w14:paraId="30CF3970"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1.2</w:t>
                  </w:r>
                </w:p>
              </w:tc>
              <w:tc>
                <w:tcPr>
                  <w:tcW w:w="647" w:type="dxa"/>
                  <w:shd w:val="clear" w:color="auto" w:fill="auto"/>
                  <w:vAlign w:val="center"/>
                </w:tcPr>
                <w:p w14:paraId="18DB4B9E"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1.0</w:t>
                  </w:r>
                </w:p>
              </w:tc>
              <w:tc>
                <w:tcPr>
                  <w:tcW w:w="589" w:type="dxa"/>
                  <w:shd w:val="clear" w:color="auto" w:fill="auto"/>
                  <w:vAlign w:val="center"/>
                </w:tcPr>
                <w:p w14:paraId="2FF09C47"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1.1</w:t>
                  </w:r>
                </w:p>
              </w:tc>
              <w:tc>
                <w:tcPr>
                  <w:tcW w:w="607" w:type="dxa"/>
                  <w:shd w:val="clear" w:color="auto" w:fill="auto"/>
                  <w:vAlign w:val="center"/>
                </w:tcPr>
                <w:p w14:paraId="3CA82C41"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1.0</w:t>
                  </w:r>
                </w:p>
              </w:tc>
              <w:tc>
                <w:tcPr>
                  <w:tcW w:w="801" w:type="dxa"/>
                  <w:vAlign w:val="center"/>
                </w:tcPr>
                <w:p w14:paraId="1AB69900"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1.5</w:t>
                  </w:r>
                </w:p>
              </w:tc>
            </w:tr>
            <w:tr w:rsidR="0022699D" w:rsidRPr="0022699D" w14:paraId="45F726DE" w14:textId="77777777" w:rsidTr="004A4C21">
              <w:trPr>
                <w:trHeight w:val="46"/>
                <w:jc w:val="center"/>
              </w:trPr>
              <w:tc>
                <w:tcPr>
                  <w:tcW w:w="2090" w:type="dxa"/>
                  <w:shd w:val="clear" w:color="auto" w:fill="auto"/>
                  <w:vAlign w:val="center"/>
                </w:tcPr>
                <w:p w14:paraId="41F192DC" w14:textId="77777777" w:rsidR="0022699D" w:rsidRPr="0022699D" w:rsidRDefault="0022699D" w:rsidP="0022699D">
                  <w:pPr>
                    <w:rPr>
                      <w:rFonts w:ascii="Times New Roman" w:hAnsi="Times New Roman"/>
                      <w:sz w:val="16"/>
                      <w:szCs w:val="18"/>
                      <w:u w:val="single"/>
                    </w:rPr>
                  </w:pPr>
                  <w:r w:rsidRPr="0022699D">
                    <w:rPr>
                      <w:rFonts w:ascii="Times New Roman" w:hAnsi="Times New Roman"/>
                      <w:sz w:val="16"/>
                      <w:szCs w:val="18"/>
                    </w:rPr>
                    <w:t xml:space="preserve">    Zona del euro</w:t>
                  </w:r>
                </w:p>
              </w:tc>
              <w:tc>
                <w:tcPr>
                  <w:tcW w:w="589" w:type="dxa"/>
                </w:tcPr>
                <w:p w14:paraId="6B9BEBDE"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1.8</w:t>
                  </w:r>
                </w:p>
              </w:tc>
              <w:tc>
                <w:tcPr>
                  <w:tcW w:w="801" w:type="dxa"/>
                </w:tcPr>
                <w:p w14:paraId="57B49DB5"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1.8</w:t>
                  </w:r>
                </w:p>
              </w:tc>
              <w:tc>
                <w:tcPr>
                  <w:tcW w:w="647" w:type="dxa"/>
                  <w:shd w:val="clear" w:color="auto" w:fill="auto"/>
                  <w:vAlign w:val="center"/>
                </w:tcPr>
                <w:p w14:paraId="4712FE8C"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1.6</w:t>
                  </w:r>
                </w:p>
              </w:tc>
              <w:tc>
                <w:tcPr>
                  <w:tcW w:w="589" w:type="dxa"/>
                  <w:shd w:val="clear" w:color="auto" w:fill="auto"/>
                  <w:vAlign w:val="center"/>
                </w:tcPr>
                <w:p w14:paraId="3EBC19E0"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1.4</w:t>
                  </w:r>
                </w:p>
              </w:tc>
              <w:tc>
                <w:tcPr>
                  <w:tcW w:w="607" w:type="dxa"/>
                  <w:shd w:val="clear" w:color="auto" w:fill="auto"/>
                  <w:vAlign w:val="center"/>
                </w:tcPr>
                <w:p w14:paraId="5139781F"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1.5</w:t>
                  </w:r>
                </w:p>
              </w:tc>
              <w:tc>
                <w:tcPr>
                  <w:tcW w:w="801" w:type="dxa"/>
                  <w:vAlign w:val="center"/>
                </w:tcPr>
                <w:p w14:paraId="24C21D9F"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1.2</w:t>
                  </w:r>
                </w:p>
              </w:tc>
            </w:tr>
            <w:tr w:rsidR="0022699D" w:rsidRPr="0022699D" w14:paraId="29EBA0D0" w14:textId="77777777" w:rsidTr="004A4C21">
              <w:trPr>
                <w:trHeight w:val="46"/>
                <w:jc w:val="center"/>
              </w:trPr>
              <w:tc>
                <w:tcPr>
                  <w:tcW w:w="2090" w:type="dxa"/>
                  <w:shd w:val="clear" w:color="auto" w:fill="auto"/>
                  <w:vAlign w:val="center"/>
                </w:tcPr>
                <w:p w14:paraId="359ADEC7" w14:textId="77777777" w:rsidR="0022699D" w:rsidRPr="0022699D" w:rsidRDefault="0022699D" w:rsidP="0022699D">
                  <w:pPr>
                    <w:rPr>
                      <w:rFonts w:ascii="Times New Roman" w:hAnsi="Times New Roman"/>
                      <w:sz w:val="16"/>
                      <w:szCs w:val="18"/>
                      <w:u w:val="single"/>
                    </w:rPr>
                  </w:pPr>
                  <w:r w:rsidRPr="0022699D">
                    <w:rPr>
                      <w:rFonts w:ascii="Times New Roman" w:hAnsi="Times New Roman"/>
                      <w:sz w:val="16"/>
                      <w:szCs w:val="18"/>
                    </w:rPr>
                    <w:t xml:space="preserve">    Japón</w:t>
                  </w:r>
                </w:p>
              </w:tc>
              <w:tc>
                <w:tcPr>
                  <w:tcW w:w="589" w:type="dxa"/>
                </w:tcPr>
                <w:p w14:paraId="116140C0"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0.8</w:t>
                  </w:r>
                </w:p>
              </w:tc>
              <w:tc>
                <w:tcPr>
                  <w:tcW w:w="801" w:type="dxa"/>
                </w:tcPr>
                <w:p w14:paraId="5AFDD207"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1.3</w:t>
                  </w:r>
                </w:p>
              </w:tc>
              <w:tc>
                <w:tcPr>
                  <w:tcW w:w="647" w:type="dxa"/>
                  <w:shd w:val="clear" w:color="auto" w:fill="auto"/>
                  <w:vAlign w:val="center"/>
                </w:tcPr>
                <w:p w14:paraId="566F2CEF"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0.9</w:t>
                  </w:r>
                </w:p>
              </w:tc>
              <w:tc>
                <w:tcPr>
                  <w:tcW w:w="589" w:type="dxa"/>
                  <w:shd w:val="clear" w:color="auto" w:fill="auto"/>
                  <w:vAlign w:val="center"/>
                </w:tcPr>
                <w:p w14:paraId="021BB73A"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1.0</w:t>
                  </w:r>
                </w:p>
              </w:tc>
              <w:tc>
                <w:tcPr>
                  <w:tcW w:w="607" w:type="dxa"/>
                  <w:shd w:val="clear" w:color="auto" w:fill="auto"/>
                  <w:vAlign w:val="center"/>
                </w:tcPr>
                <w:p w14:paraId="7C50DCD8"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1.0</w:t>
                  </w:r>
                </w:p>
              </w:tc>
              <w:tc>
                <w:tcPr>
                  <w:tcW w:w="801" w:type="dxa"/>
                  <w:vAlign w:val="center"/>
                </w:tcPr>
                <w:p w14:paraId="45355430"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1.0</w:t>
                  </w:r>
                </w:p>
              </w:tc>
            </w:tr>
            <w:tr w:rsidR="0022699D" w:rsidRPr="0022699D" w14:paraId="39ACD4C5" w14:textId="77777777" w:rsidTr="004A4C21">
              <w:trPr>
                <w:trHeight w:val="46"/>
                <w:jc w:val="center"/>
              </w:trPr>
              <w:tc>
                <w:tcPr>
                  <w:tcW w:w="2090" w:type="dxa"/>
                  <w:shd w:val="clear" w:color="auto" w:fill="auto"/>
                  <w:vAlign w:val="center"/>
                </w:tcPr>
                <w:p w14:paraId="4F850A34" w14:textId="77777777" w:rsidR="0022699D" w:rsidRPr="0022699D" w:rsidRDefault="0022699D" w:rsidP="0022699D">
                  <w:pPr>
                    <w:rPr>
                      <w:rFonts w:ascii="Times New Roman" w:hAnsi="Times New Roman"/>
                      <w:sz w:val="16"/>
                      <w:szCs w:val="18"/>
                      <w:u w:val="single"/>
                    </w:rPr>
                  </w:pPr>
                  <w:r w:rsidRPr="0022699D">
                    <w:rPr>
                      <w:rFonts w:ascii="Times New Roman" w:hAnsi="Times New Roman"/>
                      <w:sz w:val="16"/>
                      <w:szCs w:val="18"/>
                    </w:rPr>
                    <w:t xml:space="preserve">    Reino Unido</w:t>
                  </w:r>
                </w:p>
              </w:tc>
              <w:tc>
                <w:tcPr>
                  <w:tcW w:w="589" w:type="dxa"/>
                </w:tcPr>
                <w:p w14:paraId="3DE54109"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1.5</w:t>
                  </w:r>
                </w:p>
              </w:tc>
              <w:tc>
                <w:tcPr>
                  <w:tcW w:w="801" w:type="dxa"/>
                </w:tcPr>
                <w:p w14:paraId="1EFCCF70"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0.6</w:t>
                  </w:r>
                </w:p>
              </w:tc>
              <w:tc>
                <w:tcPr>
                  <w:tcW w:w="647" w:type="dxa"/>
                  <w:shd w:val="clear" w:color="auto" w:fill="auto"/>
                  <w:vAlign w:val="center"/>
                </w:tcPr>
                <w:p w14:paraId="63AEB501"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0.9</w:t>
                  </w:r>
                </w:p>
              </w:tc>
              <w:tc>
                <w:tcPr>
                  <w:tcW w:w="589" w:type="dxa"/>
                  <w:shd w:val="clear" w:color="auto" w:fill="auto"/>
                  <w:vAlign w:val="center"/>
                </w:tcPr>
                <w:p w14:paraId="4062E5D8"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1.0</w:t>
                  </w:r>
                </w:p>
              </w:tc>
              <w:tc>
                <w:tcPr>
                  <w:tcW w:w="607" w:type="dxa"/>
                  <w:shd w:val="clear" w:color="auto" w:fill="auto"/>
                  <w:vAlign w:val="center"/>
                </w:tcPr>
                <w:p w14:paraId="2D185A53"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1.0</w:t>
                  </w:r>
                </w:p>
              </w:tc>
              <w:tc>
                <w:tcPr>
                  <w:tcW w:w="801" w:type="dxa"/>
                  <w:vAlign w:val="center"/>
                </w:tcPr>
                <w:p w14:paraId="1A4DE73D"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0.6</w:t>
                  </w:r>
                </w:p>
              </w:tc>
            </w:tr>
            <w:tr w:rsidR="0022699D" w:rsidRPr="0022699D" w14:paraId="6766F002" w14:textId="77777777" w:rsidTr="004A4C21">
              <w:trPr>
                <w:trHeight w:val="46"/>
                <w:jc w:val="center"/>
              </w:trPr>
              <w:tc>
                <w:tcPr>
                  <w:tcW w:w="2090" w:type="dxa"/>
                  <w:shd w:val="clear" w:color="auto" w:fill="auto"/>
                  <w:vAlign w:val="center"/>
                </w:tcPr>
                <w:p w14:paraId="366B5997" w14:textId="77777777" w:rsidR="0022699D" w:rsidRPr="0022699D" w:rsidRDefault="0022699D" w:rsidP="0022699D">
                  <w:pPr>
                    <w:rPr>
                      <w:rFonts w:ascii="Times New Roman" w:hAnsi="Times New Roman"/>
                      <w:sz w:val="16"/>
                      <w:szCs w:val="18"/>
                      <w:u w:val="single"/>
                    </w:rPr>
                  </w:pPr>
                  <w:r w:rsidRPr="0022699D">
                    <w:rPr>
                      <w:rFonts w:ascii="Times New Roman" w:hAnsi="Times New Roman"/>
                      <w:sz w:val="16"/>
                      <w:szCs w:val="18"/>
                    </w:rPr>
                    <w:t xml:space="preserve">    Canadá</w:t>
                  </w:r>
                </w:p>
              </w:tc>
              <w:tc>
                <w:tcPr>
                  <w:tcW w:w="589" w:type="dxa"/>
                </w:tcPr>
                <w:p w14:paraId="4F58CF65"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1.7</w:t>
                  </w:r>
                </w:p>
              </w:tc>
              <w:tc>
                <w:tcPr>
                  <w:tcW w:w="801" w:type="dxa"/>
                </w:tcPr>
                <w:p w14:paraId="1D1931DB"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1.6</w:t>
                  </w:r>
                </w:p>
              </w:tc>
              <w:tc>
                <w:tcPr>
                  <w:tcW w:w="647" w:type="dxa"/>
                  <w:shd w:val="clear" w:color="auto" w:fill="auto"/>
                  <w:vAlign w:val="center"/>
                </w:tcPr>
                <w:p w14:paraId="6A9A6211"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1.5</w:t>
                  </w:r>
                </w:p>
              </w:tc>
              <w:tc>
                <w:tcPr>
                  <w:tcW w:w="589" w:type="dxa"/>
                  <w:shd w:val="clear" w:color="auto" w:fill="auto"/>
                  <w:vAlign w:val="center"/>
                </w:tcPr>
                <w:p w14:paraId="3FB11944"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1.5</w:t>
                  </w:r>
                </w:p>
              </w:tc>
              <w:tc>
                <w:tcPr>
                  <w:tcW w:w="607" w:type="dxa"/>
                  <w:shd w:val="clear" w:color="auto" w:fill="auto"/>
                  <w:vAlign w:val="center"/>
                </w:tcPr>
                <w:p w14:paraId="08231F8C"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1.4</w:t>
                  </w:r>
                </w:p>
              </w:tc>
              <w:tc>
                <w:tcPr>
                  <w:tcW w:w="801" w:type="dxa"/>
                  <w:vAlign w:val="center"/>
                </w:tcPr>
                <w:p w14:paraId="467DE92B"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1.6</w:t>
                  </w:r>
                </w:p>
              </w:tc>
            </w:tr>
            <w:tr w:rsidR="0022699D" w:rsidRPr="0022699D" w14:paraId="70830F3C" w14:textId="77777777" w:rsidTr="004A4C21">
              <w:trPr>
                <w:trHeight w:val="46"/>
                <w:jc w:val="center"/>
              </w:trPr>
              <w:tc>
                <w:tcPr>
                  <w:tcW w:w="2090" w:type="dxa"/>
                  <w:shd w:val="clear" w:color="auto" w:fill="auto"/>
                  <w:vAlign w:val="center"/>
                </w:tcPr>
                <w:p w14:paraId="73127150" w14:textId="77777777" w:rsidR="0022699D" w:rsidRPr="0022699D" w:rsidRDefault="0022699D" w:rsidP="0022699D">
                  <w:pPr>
                    <w:rPr>
                      <w:rFonts w:ascii="Times New Roman" w:hAnsi="Times New Roman"/>
                      <w:b/>
                      <w:bCs/>
                      <w:sz w:val="16"/>
                      <w:szCs w:val="18"/>
                      <w:u w:val="single"/>
                    </w:rPr>
                  </w:pPr>
                  <w:r w:rsidRPr="0022699D">
                    <w:rPr>
                      <w:rFonts w:ascii="Times New Roman" w:hAnsi="Times New Roman"/>
                      <w:b/>
                      <w:bCs/>
                      <w:sz w:val="16"/>
                      <w:szCs w:val="18"/>
                    </w:rPr>
                    <w:t xml:space="preserve">  EMDE</w:t>
                  </w:r>
                </w:p>
              </w:tc>
              <w:tc>
                <w:tcPr>
                  <w:tcW w:w="589" w:type="dxa"/>
                  <w:vAlign w:val="center"/>
                </w:tcPr>
                <w:p w14:paraId="2591FC2E"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4.6</w:t>
                  </w:r>
                </w:p>
              </w:tc>
              <w:tc>
                <w:tcPr>
                  <w:tcW w:w="801" w:type="dxa"/>
                  <w:vAlign w:val="center"/>
                </w:tcPr>
                <w:p w14:paraId="6C843CC3"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4.2</w:t>
                  </w:r>
                </w:p>
              </w:tc>
              <w:tc>
                <w:tcPr>
                  <w:tcW w:w="647" w:type="dxa"/>
                  <w:shd w:val="clear" w:color="auto" w:fill="auto"/>
                  <w:vAlign w:val="center"/>
                </w:tcPr>
                <w:p w14:paraId="281BECB1"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4.2</w:t>
                  </w:r>
                </w:p>
              </w:tc>
              <w:tc>
                <w:tcPr>
                  <w:tcW w:w="589" w:type="dxa"/>
                  <w:shd w:val="clear" w:color="auto" w:fill="auto"/>
                  <w:vAlign w:val="center"/>
                </w:tcPr>
                <w:p w14:paraId="525412D9"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4.2</w:t>
                  </w:r>
                </w:p>
              </w:tc>
              <w:tc>
                <w:tcPr>
                  <w:tcW w:w="607" w:type="dxa"/>
                  <w:shd w:val="clear" w:color="auto" w:fill="auto"/>
                  <w:vAlign w:val="center"/>
                </w:tcPr>
                <w:p w14:paraId="7E63F2C8"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4.1</w:t>
                  </w:r>
                </w:p>
              </w:tc>
              <w:tc>
                <w:tcPr>
                  <w:tcW w:w="801" w:type="dxa"/>
                  <w:vAlign w:val="center"/>
                </w:tcPr>
                <w:p w14:paraId="5B65EEB2"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4.0</w:t>
                  </w:r>
                </w:p>
              </w:tc>
            </w:tr>
            <w:tr w:rsidR="0022699D" w:rsidRPr="0022699D" w14:paraId="3710ED49" w14:textId="77777777" w:rsidTr="004A4C21">
              <w:trPr>
                <w:trHeight w:val="46"/>
                <w:jc w:val="center"/>
              </w:trPr>
              <w:tc>
                <w:tcPr>
                  <w:tcW w:w="2090" w:type="dxa"/>
                  <w:shd w:val="clear" w:color="auto" w:fill="auto"/>
                  <w:vAlign w:val="center"/>
                </w:tcPr>
                <w:p w14:paraId="6EEC5233" w14:textId="77777777" w:rsidR="0022699D" w:rsidRPr="0022699D" w:rsidRDefault="0022699D" w:rsidP="0022699D">
                  <w:pPr>
                    <w:rPr>
                      <w:rFonts w:ascii="Times New Roman" w:hAnsi="Times New Roman"/>
                      <w:sz w:val="16"/>
                      <w:szCs w:val="18"/>
                      <w:u w:val="single"/>
                    </w:rPr>
                  </w:pPr>
                  <w:r w:rsidRPr="0022699D">
                    <w:rPr>
                      <w:rFonts w:ascii="Times New Roman" w:hAnsi="Times New Roman"/>
                      <w:sz w:val="16"/>
                      <w:szCs w:val="18"/>
                    </w:rPr>
                    <w:t xml:space="preserve">    China</w:t>
                  </w:r>
                </w:p>
              </w:tc>
              <w:tc>
                <w:tcPr>
                  <w:tcW w:w="589" w:type="dxa"/>
                </w:tcPr>
                <w:p w14:paraId="7B1A73D2"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5.1</w:t>
                  </w:r>
                </w:p>
              </w:tc>
              <w:tc>
                <w:tcPr>
                  <w:tcW w:w="801" w:type="dxa"/>
                </w:tcPr>
                <w:p w14:paraId="40DA44E3"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4.5</w:t>
                  </w:r>
                </w:p>
              </w:tc>
              <w:tc>
                <w:tcPr>
                  <w:tcW w:w="647" w:type="dxa"/>
                  <w:shd w:val="clear" w:color="auto" w:fill="auto"/>
                  <w:vAlign w:val="center"/>
                </w:tcPr>
                <w:p w14:paraId="10918D36"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4.5</w:t>
                  </w:r>
                </w:p>
              </w:tc>
              <w:tc>
                <w:tcPr>
                  <w:tcW w:w="589" w:type="dxa"/>
                  <w:shd w:val="clear" w:color="auto" w:fill="auto"/>
                  <w:vAlign w:val="center"/>
                </w:tcPr>
                <w:p w14:paraId="3AE314CD"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4.5</w:t>
                  </w:r>
                </w:p>
              </w:tc>
              <w:tc>
                <w:tcPr>
                  <w:tcW w:w="607" w:type="dxa"/>
                  <w:shd w:val="clear" w:color="auto" w:fill="auto"/>
                  <w:vAlign w:val="center"/>
                </w:tcPr>
                <w:p w14:paraId="34A1E18D"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4.5</w:t>
                  </w:r>
                </w:p>
              </w:tc>
              <w:tc>
                <w:tcPr>
                  <w:tcW w:w="801" w:type="dxa"/>
                  <w:vAlign w:val="center"/>
                </w:tcPr>
                <w:p w14:paraId="4156B956"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4.2</w:t>
                  </w:r>
                </w:p>
              </w:tc>
            </w:tr>
            <w:tr w:rsidR="0022699D" w:rsidRPr="0022699D" w14:paraId="79084891" w14:textId="77777777" w:rsidTr="004A4C21">
              <w:trPr>
                <w:trHeight w:val="46"/>
                <w:jc w:val="center"/>
              </w:trPr>
              <w:tc>
                <w:tcPr>
                  <w:tcW w:w="2090" w:type="dxa"/>
                  <w:shd w:val="clear" w:color="auto" w:fill="auto"/>
                  <w:vAlign w:val="center"/>
                </w:tcPr>
                <w:p w14:paraId="1F6BE994" w14:textId="77777777" w:rsidR="0022699D" w:rsidRPr="0022699D" w:rsidRDefault="0022699D" w:rsidP="0022699D">
                  <w:pPr>
                    <w:rPr>
                      <w:rFonts w:ascii="Times New Roman" w:hAnsi="Times New Roman"/>
                      <w:sz w:val="16"/>
                      <w:szCs w:val="18"/>
                      <w:u w:val="single"/>
                    </w:rPr>
                  </w:pPr>
                  <w:r w:rsidRPr="0022699D">
                    <w:rPr>
                      <w:rFonts w:ascii="Times New Roman" w:hAnsi="Times New Roman"/>
                      <w:sz w:val="16"/>
                      <w:szCs w:val="18"/>
                    </w:rPr>
                    <w:t xml:space="preserve">    India</w:t>
                  </w:r>
                </w:p>
              </w:tc>
              <w:tc>
                <w:tcPr>
                  <w:tcW w:w="589" w:type="dxa"/>
                </w:tcPr>
                <w:p w14:paraId="09ECA75D"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7.0</w:t>
                  </w:r>
                </w:p>
              </w:tc>
              <w:tc>
                <w:tcPr>
                  <w:tcW w:w="801" w:type="dxa"/>
                </w:tcPr>
                <w:p w14:paraId="56DD5108"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6.8</w:t>
                  </w:r>
                </w:p>
              </w:tc>
              <w:tc>
                <w:tcPr>
                  <w:tcW w:w="647" w:type="dxa"/>
                  <w:shd w:val="clear" w:color="auto" w:fill="auto"/>
                  <w:vAlign w:val="center"/>
                </w:tcPr>
                <w:p w14:paraId="037A8D3B"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6.8</w:t>
                  </w:r>
                </w:p>
              </w:tc>
              <w:tc>
                <w:tcPr>
                  <w:tcW w:w="589" w:type="dxa"/>
                  <w:shd w:val="clear" w:color="auto" w:fill="auto"/>
                  <w:vAlign w:val="center"/>
                </w:tcPr>
                <w:p w14:paraId="0F88C470"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6.3</w:t>
                  </w:r>
                </w:p>
              </w:tc>
              <w:tc>
                <w:tcPr>
                  <w:tcW w:w="607" w:type="dxa"/>
                  <w:shd w:val="clear" w:color="auto" w:fill="auto"/>
                  <w:vAlign w:val="center"/>
                </w:tcPr>
                <w:p w14:paraId="0CE4B26A"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6.3</w:t>
                  </w:r>
                </w:p>
              </w:tc>
              <w:tc>
                <w:tcPr>
                  <w:tcW w:w="801" w:type="dxa"/>
                  <w:vAlign w:val="center"/>
                </w:tcPr>
                <w:p w14:paraId="3C9D490D"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6.3</w:t>
                  </w:r>
                </w:p>
              </w:tc>
            </w:tr>
            <w:tr w:rsidR="0022699D" w:rsidRPr="0022699D" w14:paraId="7407074B" w14:textId="77777777" w:rsidTr="004A4C21">
              <w:trPr>
                <w:trHeight w:val="46"/>
                <w:jc w:val="center"/>
              </w:trPr>
              <w:tc>
                <w:tcPr>
                  <w:tcW w:w="2090" w:type="dxa"/>
                  <w:shd w:val="clear" w:color="auto" w:fill="auto"/>
                  <w:vAlign w:val="center"/>
                </w:tcPr>
                <w:p w14:paraId="4DD4E281" w14:textId="77777777" w:rsidR="0022699D" w:rsidRPr="0022699D" w:rsidRDefault="0022699D" w:rsidP="0022699D">
                  <w:pPr>
                    <w:rPr>
                      <w:rFonts w:ascii="Times New Roman" w:hAnsi="Times New Roman"/>
                      <w:sz w:val="16"/>
                      <w:szCs w:val="18"/>
                      <w:u w:val="single"/>
                    </w:rPr>
                  </w:pPr>
                  <w:r w:rsidRPr="0022699D">
                    <w:rPr>
                      <w:rFonts w:ascii="Times New Roman" w:hAnsi="Times New Roman"/>
                      <w:sz w:val="16"/>
                      <w:szCs w:val="18"/>
                    </w:rPr>
                    <w:t xml:space="preserve">    Rusia</w:t>
                  </w:r>
                </w:p>
              </w:tc>
              <w:tc>
                <w:tcPr>
                  <w:tcW w:w="589" w:type="dxa"/>
                </w:tcPr>
                <w:p w14:paraId="7B024434" w14:textId="77777777" w:rsidR="0022699D" w:rsidRPr="0022699D" w:rsidRDefault="0022699D" w:rsidP="0022699D">
                  <w:pPr>
                    <w:jc w:val="center"/>
                    <w:rPr>
                      <w:rFonts w:ascii="Times New Roman" w:hAnsi="Times New Roman"/>
                      <w:sz w:val="16"/>
                      <w:szCs w:val="18"/>
                      <w:lang w:val="es-GT"/>
                    </w:rPr>
                  </w:pPr>
                </w:p>
              </w:tc>
              <w:tc>
                <w:tcPr>
                  <w:tcW w:w="801" w:type="dxa"/>
                </w:tcPr>
                <w:p w14:paraId="20FF7AD3"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1.5</w:t>
                  </w:r>
                </w:p>
              </w:tc>
              <w:tc>
                <w:tcPr>
                  <w:tcW w:w="647" w:type="dxa"/>
                  <w:shd w:val="clear" w:color="auto" w:fill="auto"/>
                  <w:vAlign w:val="center"/>
                </w:tcPr>
                <w:p w14:paraId="0417B4EA"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2.1</w:t>
                  </w:r>
                </w:p>
              </w:tc>
              <w:tc>
                <w:tcPr>
                  <w:tcW w:w="589" w:type="dxa"/>
                  <w:shd w:val="clear" w:color="auto" w:fill="auto"/>
                  <w:vAlign w:val="center"/>
                </w:tcPr>
                <w:p w14:paraId="1C843AB2"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1.3</w:t>
                  </w:r>
                </w:p>
              </w:tc>
              <w:tc>
                <w:tcPr>
                  <w:tcW w:w="607" w:type="dxa"/>
                  <w:shd w:val="clear" w:color="auto" w:fill="auto"/>
                  <w:vAlign w:val="center"/>
                </w:tcPr>
                <w:p w14:paraId="17CC6F4C"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1.3</w:t>
                  </w:r>
                </w:p>
              </w:tc>
              <w:tc>
                <w:tcPr>
                  <w:tcW w:w="801" w:type="dxa"/>
                  <w:vAlign w:val="center"/>
                </w:tcPr>
                <w:p w14:paraId="18D665AB"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1.1</w:t>
                  </w:r>
                </w:p>
              </w:tc>
            </w:tr>
            <w:tr w:rsidR="0022699D" w:rsidRPr="0022699D" w14:paraId="14318E1D" w14:textId="77777777" w:rsidTr="004A4C21">
              <w:trPr>
                <w:trHeight w:val="46"/>
                <w:jc w:val="center"/>
              </w:trPr>
              <w:tc>
                <w:tcPr>
                  <w:tcW w:w="2090" w:type="dxa"/>
                  <w:shd w:val="clear" w:color="auto" w:fill="auto"/>
                  <w:vAlign w:val="center"/>
                </w:tcPr>
                <w:p w14:paraId="4CAFAE99" w14:textId="77777777" w:rsidR="0022699D" w:rsidRPr="0022699D" w:rsidRDefault="0022699D" w:rsidP="0022699D">
                  <w:pPr>
                    <w:rPr>
                      <w:rFonts w:ascii="Times New Roman" w:hAnsi="Times New Roman"/>
                      <w:sz w:val="16"/>
                      <w:szCs w:val="18"/>
                      <w:u w:val="single"/>
                    </w:rPr>
                  </w:pPr>
                  <w:r w:rsidRPr="0022699D">
                    <w:rPr>
                      <w:rFonts w:ascii="Times New Roman" w:hAnsi="Times New Roman"/>
                      <w:sz w:val="16"/>
                      <w:szCs w:val="18"/>
                    </w:rPr>
                    <w:t xml:space="preserve">    América Latina y el Caribe</w:t>
                  </w:r>
                </w:p>
              </w:tc>
              <w:tc>
                <w:tcPr>
                  <w:tcW w:w="589" w:type="dxa"/>
                </w:tcPr>
                <w:p w14:paraId="0ACA0238"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2.5</w:t>
                  </w:r>
                </w:p>
              </w:tc>
              <w:tc>
                <w:tcPr>
                  <w:tcW w:w="801" w:type="dxa"/>
                </w:tcPr>
                <w:p w14:paraId="02C3E1A2"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2.4</w:t>
                  </w:r>
                </w:p>
              </w:tc>
              <w:tc>
                <w:tcPr>
                  <w:tcW w:w="647" w:type="dxa"/>
                  <w:shd w:val="clear" w:color="auto" w:fill="auto"/>
                  <w:vAlign w:val="center"/>
                </w:tcPr>
                <w:p w14:paraId="2FB3BBAD"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2.1</w:t>
                  </w:r>
                </w:p>
              </w:tc>
              <w:tc>
                <w:tcPr>
                  <w:tcW w:w="589" w:type="dxa"/>
                  <w:shd w:val="clear" w:color="auto" w:fill="auto"/>
                  <w:vAlign w:val="center"/>
                </w:tcPr>
                <w:p w14:paraId="1D339BB1"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2.2</w:t>
                  </w:r>
                </w:p>
              </w:tc>
              <w:tc>
                <w:tcPr>
                  <w:tcW w:w="607" w:type="dxa"/>
                  <w:shd w:val="clear" w:color="auto" w:fill="auto"/>
                  <w:vAlign w:val="center"/>
                </w:tcPr>
                <w:p w14:paraId="5FE8967D"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2.2</w:t>
                  </w:r>
                </w:p>
              </w:tc>
              <w:tc>
                <w:tcPr>
                  <w:tcW w:w="801" w:type="dxa"/>
                  <w:vAlign w:val="center"/>
                </w:tcPr>
                <w:p w14:paraId="78E2144C" w14:textId="77777777" w:rsidR="0022699D" w:rsidRPr="0022699D" w:rsidRDefault="0022699D" w:rsidP="0022699D">
                  <w:pPr>
                    <w:jc w:val="center"/>
                    <w:rPr>
                      <w:rFonts w:ascii="Times New Roman" w:hAnsi="Times New Roman"/>
                      <w:sz w:val="16"/>
                      <w:szCs w:val="18"/>
                      <w:lang w:val="es-GT"/>
                    </w:rPr>
                  </w:pPr>
                  <w:r w:rsidRPr="0022699D">
                    <w:rPr>
                      <w:rFonts w:ascii="Times New Roman" w:hAnsi="Times New Roman"/>
                      <w:sz w:val="16"/>
                      <w:szCs w:val="18"/>
                      <w:lang w:val="es-GT"/>
                    </w:rPr>
                    <w:t>2.3</w:t>
                  </w:r>
                </w:p>
              </w:tc>
            </w:tr>
          </w:tbl>
          <w:p w14:paraId="4C25B498" w14:textId="77777777" w:rsidR="0022699D" w:rsidRPr="0022699D" w:rsidRDefault="0022699D" w:rsidP="0022699D">
            <w:pPr>
              <w:spacing w:line="276" w:lineRule="auto"/>
              <w:contextualSpacing/>
              <w:jc w:val="both"/>
              <w:rPr>
                <w:rFonts w:ascii="Times New Roman" w:eastAsia="Times New Roman" w:hAnsi="Times New Roman" w:cs="Calibri"/>
                <w:sz w:val="22"/>
                <w:szCs w:val="22"/>
              </w:rPr>
            </w:pPr>
          </w:p>
        </w:tc>
      </w:tr>
      <w:tr w:rsidR="0022699D" w:rsidRPr="0022699D" w14:paraId="17E26FF3" w14:textId="77777777" w:rsidTr="00973C72">
        <w:tc>
          <w:tcPr>
            <w:tcW w:w="8828" w:type="dxa"/>
          </w:tcPr>
          <w:p w14:paraId="2B708D1E" w14:textId="77777777" w:rsidR="0022699D" w:rsidRPr="0022699D" w:rsidRDefault="0022699D" w:rsidP="0022699D">
            <w:pPr>
              <w:rPr>
                <w:rFonts w:ascii="Times New Roman" w:eastAsia="Times New Roman" w:hAnsi="Times New Roman" w:cs="Calibri"/>
                <w:sz w:val="22"/>
                <w:szCs w:val="22"/>
                <w:lang w:val="es-GT"/>
              </w:rPr>
            </w:pPr>
            <w:r w:rsidRPr="0022699D">
              <w:rPr>
                <w:rFonts w:ascii="Times New Roman" w:hAnsi="Times New Roman"/>
                <w:sz w:val="16"/>
              </w:rPr>
              <w:t xml:space="preserve">                                     </w:t>
            </w:r>
            <w:r w:rsidRPr="00F22DD8">
              <w:rPr>
                <w:rFonts w:ascii="Times New Roman" w:hAnsi="Times New Roman"/>
                <w:sz w:val="18"/>
                <w:szCs w:val="28"/>
              </w:rPr>
              <w:t>Fuente:  FMI, Perspectivas de la economía mundial (WEO).</w:t>
            </w:r>
          </w:p>
        </w:tc>
      </w:tr>
    </w:tbl>
    <w:p w14:paraId="64ED6BA8" w14:textId="77777777" w:rsidR="0022699D" w:rsidRPr="0022699D" w:rsidRDefault="0022699D" w:rsidP="0022699D">
      <w:pPr>
        <w:spacing w:line="276" w:lineRule="auto"/>
        <w:contextualSpacing/>
        <w:jc w:val="both"/>
        <w:rPr>
          <w:rFonts w:ascii="Times New Roman" w:eastAsia="Times New Roman" w:hAnsi="Times New Roman" w:cs="Calibri"/>
          <w:sz w:val="22"/>
          <w:szCs w:val="22"/>
        </w:rPr>
      </w:pPr>
    </w:p>
    <w:p w14:paraId="0347F695" w14:textId="16D131F4" w:rsidR="0022699D" w:rsidRPr="0022699D" w:rsidRDefault="002F5044" w:rsidP="00483FA3">
      <w:pPr>
        <w:keepNext/>
        <w:keepLines/>
        <w:tabs>
          <w:tab w:val="left" w:pos="1134"/>
        </w:tabs>
        <w:spacing w:line="276" w:lineRule="auto"/>
        <w:ind w:left="567" w:hanging="283"/>
        <w:contextualSpacing/>
        <w:jc w:val="both"/>
        <w:outlineLvl w:val="1"/>
        <w:rPr>
          <w:rFonts w:ascii="Times New Roman" w:eastAsiaTheme="majorEastAsia" w:hAnsi="Times New Roman" w:cs="Times New Roman"/>
          <w:b/>
          <w:bCs/>
          <w:sz w:val="22"/>
          <w:szCs w:val="22"/>
        </w:rPr>
      </w:pPr>
      <w:bookmarkStart w:id="155" w:name="_Toc125723296"/>
      <w:bookmarkStart w:id="156" w:name="_Toc160196864"/>
      <w:r w:rsidRPr="00F22DD8">
        <w:rPr>
          <w:rFonts w:ascii="Times New Roman" w:eastAsiaTheme="majorEastAsia" w:hAnsi="Times New Roman" w:cs="Times New Roman"/>
          <w:b/>
          <w:bCs/>
        </w:rPr>
        <w:t xml:space="preserve">8.2 </w:t>
      </w:r>
      <w:r w:rsidR="0022699D" w:rsidRPr="00F22DD8">
        <w:rPr>
          <w:rFonts w:ascii="Times New Roman" w:eastAsiaTheme="majorEastAsia" w:hAnsi="Times New Roman" w:cs="Times New Roman"/>
          <w:b/>
          <w:bCs/>
        </w:rPr>
        <w:t>Supuestos del comercio mundial</w:t>
      </w:r>
      <w:bookmarkEnd w:id="155"/>
      <w:bookmarkEnd w:id="156"/>
    </w:p>
    <w:p w14:paraId="7ACB70D7" w14:textId="77777777" w:rsidR="0022699D" w:rsidRPr="0022699D" w:rsidRDefault="0022699D" w:rsidP="00483FA3">
      <w:pPr>
        <w:contextualSpacing/>
        <w:jc w:val="both"/>
        <w:rPr>
          <w:rFonts w:ascii="Times New Roman" w:eastAsia="Times New Roman" w:hAnsi="Times New Roman" w:cs="Calibri"/>
          <w:sz w:val="22"/>
          <w:szCs w:val="22"/>
        </w:rPr>
      </w:pPr>
    </w:p>
    <w:p w14:paraId="69B4E995" w14:textId="7189BB87" w:rsidR="0022699D" w:rsidRPr="0022699D" w:rsidRDefault="0022699D" w:rsidP="00483FA3">
      <w:pPr>
        <w:contextualSpacing/>
        <w:jc w:val="both"/>
        <w:rPr>
          <w:rFonts w:ascii="Times New Roman" w:eastAsia="Times New Roman" w:hAnsi="Times New Roman" w:cs="Calibri"/>
          <w:sz w:val="22"/>
          <w:szCs w:val="22"/>
        </w:rPr>
      </w:pPr>
      <w:r w:rsidRPr="0022699D">
        <w:rPr>
          <w:rFonts w:ascii="Times New Roman" w:eastAsia="Times New Roman" w:hAnsi="Times New Roman" w:cs="Calibri"/>
          <w:sz w:val="22"/>
          <w:szCs w:val="22"/>
        </w:rPr>
        <w:t xml:space="preserve">La Organización Mundial para el Comercio </w:t>
      </w:r>
      <w:r w:rsidR="00FA6735">
        <w:rPr>
          <w:rFonts w:ascii="Times New Roman" w:eastAsia="Times New Roman" w:hAnsi="Times New Roman" w:cs="Calibri"/>
          <w:sz w:val="22"/>
          <w:szCs w:val="22"/>
        </w:rPr>
        <w:t xml:space="preserve">(OMC) </w:t>
      </w:r>
      <w:r w:rsidRPr="0022699D">
        <w:rPr>
          <w:rFonts w:ascii="Times New Roman" w:eastAsia="Times New Roman" w:hAnsi="Times New Roman" w:cs="Calibri"/>
          <w:sz w:val="22"/>
          <w:szCs w:val="22"/>
        </w:rPr>
        <w:t xml:space="preserve">indicó en sus perspectivas de octubre de 2023 que el volumen del comercio de mercancías a nivel mundial cerraría con un crecimiento de 0.8%, 2.2 </w:t>
      </w:r>
      <w:r w:rsidRPr="0022699D">
        <w:rPr>
          <w:rFonts w:ascii="Times New Roman" w:eastAsia="Times New Roman" w:hAnsi="Times New Roman" w:cs="Calibri"/>
          <w:sz w:val="22"/>
          <w:szCs w:val="22"/>
        </w:rPr>
        <w:lastRenderedPageBreak/>
        <w:t>puntos porcentuales menor al crecimiento de 2022. Los elementos que contribuyeron a la desaceleración del comercio fueron la inflación, los altos tipos de interés, la apreciación del dólar estadounidense y las tensiones geopolíticas. Por su parte</w:t>
      </w:r>
      <w:r w:rsidR="009519EC">
        <w:rPr>
          <w:rFonts w:ascii="Times New Roman" w:eastAsia="Times New Roman" w:hAnsi="Times New Roman" w:cs="Calibri"/>
          <w:sz w:val="22"/>
          <w:szCs w:val="22"/>
        </w:rPr>
        <w:t>,</w:t>
      </w:r>
      <w:r w:rsidRPr="0022699D">
        <w:rPr>
          <w:rFonts w:ascii="Times New Roman" w:eastAsia="Times New Roman" w:hAnsi="Times New Roman" w:cs="Calibri"/>
          <w:sz w:val="22"/>
          <w:szCs w:val="22"/>
        </w:rPr>
        <w:t xml:space="preserve"> el Banco Mundial prevé que el comercio aumente en 2024, ubicándose en 3.2% debido a la expansión del comercio de mercancías. En lo que respecta a los servicios se espera que su contribución disminuya retomando los patrones observados antes de la pandemia. </w:t>
      </w:r>
    </w:p>
    <w:p w14:paraId="5C71E540" w14:textId="77777777" w:rsidR="0022699D" w:rsidRPr="0022699D" w:rsidRDefault="0022699D" w:rsidP="00483FA3">
      <w:pPr>
        <w:contextualSpacing/>
        <w:jc w:val="both"/>
        <w:rPr>
          <w:rFonts w:ascii="Times New Roman" w:eastAsia="Times New Roman" w:hAnsi="Times New Roman" w:cs="Calibri"/>
          <w:sz w:val="22"/>
          <w:szCs w:val="22"/>
        </w:rPr>
      </w:pPr>
    </w:p>
    <w:p w14:paraId="1874A636" w14:textId="77777777" w:rsidR="0022699D" w:rsidRPr="0022699D" w:rsidRDefault="0022699D" w:rsidP="00483FA3">
      <w:pPr>
        <w:contextualSpacing/>
        <w:jc w:val="both"/>
        <w:rPr>
          <w:rFonts w:ascii="Times New Roman" w:eastAsia="Times New Roman" w:hAnsi="Times New Roman" w:cs="Calibri"/>
          <w:sz w:val="22"/>
          <w:szCs w:val="22"/>
        </w:rPr>
      </w:pPr>
      <w:r w:rsidRPr="0022699D">
        <w:rPr>
          <w:rFonts w:ascii="Times New Roman" w:eastAsia="Times New Roman" w:hAnsi="Times New Roman" w:cs="Calibri"/>
          <w:sz w:val="22"/>
          <w:szCs w:val="22"/>
        </w:rPr>
        <w:t>Entre los riesgos a la baja de las perspectivas del crecimiento del comercio mundial destacan una desaceleración más pronunciada de lo previsto en China y el resurgimiento del aumento de la inflación en economías avanzadas, lo que llevaría a mantener las tasas de interés altas. Entre los riesgos al alza en el crecimiento del comercio mundial se encuentran una inflación que podría disminuir más rápido, lo que permitiría a los países ceder con las políticas monetarias contractivas.  En general los riesgos se perciben equilibrados, aunque el crecimiento podría ser mayor si con los datos observados del 2023 la base disminuye.</w:t>
      </w:r>
    </w:p>
    <w:p w14:paraId="15A6581E" w14:textId="77777777" w:rsidR="00BE1C08" w:rsidRPr="0022699D" w:rsidRDefault="00BE1C08" w:rsidP="00483FA3">
      <w:pPr>
        <w:contextualSpacing/>
        <w:jc w:val="both"/>
        <w:rPr>
          <w:rFonts w:ascii="Times New Roman" w:eastAsia="Times New Roman" w:hAnsi="Times New Roman" w:cs="Calibri"/>
          <w:sz w:val="22"/>
          <w:szCs w:val="22"/>
        </w:rPr>
      </w:pPr>
    </w:p>
    <w:tbl>
      <w:tblPr>
        <w:tblStyle w:val="Tablaconcuadrcu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1"/>
        <w:gridCol w:w="4329"/>
      </w:tblGrid>
      <w:tr w:rsidR="0022699D" w:rsidRPr="0022699D" w14:paraId="36D36BB9" w14:textId="77777777" w:rsidTr="00973C72">
        <w:tc>
          <w:tcPr>
            <w:tcW w:w="8730" w:type="dxa"/>
            <w:gridSpan w:val="2"/>
          </w:tcPr>
          <w:p w14:paraId="778EA817" w14:textId="5148BC21" w:rsidR="0022699D" w:rsidRPr="00483FA3" w:rsidRDefault="00483FA3" w:rsidP="00483FA3">
            <w:pPr>
              <w:pStyle w:val="Descripcin"/>
              <w:keepNext/>
              <w:spacing w:after="0"/>
              <w:jc w:val="center"/>
              <w:rPr>
                <w:sz w:val="22"/>
                <w:szCs w:val="22"/>
              </w:rPr>
            </w:pPr>
            <w:bookmarkStart w:id="157" w:name="_Toc125733219"/>
            <w:bookmarkStart w:id="158" w:name="_Toc158103869"/>
            <w:r w:rsidRPr="00483FA3">
              <w:rPr>
                <w:sz w:val="22"/>
                <w:szCs w:val="22"/>
              </w:rPr>
              <w:t xml:space="preserve">Gráfico </w:t>
            </w:r>
            <w:r w:rsidRPr="00483FA3">
              <w:rPr>
                <w:sz w:val="22"/>
                <w:szCs w:val="22"/>
              </w:rPr>
              <w:fldChar w:fldCharType="begin"/>
            </w:r>
            <w:r w:rsidRPr="00483FA3">
              <w:rPr>
                <w:sz w:val="22"/>
                <w:szCs w:val="22"/>
              </w:rPr>
              <w:instrText xml:space="preserve"> SEQ Gráfico \* ARABIC </w:instrText>
            </w:r>
            <w:r w:rsidRPr="00483FA3">
              <w:rPr>
                <w:sz w:val="22"/>
                <w:szCs w:val="22"/>
              </w:rPr>
              <w:fldChar w:fldCharType="separate"/>
            </w:r>
            <w:r w:rsidR="00C015DC">
              <w:rPr>
                <w:noProof/>
                <w:sz w:val="22"/>
                <w:szCs w:val="22"/>
              </w:rPr>
              <w:t>24</w:t>
            </w:r>
            <w:r w:rsidRPr="00483FA3">
              <w:rPr>
                <w:sz w:val="22"/>
                <w:szCs w:val="22"/>
              </w:rPr>
              <w:fldChar w:fldCharType="end"/>
            </w:r>
            <w:r w:rsidRPr="00483FA3">
              <w:rPr>
                <w:sz w:val="22"/>
                <w:szCs w:val="22"/>
              </w:rPr>
              <w:t xml:space="preserve">.  </w:t>
            </w:r>
            <w:r w:rsidR="0022699D" w:rsidRPr="00483FA3">
              <w:rPr>
                <w:rFonts w:eastAsiaTheme="majorEastAsia" w:cs="Calibri"/>
                <w:bCs/>
                <w:sz w:val="22"/>
                <w:szCs w:val="22"/>
              </w:rPr>
              <w:t>Perspectivas del volumen del comercio mundial de mercancías en 2023 (%)</w:t>
            </w:r>
            <w:bookmarkEnd w:id="157"/>
            <w:bookmarkEnd w:id="158"/>
          </w:p>
        </w:tc>
      </w:tr>
      <w:tr w:rsidR="0022699D" w:rsidRPr="0022699D" w14:paraId="749953AB" w14:textId="77777777" w:rsidTr="00973C72">
        <w:tc>
          <w:tcPr>
            <w:tcW w:w="8730" w:type="dxa"/>
            <w:gridSpan w:val="2"/>
          </w:tcPr>
          <w:p w14:paraId="67D86B4D" w14:textId="77777777" w:rsidR="0022699D" w:rsidRPr="0022699D" w:rsidRDefault="0022699D" w:rsidP="0022699D">
            <w:pPr>
              <w:spacing w:line="276" w:lineRule="auto"/>
              <w:contextualSpacing/>
              <w:jc w:val="center"/>
              <w:rPr>
                <w:rFonts w:ascii="Times New Roman" w:eastAsiaTheme="majorEastAsia" w:hAnsi="Times New Roman" w:cs="Calibri"/>
                <w:b/>
                <w:bCs/>
                <w:sz w:val="22"/>
                <w:szCs w:val="26"/>
              </w:rPr>
            </w:pPr>
            <w:r w:rsidRPr="0022699D">
              <w:rPr>
                <w:rFonts w:ascii="Times New Roman" w:eastAsiaTheme="majorEastAsia" w:hAnsi="Times New Roman" w:cs="Calibri"/>
                <w:b/>
                <w:noProof/>
                <w:sz w:val="22"/>
                <w:szCs w:val="26"/>
              </w:rPr>
              <w:drawing>
                <wp:inline distT="0" distB="0" distL="0" distR="0" wp14:anchorId="5F94ADF4" wp14:editId="706EE70F">
                  <wp:extent cx="5627590" cy="2115047"/>
                  <wp:effectExtent l="0" t="0" r="0" b="0"/>
                  <wp:docPr id="16" name="Gráfic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rsidR="0022699D" w:rsidRPr="0022699D" w14:paraId="023BFBDE" w14:textId="77777777" w:rsidTr="00973C72">
        <w:tc>
          <w:tcPr>
            <w:tcW w:w="8730" w:type="dxa"/>
            <w:gridSpan w:val="2"/>
          </w:tcPr>
          <w:p w14:paraId="392BBA23" w14:textId="77777777" w:rsidR="0022699D" w:rsidRPr="0022699D" w:rsidRDefault="0022699D" w:rsidP="00483FA3">
            <w:pPr>
              <w:contextualSpacing/>
              <w:jc w:val="both"/>
              <w:rPr>
                <w:rFonts w:ascii="Times New Roman" w:eastAsiaTheme="majorEastAsia" w:hAnsi="Times New Roman" w:cs="Calibri"/>
                <w:sz w:val="18"/>
                <w:szCs w:val="18"/>
              </w:rPr>
            </w:pPr>
            <w:r w:rsidRPr="0022699D">
              <w:rPr>
                <w:rFonts w:ascii="Times New Roman" w:eastAsiaTheme="majorEastAsia" w:hAnsi="Times New Roman" w:cs="Calibri"/>
                <w:sz w:val="20"/>
                <w:szCs w:val="22"/>
              </w:rPr>
              <w:t xml:space="preserve">               </w:t>
            </w:r>
            <w:r w:rsidRPr="0022699D">
              <w:rPr>
                <w:rFonts w:ascii="Times New Roman" w:eastAsiaTheme="majorEastAsia" w:hAnsi="Times New Roman" w:cs="Calibri"/>
                <w:sz w:val="18"/>
                <w:szCs w:val="18"/>
              </w:rPr>
              <w:t>Fuente: OMC</w:t>
            </w:r>
          </w:p>
          <w:p w14:paraId="5D90A3A9" w14:textId="77777777" w:rsidR="0022699D" w:rsidRPr="0022699D" w:rsidRDefault="0022699D" w:rsidP="00483FA3">
            <w:pPr>
              <w:contextualSpacing/>
              <w:jc w:val="both"/>
              <w:rPr>
                <w:rFonts w:ascii="Times New Roman" w:eastAsiaTheme="majorEastAsia" w:hAnsi="Times New Roman" w:cs="Calibri"/>
                <w:sz w:val="18"/>
                <w:szCs w:val="18"/>
              </w:rPr>
            </w:pPr>
            <w:r w:rsidRPr="0022699D">
              <w:rPr>
                <w:rFonts w:ascii="Times New Roman" w:eastAsiaTheme="majorEastAsia" w:hAnsi="Times New Roman" w:cs="Calibri"/>
                <w:sz w:val="18"/>
                <w:szCs w:val="18"/>
              </w:rPr>
              <w:t xml:space="preserve">                 e/: estimación de cierre, </w:t>
            </w:r>
            <w:proofErr w:type="spellStart"/>
            <w:r w:rsidRPr="0022699D">
              <w:rPr>
                <w:rFonts w:ascii="Times New Roman" w:eastAsiaTheme="majorEastAsia" w:hAnsi="Times New Roman" w:cs="Calibri"/>
                <w:sz w:val="18"/>
                <w:szCs w:val="18"/>
              </w:rPr>
              <w:t>py</w:t>
            </w:r>
            <w:proofErr w:type="spellEnd"/>
            <w:r w:rsidRPr="0022699D">
              <w:rPr>
                <w:rFonts w:ascii="Times New Roman" w:eastAsiaTheme="majorEastAsia" w:hAnsi="Times New Roman" w:cs="Calibri"/>
                <w:sz w:val="18"/>
                <w:szCs w:val="18"/>
              </w:rPr>
              <w:t>/: proyección</w:t>
            </w:r>
          </w:p>
          <w:p w14:paraId="10E36729" w14:textId="77777777" w:rsidR="0022699D" w:rsidRPr="0022699D" w:rsidRDefault="0022699D" w:rsidP="00483FA3">
            <w:pPr>
              <w:contextualSpacing/>
              <w:jc w:val="both"/>
              <w:rPr>
                <w:rFonts w:ascii="Times New Roman" w:eastAsiaTheme="majorEastAsia" w:hAnsi="Times New Roman" w:cs="Calibri"/>
                <w:sz w:val="18"/>
                <w:szCs w:val="18"/>
              </w:rPr>
            </w:pPr>
          </w:p>
          <w:p w14:paraId="3F0148AE" w14:textId="51B73955" w:rsidR="0022699D" w:rsidRPr="00F22DD8" w:rsidRDefault="002F5044" w:rsidP="00483FA3">
            <w:pPr>
              <w:keepNext/>
              <w:keepLines/>
              <w:tabs>
                <w:tab w:val="left" w:pos="1134"/>
              </w:tabs>
              <w:spacing w:line="276" w:lineRule="auto"/>
              <w:ind w:left="496" w:hanging="283"/>
              <w:contextualSpacing/>
              <w:jc w:val="both"/>
              <w:outlineLvl w:val="1"/>
              <w:rPr>
                <w:rFonts w:ascii="Times New Roman" w:eastAsiaTheme="majorEastAsia" w:hAnsi="Times New Roman"/>
                <w:b/>
                <w:bCs/>
              </w:rPr>
            </w:pPr>
            <w:bookmarkStart w:id="159" w:name="_Toc125723297"/>
            <w:bookmarkStart w:id="160" w:name="_Toc160196865"/>
            <w:r w:rsidRPr="00F22DD8">
              <w:rPr>
                <w:rFonts w:ascii="Times New Roman" w:eastAsiaTheme="majorEastAsia" w:hAnsi="Times New Roman"/>
                <w:b/>
                <w:bCs/>
              </w:rPr>
              <w:t xml:space="preserve">8.3 </w:t>
            </w:r>
            <w:r w:rsidR="0022699D" w:rsidRPr="00F22DD8">
              <w:rPr>
                <w:rFonts w:ascii="Times New Roman" w:eastAsiaTheme="majorEastAsia" w:hAnsi="Times New Roman"/>
                <w:b/>
                <w:bCs/>
              </w:rPr>
              <w:t>Supuestos de los precios de las materias prima (</w:t>
            </w:r>
            <w:r w:rsidR="0022699D" w:rsidRPr="00F22DD8">
              <w:rPr>
                <w:rFonts w:ascii="Times New Roman" w:eastAsiaTheme="majorEastAsia" w:hAnsi="Times New Roman"/>
                <w:b/>
                <w:bCs/>
                <w:i/>
                <w:iCs/>
              </w:rPr>
              <w:t>commodities</w:t>
            </w:r>
            <w:r w:rsidR="0022699D" w:rsidRPr="00F22DD8">
              <w:rPr>
                <w:rFonts w:ascii="Times New Roman" w:eastAsiaTheme="majorEastAsia" w:hAnsi="Times New Roman"/>
                <w:b/>
                <w:bCs/>
              </w:rPr>
              <w:t>)</w:t>
            </w:r>
            <w:bookmarkEnd w:id="159"/>
            <w:bookmarkEnd w:id="160"/>
          </w:p>
          <w:p w14:paraId="2F4E1713" w14:textId="77777777" w:rsidR="0022699D" w:rsidRPr="0022699D" w:rsidRDefault="0022699D" w:rsidP="0022699D">
            <w:pPr>
              <w:spacing w:line="276" w:lineRule="auto"/>
              <w:contextualSpacing/>
              <w:jc w:val="both"/>
              <w:rPr>
                <w:rFonts w:ascii="Times New Roman" w:eastAsiaTheme="majorEastAsia" w:hAnsi="Times New Roman" w:cs="Calibri"/>
                <w:sz w:val="18"/>
                <w:szCs w:val="18"/>
              </w:rPr>
            </w:pPr>
          </w:p>
          <w:p w14:paraId="61D801E7" w14:textId="69445660" w:rsidR="0022699D" w:rsidRPr="0022699D" w:rsidRDefault="0022699D" w:rsidP="00483FA3">
            <w:pPr>
              <w:contextualSpacing/>
              <w:jc w:val="both"/>
              <w:rPr>
                <w:rFonts w:ascii="Times New Roman" w:eastAsiaTheme="majorEastAsia" w:hAnsi="Times New Roman" w:cs="Calibri"/>
                <w:sz w:val="22"/>
                <w:szCs w:val="22"/>
              </w:rPr>
            </w:pPr>
            <w:r w:rsidRPr="0022699D">
              <w:rPr>
                <w:rFonts w:ascii="Times New Roman" w:eastAsiaTheme="majorEastAsia" w:hAnsi="Times New Roman" w:cs="Calibri"/>
                <w:sz w:val="22"/>
                <w:szCs w:val="22"/>
              </w:rPr>
              <w:t xml:space="preserve">El precio promedio de la mayoría de las materias primas disminuyó en 2023 debido a la demanda externa debilitada, sin embargo, estos se mantuvieron considerablemente encima de los niveles previos a la pandemia. Entre los supuestos del escenario base del Banco Mundial </w:t>
            </w:r>
            <w:r w:rsidR="009519EC">
              <w:rPr>
                <w:rFonts w:ascii="Times New Roman" w:eastAsiaTheme="majorEastAsia" w:hAnsi="Times New Roman" w:cs="Calibri"/>
                <w:sz w:val="22"/>
                <w:szCs w:val="22"/>
              </w:rPr>
              <w:t>en</w:t>
            </w:r>
            <w:r w:rsidRPr="0022699D">
              <w:rPr>
                <w:rFonts w:ascii="Times New Roman" w:eastAsiaTheme="majorEastAsia" w:hAnsi="Times New Roman" w:cs="Calibri"/>
                <w:sz w:val="22"/>
                <w:szCs w:val="22"/>
              </w:rPr>
              <w:t xml:space="preserve"> sus proyecciones de los precios de materias primas, se enfatiza que se consideran como supuestos que los últimos conflictos geopolíticos que iniciaron en 2023 tendrán efecto limitado en los precios y que las hostilidades no se intensificarán</w:t>
            </w:r>
            <w:r w:rsidR="009519EC">
              <w:rPr>
                <w:rFonts w:ascii="Times New Roman" w:eastAsiaTheme="majorEastAsia" w:hAnsi="Times New Roman" w:cs="Calibri"/>
                <w:sz w:val="22"/>
                <w:szCs w:val="22"/>
              </w:rPr>
              <w:t>, p</w:t>
            </w:r>
            <w:r w:rsidRPr="0022699D">
              <w:rPr>
                <w:rFonts w:ascii="Times New Roman" w:eastAsiaTheme="majorEastAsia" w:hAnsi="Times New Roman" w:cs="Calibri"/>
                <w:sz w:val="22"/>
                <w:szCs w:val="22"/>
              </w:rPr>
              <w:t>or lo que los precios serán dirigidos por los factores fundamentales de la oferta y demanda.</w:t>
            </w:r>
          </w:p>
          <w:p w14:paraId="36CDD821" w14:textId="77777777" w:rsidR="0022699D" w:rsidRPr="0022699D" w:rsidRDefault="0022699D" w:rsidP="00483FA3">
            <w:pPr>
              <w:contextualSpacing/>
              <w:jc w:val="both"/>
              <w:rPr>
                <w:rFonts w:ascii="Times New Roman" w:eastAsiaTheme="majorEastAsia" w:hAnsi="Times New Roman" w:cs="Calibri"/>
                <w:sz w:val="18"/>
                <w:szCs w:val="18"/>
                <w:lang w:val="es-GT"/>
              </w:rPr>
            </w:pPr>
          </w:p>
          <w:p w14:paraId="11E94255" w14:textId="7DB29396" w:rsidR="0022699D" w:rsidRPr="0022699D" w:rsidRDefault="0022699D" w:rsidP="00483FA3">
            <w:pPr>
              <w:contextualSpacing/>
              <w:jc w:val="both"/>
              <w:rPr>
                <w:rFonts w:ascii="Times New Roman" w:eastAsiaTheme="majorEastAsia" w:hAnsi="Times New Roman" w:cs="Calibri"/>
                <w:color w:val="000000" w:themeColor="text1"/>
                <w:sz w:val="22"/>
                <w:szCs w:val="22"/>
              </w:rPr>
            </w:pPr>
            <w:r w:rsidRPr="0022699D">
              <w:rPr>
                <w:rFonts w:ascii="Times New Roman" w:eastAsiaTheme="majorEastAsia" w:hAnsi="Times New Roman" w:cs="Calibri"/>
                <w:sz w:val="22"/>
                <w:szCs w:val="22"/>
              </w:rPr>
              <w:t xml:space="preserve">Para los </w:t>
            </w:r>
            <w:r w:rsidRPr="0022699D">
              <w:rPr>
                <w:rFonts w:ascii="Times New Roman" w:eastAsiaTheme="majorEastAsia" w:hAnsi="Times New Roman" w:cs="Calibri"/>
                <w:color w:val="000000" w:themeColor="text1"/>
                <w:sz w:val="22"/>
                <w:szCs w:val="22"/>
              </w:rPr>
              <w:t>precios de las materias primas de energía se espera disminución de 4.5% en 2024, después de la disminución de 28.8% en 2023. En particular, el Banco de Guatemala prevé (con información de Bloomberg) que el precio de barril del petróleo crudo WTI se encuentre en USD$81.6 en 2024, este pronóstico está en línea con el pronóstico de octubre de 2023 del Banco Mundial que esperaba que el precio del petróleo crudo disminuyera 4.5% por el debilitamiento del crecimiento mundial y una producción en aumento.</w:t>
            </w:r>
          </w:p>
          <w:p w14:paraId="3CA27046" w14:textId="77777777" w:rsidR="0022699D" w:rsidRPr="0022699D" w:rsidRDefault="0022699D" w:rsidP="00483FA3">
            <w:pPr>
              <w:contextualSpacing/>
              <w:jc w:val="both"/>
              <w:rPr>
                <w:rFonts w:ascii="Times New Roman" w:eastAsiaTheme="majorEastAsia" w:hAnsi="Times New Roman" w:cs="Calibri"/>
                <w:color w:val="000000" w:themeColor="text1"/>
                <w:sz w:val="22"/>
                <w:szCs w:val="22"/>
              </w:rPr>
            </w:pPr>
          </w:p>
          <w:p w14:paraId="345A4B95" w14:textId="432567F9" w:rsidR="00483FA3" w:rsidRPr="00F22DD8" w:rsidRDefault="0022699D" w:rsidP="00F22DD8">
            <w:pPr>
              <w:contextualSpacing/>
              <w:jc w:val="both"/>
              <w:rPr>
                <w:rFonts w:ascii="Times New Roman" w:eastAsiaTheme="majorEastAsia" w:hAnsi="Times New Roman" w:cs="Calibri"/>
                <w:color w:val="000000" w:themeColor="text1"/>
                <w:sz w:val="22"/>
                <w:szCs w:val="22"/>
              </w:rPr>
            </w:pPr>
            <w:r w:rsidRPr="0022699D">
              <w:rPr>
                <w:rFonts w:ascii="Times New Roman" w:eastAsiaTheme="majorEastAsia" w:hAnsi="Times New Roman" w:cs="Calibri"/>
                <w:color w:val="000000" w:themeColor="text1"/>
                <w:sz w:val="22"/>
                <w:szCs w:val="22"/>
              </w:rPr>
              <w:t xml:space="preserve">Los precios de los metales y minerales disminuyeron 11.8% en 2023 por la disminución de la demanda de las principales economías, en particular China, que su consumo de metales representa </w:t>
            </w:r>
            <w:r w:rsidRPr="0022699D">
              <w:rPr>
                <w:rFonts w:ascii="Times New Roman" w:eastAsiaTheme="majorEastAsia" w:hAnsi="Times New Roman" w:cs="Calibri"/>
                <w:color w:val="000000" w:themeColor="text1"/>
                <w:sz w:val="22"/>
                <w:szCs w:val="22"/>
              </w:rPr>
              <w:lastRenderedPageBreak/>
              <w:t>el 60.0% del consumo mundial. Además, para 2024 se espera que estos precios disminuyan 4.7% más</w:t>
            </w:r>
            <w:r w:rsidR="00CF37F4">
              <w:rPr>
                <w:rFonts w:ascii="Times New Roman" w:eastAsiaTheme="majorEastAsia" w:hAnsi="Times New Roman" w:cs="Calibri"/>
                <w:color w:val="000000" w:themeColor="text1"/>
                <w:sz w:val="22"/>
                <w:szCs w:val="22"/>
              </w:rPr>
              <w:t xml:space="preserve">. </w:t>
            </w:r>
            <w:r w:rsidRPr="0022699D">
              <w:rPr>
                <w:rFonts w:ascii="Times New Roman" w:eastAsiaTheme="majorEastAsia" w:hAnsi="Times New Roman" w:cs="Calibri"/>
                <w:color w:val="000000" w:themeColor="text1"/>
                <w:sz w:val="22"/>
                <w:szCs w:val="22"/>
              </w:rPr>
              <w:t xml:space="preserve"> Es importante mencionar que el precio de los metales podría deteriorarse de materializarse el riesgo de recesión en el mercado inmobiliario de China. </w:t>
            </w:r>
          </w:p>
          <w:p w14:paraId="063A3626" w14:textId="3677FE0F" w:rsidR="00483FA3" w:rsidRPr="0022699D" w:rsidRDefault="00483FA3" w:rsidP="0022699D">
            <w:pPr>
              <w:spacing w:line="276" w:lineRule="auto"/>
              <w:contextualSpacing/>
              <w:jc w:val="both"/>
              <w:rPr>
                <w:rFonts w:ascii="Times New Roman" w:eastAsiaTheme="majorEastAsia" w:hAnsi="Times New Roman" w:cs="Calibri"/>
                <w:sz w:val="20"/>
                <w:szCs w:val="22"/>
              </w:rPr>
            </w:pPr>
          </w:p>
        </w:tc>
      </w:tr>
      <w:tr w:rsidR="0022699D" w:rsidRPr="0022699D" w14:paraId="11BE9EF0" w14:textId="77777777" w:rsidTr="00973C72">
        <w:tc>
          <w:tcPr>
            <w:tcW w:w="4365" w:type="dxa"/>
          </w:tcPr>
          <w:p w14:paraId="523A1FA1" w14:textId="2BE432A2" w:rsidR="0022699D" w:rsidRPr="00483FA3" w:rsidRDefault="00483FA3" w:rsidP="00483FA3">
            <w:pPr>
              <w:pStyle w:val="Descripcin"/>
              <w:keepNext/>
              <w:spacing w:after="0"/>
              <w:jc w:val="center"/>
              <w:rPr>
                <w:sz w:val="22"/>
                <w:szCs w:val="22"/>
              </w:rPr>
            </w:pPr>
            <w:bookmarkStart w:id="161" w:name="_Toc125733220"/>
            <w:bookmarkStart w:id="162" w:name="_Toc158103870"/>
            <w:r w:rsidRPr="00483FA3">
              <w:rPr>
                <w:sz w:val="22"/>
                <w:szCs w:val="22"/>
              </w:rPr>
              <w:lastRenderedPageBreak/>
              <w:t xml:space="preserve">Gráfico </w:t>
            </w:r>
            <w:r w:rsidRPr="00483FA3">
              <w:rPr>
                <w:sz w:val="22"/>
                <w:szCs w:val="22"/>
              </w:rPr>
              <w:fldChar w:fldCharType="begin"/>
            </w:r>
            <w:r w:rsidRPr="00483FA3">
              <w:rPr>
                <w:sz w:val="22"/>
                <w:szCs w:val="22"/>
              </w:rPr>
              <w:instrText xml:space="preserve"> SEQ Gráfico \* ARABIC </w:instrText>
            </w:r>
            <w:r w:rsidRPr="00483FA3">
              <w:rPr>
                <w:sz w:val="22"/>
                <w:szCs w:val="22"/>
              </w:rPr>
              <w:fldChar w:fldCharType="separate"/>
            </w:r>
            <w:r w:rsidR="00C015DC">
              <w:rPr>
                <w:noProof/>
                <w:sz w:val="22"/>
                <w:szCs w:val="22"/>
              </w:rPr>
              <w:t>25</w:t>
            </w:r>
            <w:r w:rsidRPr="00483FA3">
              <w:rPr>
                <w:sz w:val="22"/>
                <w:szCs w:val="22"/>
              </w:rPr>
              <w:fldChar w:fldCharType="end"/>
            </w:r>
            <w:r w:rsidRPr="00483FA3">
              <w:rPr>
                <w:sz w:val="22"/>
                <w:szCs w:val="22"/>
              </w:rPr>
              <w:t xml:space="preserve">.  </w:t>
            </w:r>
            <w:r w:rsidR="0022699D" w:rsidRPr="00483FA3">
              <w:rPr>
                <w:rFonts w:eastAsia="AGaramondPro-Regular" w:cs="Calibri"/>
                <w:bCs/>
                <w:sz w:val="22"/>
                <w:szCs w:val="22"/>
              </w:rPr>
              <w:t>Pronóstico del precio del barril de crudo de petróleo WTI (USD$).</w:t>
            </w:r>
            <w:bookmarkEnd w:id="161"/>
            <w:bookmarkEnd w:id="162"/>
          </w:p>
        </w:tc>
        <w:tc>
          <w:tcPr>
            <w:tcW w:w="4365" w:type="dxa"/>
          </w:tcPr>
          <w:p w14:paraId="1ADC553C" w14:textId="373567B5" w:rsidR="0022699D" w:rsidRPr="00483FA3" w:rsidRDefault="00483FA3" w:rsidP="00483FA3">
            <w:pPr>
              <w:pStyle w:val="Descripcin"/>
              <w:keepNext/>
              <w:spacing w:after="0"/>
              <w:jc w:val="center"/>
              <w:rPr>
                <w:sz w:val="22"/>
                <w:szCs w:val="22"/>
              </w:rPr>
            </w:pPr>
            <w:bookmarkStart w:id="163" w:name="_Toc125733221"/>
            <w:bookmarkStart w:id="164" w:name="_Toc158103871"/>
            <w:r w:rsidRPr="00483FA3">
              <w:rPr>
                <w:sz w:val="22"/>
                <w:szCs w:val="22"/>
              </w:rPr>
              <w:t xml:space="preserve">Gráfico </w:t>
            </w:r>
            <w:r w:rsidRPr="00483FA3">
              <w:rPr>
                <w:sz w:val="22"/>
                <w:szCs w:val="22"/>
              </w:rPr>
              <w:fldChar w:fldCharType="begin"/>
            </w:r>
            <w:r w:rsidRPr="00483FA3">
              <w:rPr>
                <w:sz w:val="22"/>
                <w:szCs w:val="22"/>
              </w:rPr>
              <w:instrText xml:space="preserve"> SEQ Gráfico \* ARABIC </w:instrText>
            </w:r>
            <w:r w:rsidRPr="00483FA3">
              <w:rPr>
                <w:sz w:val="22"/>
                <w:szCs w:val="22"/>
              </w:rPr>
              <w:fldChar w:fldCharType="separate"/>
            </w:r>
            <w:r w:rsidR="00C015DC">
              <w:rPr>
                <w:noProof/>
                <w:sz w:val="22"/>
                <w:szCs w:val="22"/>
              </w:rPr>
              <w:t>26</w:t>
            </w:r>
            <w:r w:rsidRPr="00483FA3">
              <w:rPr>
                <w:sz w:val="22"/>
                <w:szCs w:val="22"/>
              </w:rPr>
              <w:fldChar w:fldCharType="end"/>
            </w:r>
            <w:r w:rsidRPr="00483FA3">
              <w:rPr>
                <w:sz w:val="22"/>
                <w:szCs w:val="22"/>
              </w:rPr>
              <w:t xml:space="preserve">.  </w:t>
            </w:r>
            <w:r w:rsidR="0022699D" w:rsidRPr="00483FA3">
              <w:rPr>
                <w:rFonts w:eastAsia="AGaramondPro-Regular" w:cs="Calibri"/>
                <w:bCs/>
                <w:sz w:val="22"/>
                <w:szCs w:val="22"/>
              </w:rPr>
              <w:t>Pronóstico de la variación interanual de los índices de precios del Banco Mundial (%)</w:t>
            </w:r>
            <w:bookmarkEnd w:id="163"/>
            <w:bookmarkEnd w:id="164"/>
          </w:p>
        </w:tc>
      </w:tr>
      <w:tr w:rsidR="0022699D" w:rsidRPr="0022699D" w14:paraId="163FB93D" w14:textId="77777777" w:rsidTr="00973C72">
        <w:tc>
          <w:tcPr>
            <w:tcW w:w="4365" w:type="dxa"/>
          </w:tcPr>
          <w:p w14:paraId="58E4233F" w14:textId="77777777" w:rsidR="0022699D" w:rsidRPr="0022699D" w:rsidRDefault="0022699D" w:rsidP="0022699D">
            <w:pPr>
              <w:spacing w:line="276" w:lineRule="auto"/>
              <w:contextualSpacing/>
              <w:jc w:val="center"/>
              <w:rPr>
                <w:rFonts w:ascii="Times New Roman" w:eastAsia="AGaramondPro-Regular" w:hAnsi="Times New Roman" w:cs="Calibri"/>
                <w:sz w:val="22"/>
                <w:szCs w:val="22"/>
              </w:rPr>
            </w:pPr>
            <w:r w:rsidRPr="0022699D">
              <w:rPr>
                <w:rFonts w:ascii="Times New Roman" w:eastAsiaTheme="majorEastAsia" w:hAnsi="Times New Roman" w:cs="Calibri"/>
                <w:b/>
                <w:noProof/>
                <w:sz w:val="22"/>
                <w:szCs w:val="26"/>
              </w:rPr>
              <w:drawing>
                <wp:inline distT="0" distB="0" distL="0" distR="0" wp14:anchorId="35F2C3F5" wp14:editId="7E1838EF">
                  <wp:extent cx="2639695" cy="2162755"/>
                  <wp:effectExtent l="0" t="0" r="8255" b="0"/>
                  <wp:docPr id="15" name="Gráfic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4365" w:type="dxa"/>
          </w:tcPr>
          <w:p w14:paraId="4328FB5B" w14:textId="77777777" w:rsidR="0022699D" w:rsidRPr="0022699D" w:rsidRDefault="0022699D" w:rsidP="0022699D">
            <w:pPr>
              <w:spacing w:line="276" w:lineRule="auto"/>
              <w:contextualSpacing/>
              <w:jc w:val="center"/>
              <w:rPr>
                <w:rFonts w:ascii="Times New Roman" w:eastAsia="AGaramondPro-Regular" w:hAnsi="Times New Roman" w:cs="Calibri"/>
                <w:sz w:val="22"/>
                <w:szCs w:val="22"/>
              </w:rPr>
            </w:pPr>
            <w:r w:rsidRPr="0022699D">
              <w:rPr>
                <w:rFonts w:ascii="Times New Roman" w:eastAsia="Times New Roman" w:hAnsi="Times New Roman" w:cs="Calibri"/>
                <w:noProof/>
                <w:sz w:val="22"/>
                <w:szCs w:val="22"/>
              </w:rPr>
              <w:drawing>
                <wp:inline distT="0" distB="0" distL="0" distR="0" wp14:anchorId="6968A36A" wp14:editId="51906F87">
                  <wp:extent cx="2571750" cy="2162175"/>
                  <wp:effectExtent l="0" t="0" r="0" b="0"/>
                  <wp:docPr id="14" name="Grá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r w:rsidR="0022699D" w:rsidRPr="0022699D" w14:paraId="45590B2F" w14:textId="77777777" w:rsidTr="00973C72">
        <w:tc>
          <w:tcPr>
            <w:tcW w:w="8730" w:type="dxa"/>
            <w:gridSpan w:val="2"/>
          </w:tcPr>
          <w:p w14:paraId="25B21135" w14:textId="77777777" w:rsidR="0022699D" w:rsidRPr="0022699D" w:rsidRDefault="0022699D" w:rsidP="00483FA3">
            <w:pPr>
              <w:contextualSpacing/>
              <w:jc w:val="both"/>
              <w:rPr>
                <w:rFonts w:ascii="Times New Roman" w:eastAsia="AGaramondPro-Regular" w:hAnsi="Times New Roman" w:cs="Calibri"/>
                <w:sz w:val="18"/>
                <w:szCs w:val="18"/>
              </w:rPr>
            </w:pPr>
            <w:r w:rsidRPr="0022699D">
              <w:rPr>
                <w:rFonts w:ascii="Times New Roman" w:eastAsia="AGaramondPro-Regular" w:hAnsi="Times New Roman" w:cs="Calibri"/>
                <w:sz w:val="18"/>
                <w:szCs w:val="18"/>
              </w:rPr>
              <w:t xml:space="preserve">Fuente: Banco Mundial </w:t>
            </w:r>
          </w:p>
          <w:p w14:paraId="3B4AF300" w14:textId="77777777" w:rsidR="0022699D" w:rsidRPr="0022699D" w:rsidRDefault="0022699D" w:rsidP="00483FA3">
            <w:pPr>
              <w:contextualSpacing/>
              <w:jc w:val="both"/>
              <w:rPr>
                <w:rFonts w:ascii="Times New Roman" w:eastAsia="AGaramondPro-Regular" w:hAnsi="Times New Roman" w:cs="Calibri"/>
                <w:sz w:val="20"/>
                <w:szCs w:val="20"/>
              </w:rPr>
            </w:pPr>
            <w:r w:rsidRPr="0022699D">
              <w:rPr>
                <w:rFonts w:ascii="Times New Roman" w:eastAsia="AGaramondPro-Regular" w:hAnsi="Times New Roman" w:cs="Calibri"/>
                <w:sz w:val="18"/>
                <w:szCs w:val="18"/>
              </w:rPr>
              <w:t xml:space="preserve">Nota: las perspectivas de las materias prima corresponden a octubre 2023 y la previsión de precio de petróleo del Banco de Guatemala. </w:t>
            </w:r>
          </w:p>
        </w:tc>
      </w:tr>
    </w:tbl>
    <w:p w14:paraId="040EEF28" w14:textId="77777777" w:rsidR="0022699D" w:rsidRPr="0022699D" w:rsidRDefault="0022699D" w:rsidP="00483FA3">
      <w:pPr>
        <w:contextualSpacing/>
        <w:jc w:val="both"/>
        <w:rPr>
          <w:rFonts w:ascii="Times New Roman" w:eastAsiaTheme="majorEastAsia" w:hAnsi="Times New Roman" w:cs="Calibri"/>
          <w:color w:val="000000" w:themeColor="text1"/>
          <w:sz w:val="22"/>
          <w:szCs w:val="22"/>
        </w:rPr>
      </w:pPr>
    </w:p>
    <w:p w14:paraId="4BF98648" w14:textId="706A5568" w:rsidR="0022699D" w:rsidRPr="0022699D" w:rsidRDefault="0022699D" w:rsidP="00483FA3">
      <w:pPr>
        <w:contextualSpacing/>
        <w:jc w:val="both"/>
        <w:rPr>
          <w:rFonts w:ascii="Times New Roman" w:eastAsiaTheme="majorEastAsia" w:hAnsi="Times New Roman" w:cs="Calibri"/>
          <w:sz w:val="20"/>
          <w:szCs w:val="22"/>
        </w:rPr>
      </w:pPr>
      <w:r w:rsidRPr="0022699D">
        <w:rPr>
          <w:rFonts w:ascii="Times New Roman" w:eastAsiaTheme="majorEastAsia" w:hAnsi="Times New Roman" w:cs="Calibri"/>
          <w:color w:val="000000" w:themeColor="text1"/>
          <w:sz w:val="22"/>
          <w:szCs w:val="22"/>
        </w:rPr>
        <w:t>Por su parte, los precios de agricultura disminuyeron 7.2% en 2023, esto principalmente por la disminución en los precios de los alimentos, debido a la abundancia de cultivos, particularmente de granos. Para el año 2024 se espera que los precios de las materias prima</w:t>
      </w:r>
      <w:r w:rsidR="007D27F8">
        <w:rPr>
          <w:rFonts w:ascii="Times New Roman" w:eastAsiaTheme="majorEastAsia" w:hAnsi="Times New Roman" w:cs="Calibri"/>
          <w:color w:val="000000" w:themeColor="text1"/>
          <w:sz w:val="22"/>
          <w:szCs w:val="22"/>
        </w:rPr>
        <w:t>s</w:t>
      </w:r>
      <w:r w:rsidRPr="0022699D">
        <w:rPr>
          <w:rFonts w:ascii="Times New Roman" w:eastAsiaTheme="majorEastAsia" w:hAnsi="Times New Roman" w:cs="Calibri"/>
          <w:color w:val="000000" w:themeColor="text1"/>
          <w:sz w:val="22"/>
          <w:szCs w:val="22"/>
        </w:rPr>
        <w:t xml:space="preserve"> de agricultura disminuyan 1.5%. Entre los riegos al alza de precios de estas materias primas están el aumento de los costos de energía, fenómenos meteorológicos adversos (como resultado del fenómeno del niño) y restricciones comerciales e incertidumbre geopolítica en el medio oriente.</w:t>
      </w:r>
    </w:p>
    <w:p w14:paraId="3EA14D33" w14:textId="77777777" w:rsidR="0022699D" w:rsidRPr="0022699D" w:rsidRDefault="0022699D" w:rsidP="00483FA3">
      <w:pPr>
        <w:contextualSpacing/>
        <w:jc w:val="both"/>
        <w:rPr>
          <w:rFonts w:ascii="Times New Roman" w:eastAsia="AGaramondPro-Regular" w:hAnsi="Times New Roman" w:cs="Calibri"/>
          <w:sz w:val="20"/>
          <w:szCs w:val="20"/>
        </w:rPr>
      </w:pPr>
    </w:p>
    <w:p w14:paraId="32ADB816" w14:textId="084C4DCB" w:rsidR="0022699D" w:rsidRPr="00F22DD8" w:rsidRDefault="00701E4B" w:rsidP="00483FA3">
      <w:pPr>
        <w:keepNext/>
        <w:keepLines/>
        <w:tabs>
          <w:tab w:val="left" w:pos="1134"/>
        </w:tabs>
        <w:spacing w:line="276" w:lineRule="auto"/>
        <w:ind w:left="567" w:hanging="283"/>
        <w:contextualSpacing/>
        <w:jc w:val="both"/>
        <w:outlineLvl w:val="1"/>
        <w:rPr>
          <w:rFonts w:ascii="Times New Roman" w:eastAsiaTheme="majorEastAsia" w:hAnsi="Times New Roman" w:cs="Times New Roman"/>
          <w:bCs/>
        </w:rPr>
      </w:pPr>
      <w:bookmarkStart w:id="165" w:name="_Toc94259652"/>
      <w:bookmarkStart w:id="166" w:name="_Toc125723298"/>
      <w:bookmarkStart w:id="167" w:name="_Toc160196866"/>
      <w:r w:rsidRPr="00F22DD8">
        <w:rPr>
          <w:rFonts w:ascii="Times New Roman" w:eastAsiaTheme="majorEastAsia" w:hAnsi="Times New Roman" w:cs="Times New Roman"/>
          <w:b/>
          <w:bCs/>
        </w:rPr>
        <w:t xml:space="preserve">8.4 </w:t>
      </w:r>
      <w:r w:rsidR="0022699D" w:rsidRPr="00F22DD8">
        <w:rPr>
          <w:rFonts w:ascii="Times New Roman" w:eastAsiaTheme="majorEastAsia" w:hAnsi="Times New Roman" w:cs="Times New Roman"/>
          <w:b/>
          <w:bCs/>
        </w:rPr>
        <w:t>Supuestos para la economía interna</w:t>
      </w:r>
      <w:bookmarkEnd w:id="165"/>
      <w:bookmarkEnd w:id="166"/>
      <w:bookmarkEnd w:id="167"/>
    </w:p>
    <w:p w14:paraId="4D7C009A" w14:textId="77777777" w:rsidR="0022699D" w:rsidRPr="0022699D" w:rsidRDefault="0022699D" w:rsidP="00483FA3">
      <w:pPr>
        <w:contextualSpacing/>
        <w:jc w:val="both"/>
        <w:rPr>
          <w:rFonts w:ascii="Times New Roman" w:eastAsia="Times New Roman" w:hAnsi="Times New Roman" w:cs="Calibri"/>
          <w:sz w:val="22"/>
          <w:szCs w:val="22"/>
        </w:rPr>
      </w:pPr>
    </w:p>
    <w:p w14:paraId="29300144" w14:textId="5DEE4189" w:rsidR="0022699D" w:rsidRPr="0022699D" w:rsidRDefault="0022699D" w:rsidP="00483FA3">
      <w:pPr>
        <w:contextualSpacing/>
        <w:jc w:val="both"/>
        <w:rPr>
          <w:rFonts w:ascii="Times New Roman" w:eastAsiaTheme="majorEastAsia" w:hAnsi="Times New Roman" w:cs="Calibri"/>
          <w:color w:val="000000" w:themeColor="text1"/>
          <w:sz w:val="22"/>
          <w:szCs w:val="22"/>
        </w:rPr>
      </w:pPr>
      <w:r w:rsidRPr="0022699D">
        <w:rPr>
          <w:rFonts w:ascii="Times New Roman" w:eastAsiaTheme="majorEastAsia" w:hAnsi="Times New Roman" w:cs="Calibri"/>
          <w:color w:val="000000" w:themeColor="text1"/>
          <w:sz w:val="22"/>
          <w:szCs w:val="22"/>
        </w:rPr>
        <w:t>En el año 2023 la actividad económica tuvo crecimiento cercano al potencial, esto debido al aumento de la demanda interna, principalmente por el incremento en el consumo privado e inversión. El Banco de Guatemala prevé que el crecimiento del PIB se registre en 3.5% en 2023. Para el 2024 se espera que la economía mantenga su resiliencia y que su crecimiento se encuentre entre 2.5% y 4.5%, impulsada por el comportamiento dinámico de la demanda interna y por la recuperación de los principales socios comerciales.</w:t>
      </w:r>
    </w:p>
    <w:p w14:paraId="31AD6811" w14:textId="77777777" w:rsidR="0022699D" w:rsidRPr="0022699D" w:rsidRDefault="0022699D" w:rsidP="00483FA3">
      <w:pPr>
        <w:contextualSpacing/>
        <w:jc w:val="both"/>
        <w:rPr>
          <w:rFonts w:ascii="Times New Roman" w:eastAsia="Times New Roman" w:hAnsi="Times New Roman" w:cs="Calibri"/>
          <w:sz w:val="22"/>
          <w:szCs w:val="22"/>
        </w:rPr>
      </w:pPr>
    </w:p>
    <w:p w14:paraId="647E3043" w14:textId="250730B3" w:rsidR="0022699D" w:rsidRPr="0022699D" w:rsidRDefault="0022699D" w:rsidP="00483FA3">
      <w:pPr>
        <w:contextualSpacing/>
        <w:jc w:val="both"/>
        <w:rPr>
          <w:rFonts w:ascii="Times New Roman" w:eastAsia="Times New Roman" w:hAnsi="Times New Roman" w:cs="Calibri"/>
          <w:sz w:val="22"/>
          <w:szCs w:val="22"/>
        </w:rPr>
      </w:pPr>
      <w:r w:rsidRPr="0022699D">
        <w:rPr>
          <w:rFonts w:ascii="Times New Roman" w:eastAsia="Times New Roman" w:hAnsi="Times New Roman" w:cs="Calibri"/>
          <w:sz w:val="22"/>
          <w:szCs w:val="22"/>
        </w:rPr>
        <w:t>La tasa de crecimiento de la demanda interna para 2024 se prevé se encuentre alrededor del 3.5%, como resultado del comportamiento del consumo e inversión. En el caso del consumo privado, se espera un mayor dinamismo de las remuneraciones, en las remesas familiares y las favorables condiciones crediticias. En el caso de la formación bruta de capital fijo, se espera una mejora por el aumento en las importaciones de bienes de capital y una mayor inversión en construcción de edificaciones residenciales. Estas perspectivas de crecimiento del Banco de Guatemala prevén que el gasto de consumo de gobierno disminuya levemente derivado de los temas relacionados al presupuesto vigente de 2024 y al inicio de una nueva administración pública</w:t>
      </w:r>
      <w:r w:rsidR="0018006F">
        <w:rPr>
          <w:rFonts w:ascii="Times New Roman" w:eastAsia="Times New Roman" w:hAnsi="Times New Roman" w:cs="Calibri"/>
          <w:sz w:val="22"/>
          <w:szCs w:val="22"/>
        </w:rPr>
        <w:t>.</w:t>
      </w:r>
    </w:p>
    <w:p w14:paraId="580E5D3E" w14:textId="77777777" w:rsidR="0022699D" w:rsidRDefault="0022699D" w:rsidP="00483FA3">
      <w:pPr>
        <w:contextualSpacing/>
        <w:jc w:val="both"/>
        <w:rPr>
          <w:rFonts w:ascii="Times New Roman" w:eastAsia="Times New Roman" w:hAnsi="Times New Roman" w:cs="Calibri"/>
          <w:sz w:val="22"/>
          <w:szCs w:val="22"/>
        </w:rPr>
      </w:pPr>
    </w:p>
    <w:p w14:paraId="16B41A91" w14:textId="77777777" w:rsidR="0018006F" w:rsidRDefault="0018006F" w:rsidP="00483FA3">
      <w:pPr>
        <w:contextualSpacing/>
        <w:jc w:val="both"/>
        <w:rPr>
          <w:rFonts w:ascii="Times New Roman" w:eastAsia="Times New Roman" w:hAnsi="Times New Roman" w:cs="Calibri"/>
          <w:sz w:val="22"/>
          <w:szCs w:val="22"/>
        </w:rPr>
      </w:pPr>
    </w:p>
    <w:p w14:paraId="439CE8AD" w14:textId="77777777" w:rsidR="0018006F" w:rsidRDefault="0018006F" w:rsidP="00483FA3">
      <w:pPr>
        <w:contextualSpacing/>
        <w:jc w:val="both"/>
        <w:rPr>
          <w:rFonts w:ascii="Times New Roman" w:eastAsia="Times New Roman" w:hAnsi="Times New Roman" w:cs="Calibri"/>
          <w:sz w:val="22"/>
          <w:szCs w:val="22"/>
        </w:rPr>
      </w:pPr>
    </w:p>
    <w:p w14:paraId="24F45724" w14:textId="77777777" w:rsidR="0018006F" w:rsidRDefault="0018006F" w:rsidP="00483FA3">
      <w:pPr>
        <w:contextualSpacing/>
        <w:jc w:val="both"/>
        <w:rPr>
          <w:rFonts w:ascii="Times New Roman" w:eastAsia="Times New Roman" w:hAnsi="Times New Roman" w:cs="Calibri"/>
          <w:sz w:val="22"/>
          <w:szCs w:val="22"/>
        </w:rPr>
      </w:pPr>
    </w:p>
    <w:tbl>
      <w:tblPr>
        <w:tblStyle w:val="Tablaconcuadrcu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5"/>
        <w:gridCol w:w="4435"/>
      </w:tblGrid>
      <w:tr w:rsidR="0022699D" w:rsidRPr="0022699D" w14:paraId="5934B908" w14:textId="77777777" w:rsidTr="00F22DD8">
        <w:tc>
          <w:tcPr>
            <w:tcW w:w="4295" w:type="dxa"/>
          </w:tcPr>
          <w:p w14:paraId="3A1C0ABC" w14:textId="4358E2F6" w:rsidR="0022699D" w:rsidRPr="00483FA3" w:rsidRDefault="00483FA3" w:rsidP="00483FA3">
            <w:pPr>
              <w:pStyle w:val="Descripcin"/>
              <w:keepNext/>
              <w:spacing w:after="0"/>
              <w:jc w:val="center"/>
              <w:rPr>
                <w:sz w:val="22"/>
                <w:szCs w:val="22"/>
              </w:rPr>
            </w:pPr>
            <w:bookmarkStart w:id="168" w:name="_Toc125733222"/>
            <w:bookmarkStart w:id="169" w:name="_Toc158103872"/>
            <w:r w:rsidRPr="00483FA3">
              <w:rPr>
                <w:sz w:val="22"/>
                <w:szCs w:val="22"/>
              </w:rPr>
              <w:t xml:space="preserve">Gráfico </w:t>
            </w:r>
            <w:r w:rsidRPr="00483FA3">
              <w:rPr>
                <w:sz w:val="22"/>
                <w:szCs w:val="22"/>
              </w:rPr>
              <w:fldChar w:fldCharType="begin"/>
            </w:r>
            <w:r w:rsidRPr="00483FA3">
              <w:rPr>
                <w:sz w:val="22"/>
                <w:szCs w:val="22"/>
              </w:rPr>
              <w:instrText xml:space="preserve"> SEQ Gráfico \* ARABIC </w:instrText>
            </w:r>
            <w:r w:rsidRPr="00483FA3">
              <w:rPr>
                <w:sz w:val="22"/>
                <w:szCs w:val="22"/>
              </w:rPr>
              <w:fldChar w:fldCharType="separate"/>
            </w:r>
            <w:r w:rsidR="00C015DC">
              <w:rPr>
                <w:noProof/>
                <w:sz w:val="22"/>
                <w:szCs w:val="22"/>
              </w:rPr>
              <w:t>27</w:t>
            </w:r>
            <w:r w:rsidRPr="00483FA3">
              <w:rPr>
                <w:sz w:val="22"/>
                <w:szCs w:val="22"/>
              </w:rPr>
              <w:fldChar w:fldCharType="end"/>
            </w:r>
            <w:r w:rsidRPr="00483FA3">
              <w:rPr>
                <w:sz w:val="22"/>
                <w:szCs w:val="22"/>
              </w:rPr>
              <w:t xml:space="preserve">.  </w:t>
            </w:r>
            <w:r w:rsidR="0022699D" w:rsidRPr="00483FA3">
              <w:rPr>
                <w:rFonts w:eastAsia="AGaramondPro-Regular" w:cs="Calibri"/>
                <w:bCs/>
                <w:sz w:val="22"/>
                <w:szCs w:val="22"/>
              </w:rPr>
              <w:t>Perspectivas de crecimiento del PIB (%)</w:t>
            </w:r>
            <w:bookmarkEnd w:id="168"/>
            <w:bookmarkEnd w:id="169"/>
          </w:p>
        </w:tc>
        <w:tc>
          <w:tcPr>
            <w:tcW w:w="4435" w:type="dxa"/>
          </w:tcPr>
          <w:p w14:paraId="60D4A7C2" w14:textId="71BE81F8" w:rsidR="0022699D" w:rsidRPr="00483FA3" w:rsidRDefault="00483FA3" w:rsidP="00483FA3">
            <w:pPr>
              <w:pStyle w:val="Descripcin"/>
              <w:keepNext/>
              <w:spacing w:after="0"/>
              <w:jc w:val="center"/>
              <w:rPr>
                <w:sz w:val="22"/>
                <w:szCs w:val="22"/>
              </w:rPr>
            </w:pPr>
            <w:bookmarkStart w:id="170" w:name="_Toc125733223"/>
            <w:bookmarkStart w:id="171" w:name="_Toc158103873"/>
            <w:r w:rsidRPr="00483FA3">
              <w:rPr>
                <w:sz w:val="22"/>
                <w:szCs w:val="22"/>
              </w:rPr>
              <w:t xml:space="preserve">Gráfico </w:t>
            </w:r>
            <w:r w:rsidRPr="00483FA3">
              <w:rPr>
                <w:sz w:val="22"/>
                <w:szCs w:val="22"/>
              </w:rPr>
              <w:fldChar w:fldCharType="begin"/>
            </w:r>
            <w:r w:rsidRPr="00483FA3">
              <w:rPr>
                <w:sz w:val="22"/>
                <w:szCs w:val="22"/>
              </w:rPr>
              <w:instrText xml:space="preserve"> SEQ Gráfico \* ARABIC </w:instrText>
            </w:r>
            <w:r w:rsidRPr="00483FA3">
              <w:rPr>
                <w:sz w:val="22"/>
                <w:szCs w:val="22"/>
              </w:rPr>
              <w:fldChar w:fldCharType="separate"/>
            </w:r>
            <w:r w:rsidR="00C015DC">
              <w:rPr>
                <w:noProof/>
                <w:sz w:val="22"/>
                <w:szCs w:val="22"/>
              </w:rPr>
              <w:t>28</w:t>
            </w:r>
            <w:r w:rsidRPr="00483FA3">
              <w:rPr>
                <w:sz w:val="22"/>
                <w:szCs w:val="22"/>
              </w:rPr>
              <w:fldChar w:fldCharType="end"/>
            </w:r>
            <w:r w:rsidRPr="00483FA3">
              <w:rPr>
                <w:sz w:val="22"/>
                <w:szCs w:val="22"/>
              </w:rPr>
              <w:t xml:space="preserve">.  </w:t>
            </w:r>
            <w:r w:rsidR="0022699D" w:rsidRPr="00483FA3">
              <w:rPr>
                <w:rFonts w:eastAsia="AGaramondPro-Regular" w:cs="Calibri"/>
                <w:bCs/>
                <w:sz w:val="22"/>
                <w:szCs w:val="22"/>
              </w:rPr>
              <w:t>Perspectivas de crecimiento de los componentes del gasto del PIB (%)</w:t>
            </w:r>
            <w:bookmarkEnd w:id="170"/>
            <w:bookmarkEnd w:id="171"/>
          </w:p>
        </w:tc>
      </w:tr>
      <w:tr w:rsidR="0022699D" w:rsidRPr="0022699D" w14:paraId="7A53736C" w14:textId="77777777" w:rsidTr="00F22DD8">
        <w:tc>
          <w:tcPr>
            <w:tcW w:w="4295" w:type="dxa"/>
          </w:tcPr>
          <w:p w14:paraId="56AB55E6" w14:textId="77777777" w:rsidR="0022699D" w:rsidRPr="0022699D" w:rsidRDefault="0022699D" w:rsidP="0022699D">
            <w:pPr>
              <w:spacing w:line="276" w:lineRule="auto"/>
              <w:contextualSpacing/>
              <w:jc w:val="center"/>
              <w:rPr>
                <w:rFonts w:ascii="Times New Roman" w:eastAsia="AGaramondPro-Regular" w:hAnsi="Times New Roman" w:cs="Calibri"/>
                <w:sz w:val="22"/>
                <w:szCs w:val="22"/>
              </w:rPr>
            </w:pPr>
            <w:r w:rsidRPr="0022699D">
              <w:rPr>
                <w:rFonts w:ascii="Times New Roman" w:eastAsiaTheme="majorEastAsia" w:hAnsi="Times New Roman" w:cs="Calibri"/>
                <w:b/>
                <w:noProof/>
                <w:sz w:val="22"/>
                <w:szCs w:val="26"/>
              </w:rPr>
              <w:drawing>
                <wp:inline distT="0" distB="0" distL="0" distR="0" wp14:anchorId="5DE7F5D7" wp14:editId="141D6E99">
                  <wp:extent cx="2675200" cy="2130425"/>
                  <wp:effectExtent l="0" t="0" r="0" b="3175"/>
                  <wp:docPr id="7"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4435" w:type="dxa"/>
          </w:tcPr>
          <w:p w14:paraId="060B4B46" w14:textId="77777777" w:rsidR="0022699D" w:rsidRPr="0022699D" w:rsidRDefault="0022699D" w:rsidP="0022699D">
            <w:pPr>
              <w:spacing w:line="276" w:lineRule="auto"/>
              <w:contextualSpacing/>
              <w:jc w:val="center"/>
              <w:rPr>
                <w:rFonts w:ascii="Times New Roman" w:eastAsia="AGaramondPro-Regular" w:hAnsi="Times New Roman" w:cs="Calibri"/>
                <w:sz w:val="22"/>
                <w:szCs w:val="22"/>
              </w:rPr>
            </w:pPr>
            <w:r w:rsidRPr="0022699D">
              <w:rPr>
                <w:rFonts w:ascii="Times New Roman" w:eastAsia="Times New Roman" w:hAnsi="Times New Roman" w:cs="Calibri"/>
                <w:noProof/>
                <w:sz w:val="22"/>
                <w:szCs w:val="22"/>
              </w:rPr>
              <w:drawing>
                <wp:inline distT="0" distB="0" distL="0" distR="0" wp14:anchorId="7401FDF5" wp14:editId="6645DABB">
                  <wp:extent cx="2767054" cy="2130425"/>
                  <wp:effectExtent l="0" t="0" r="0" b="3175"/>
                  <wp:docPr id="19" name="Gráfico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r w:rsidR="0022699D" w:rsidRPr="0022699D" w14:paraId="2079449C" w14:textId="77777777" w:rsidTr="00F22DD8">
        <w:tc>
          <w:tcPr>
            <w:tcW w:w="8730" w:type="dxa"/>
            <w:gridSpan w:val="2"/>
          </w:tcPr>
          <w:p w14:paraId="6E8002DF" w14:textId="77777777" w:rsidR="0022699D" w:rsidRPr="0022699D" w:rsidRDefault="0022699D" w:rsidP="00483FA3">
            <w:pPr>
              <w:contextualSpacing/>
              <w:jc w:val="both"/>
              <w:rPr>
                <w:rFonts w:ascii="Times New Roman" w:eastAsia="AGaramondPro-Regular" w:hAnsi="Times New Roman" w:cs="Calibri"/>
                <w:sz w:val="18"/>
                <w:szCs w:val="18"/>
              </w:rPr>
            </w:pPr>
            <w:r w:rsidRPr="0022699D">
              <w:rPr>
                <w:rFonts w:ascii="Times New Roman" w:eastAsia="AGaramondPro-Regular" w:hAnsi="Times New Roman" w:cs="Calibri"/>
                <w:sz w:val="18"/>
                <w:szCs w:val="18"/>
              </w:rPr>
              <w:t xml:space="preserve"> Fuente: Banco de Guatemala</w:t>
            </w:r>
          </w:p>
          <w:p w14:paraId="3FFB22F7" w14:textId="77777777" w:rsidR="0022699D" w:rsidRPr="0022699D" w:rsidRDefault="0022699D" w:rsidP="00483FA3">
            <w:pPr>
              <w:contextualSpacing/>
              <w:jc w:val="both"/>
              <w:rPr>
                <w:rFonts w:ascii="Times New Roman" w:eastAsia="AGaramondPro-Regular" w:hAnsi="Times New Roman" w:cs="Calibri"/>
                <w:sz w:val="20"/>
                <w:szCs w:val="20"/>
              </w:rPr>
            </w:pPr>
            <w:r w:rsidRPr="0022699D">
              <w:rPr>
                <w:rFonts w:ascii="Times New Roman" w:eastAsiaTheme="majorEastAsia" w:hAnsi="Times New Roman" w:cs="Calibri"/>
                <w:sz w:val="18"/>
                <w:szCs w:val="18"/>
              </w:rPr>
              <w:t xml:space="preserve"> e/: estimación de cierre, </w:t>
            </w:r>
            <w:proofErr w:type="spellStart"/>
            <w:r w:rsidRPr="0022699D">
              <w:rPr>
                <w:rFonts w:ascii="Times New Roman" w:eastAsiaTheme="majorEastAsia" w:hAnsi="Times New Roman" w:cs="Calibri"/>
                <w:sz w:val="18"/>
                <w:szCs w:val="18"/>
              </w:rPr>
              <w:t>py</w:t>
            </w:r>
            <w:proofErr w:type="spellEnd"/>
            <w:r w:rsidRPr="0022699D">
              <w:rPr>
                <w:rFonts w:ascii="Times New Roman" w:eastAsiaTheme="majorEastAsia" w:hAnsi="Times New Roman" w:cs="Calibri"/>
                <w:sz w:val="18"/>
                <w:szCs w:val="18"/>
              </w:rPr>
              <w:t>/: proyección.</w:t>
            </w:r>
          </w:p>
        </w:tc>
      </w:tr>
    </w:tbl>
    <w:p w14:paraId="6749D735" w14:textId="77777777" w:rsidR="0022699D" w:rsidRPr="00483FA3" w:rsidRDefault="0022699D" w:rsidP="00483FA3">
      <w:pPr>
        <w:contextualSpacing/>
        <w:jc w:val="both"/>
        <w:rPr>
          <w:rFonts w:ascii="Times New Roman" w:eastAsia="Times New Roman" w:hAnsi="Times New Roman" w:cs="Calibri"/>
          <w:sz w:val="22"/>
          <w:szCs w:val="22"/>
        </w:rPr>
      </w:pPr>
    </w:p>
    <w:p w14:paraId="16D1F17C" w14:textId="77777777" w:rsidR="0022699D" w:rsidRPr="00483FA3" w:rsidRDefault="0022699D" w:rsidP="00483FA3">
      <w:pPr>
        <w:contextualSpacing/>
        <w:jc w:val="both"/>
        <w:rPr>
          <w:rFonts w:ascii="Times New Roman" w:eastAsia="Times New Roman" w:hAnsi="Times New Roman" w:cs="Calibri"/>
          <w:sz w:val="22"/>
          <w:szCs w:val="22"/>
        </w:rPr>
      </w:pPr>
      <w:r w:rsidRPr="00483FA3">
        <w:rPr>
          <w:rFonts w:ascii="Times New Roman" w:eastAsia="Times New Roman" w:hAnsi="Times New Roman" w:cs="Calibri"/>
          <w:sz w:val="22"/>
          <w:szCs w:val="22"/>
        </w:rPr>
        <w:t>En lo que respecta a la demanda externa, se espera que el crecimiento de exportaciones de bienes y servicios en términos reales incrementen 4.2% en 2024, debido a una normalización de la demanda de los productos nacionales de los principales socios comerciales. Para las importaciones reales se espera un crecimiento de 4.0%, como respuesta al desempeño esperado de la demanda interna.</w:t>
      </w:r>
    </w:p>
    <w:p w14:paraId="0F29E4BD" w14:textId="77777777" w:rsidR="0022699D" w:rsidRPr="00483FA3" w:rsidRDefault="0022699D" w:rsidP="00483FA3">
      <w:pPr>
        <w:contextualSpacing/>
        <w:jc w:val="both"/>
        <w:rPr>
          <w:rFonts w:ascii="Times New Roman" w:eastAsia="Times New Roman" w:hAnsi="Times New Roman" w:cs="Calibri"/>
          <w:sz w:val="22"/>
          <w:szCs w:val="22"/>
        </w:rPr>
      </w:pPr>
    </w:p>
    <w:p w14:paraId="5538CD19" w14:textId="13C069EB" w:rsidR="0022699D" w:rsidRPr="00483FA3" w:rsidRDefault="0022699D" w:rsidP="00483FA3">
      <w:pPr>
        <w:contextualSpacing/>
        <w:jc w:val="both"/>
        <w:rPr>
          <w:rFonts w:ascii="Times New Roman" w:eastAsia="Times New Roman" w:hAnsi="Times New Roman" w:cs="Calibri"/>
          <w:sz w:val="22"/>
          <w:szCs w:val="22"/>
        </w:rPr>
      </w:pPr>
      <w:r w:rsidRPr="00483FA3">
        <w:rPr>
          <w:rFonts w:ascii="Times New Roman" w:eastAsia="Times New Roman" w:hAnsi="Times New Roman" w:cs="Calibri"/>
          <w:sz w:val="22"/>
          <w:szCs w:val="22"/>
        </w:rPr>
        <w:t>En lo que respecta a las actividades económicas</w:t>
      </w:r>
      <w:r w:rsidR="007D27F8" w:rsidRPr="00483FA3">
        <w:rPr>
          <w:rFonts w:ascii="Times New Roman" w:eastAsia="Times New Roman" w:hAnsi="Times New Roman" w:cs="Calibri"/>
          <w:sz w:val="22"/>
          <w:szCs w:val="22"/>
        </w:rPr>
        <w:t>,</w:t>
      </w:r>
      <w:r w:rsidRPr="00483FA3">
        <w:rPr>
          <w:rFonts w:ascii="Times New Roman" w:eastAsia="Times New Roman" w:hAnsi="Times New Roman" w:cs="Calibri"/>
          <w:sz w:val="22"/>
          <w:szCs w:val="22"/>
        </w:rPr>
        <w:t xml:space="preserve"> el Banco de Guatemala espera que el comercio al por mayor y menor, mantenimiento y reparación de vehículos automotores y motocicletas represente el 21.2% del total de 2024 y que crezca un 3.6%, debido a las expectativas favorables de la comercialización de bienes. La industria manufacturera, que representaría 14.0% del total, se proyecta que tenga un crecimiento 3.3% por el incremento de la demanda interna y externa de productos alimenticios. Para la agricultura, ganadería, silvicultura y pesca, se proyecta un crecimiento de 2.2% derivado también de mayor demanda de cultivos (hortalizas, bananos, cereales, entre otros).</w:t>
      </w:r>
    </w:p>
    <w:p w14:paraId="7F2118E3" w14:textId="77777777" w:rsidR="0022699D" w:rsidRPr="00483FA3" w:rsidRDefault="0022699D" w:rsidP="00483FA3">
      <w:pPr>
        <w:contextualSpacing/>
        <w:jc w:val="both"/>
        <w:rPr>
          <w:rFonts w:ascii="Times New Roman" w:eastAsia="Times New Roman" w:hAnsi="Times New Roman" w:cs="Calibri"/>
          <w:sz w:val="22"/>
          <w:szCs w:val="22"/>
        </w:rPr>
      </w:pPr>
    </w:p>
    <w:p w14:paraId="33C4B061" w14:textId="42A2760D" w:rsidR="0022699D" w:rsidRPr="00483FA3" w:rsidRDefault="0022699D" w:rsidP="00483FA3">
      <w:pPr>
        <w:contextualSpacing/>
        <w:jc w:val="both"/>
        <w:rPr>
          <w:rFonts w:ascii="Times New Roman" w:eastAsia="Times New Roman" w:hAnsi="Times New Roman" w:cs="Calibri"/>
          <w:sz w:val="22"/>
          <w:szCs w:val="22"/>
        </w:rPr>
      </w:pPr>
      <w:r w:rsidRPr="00483FA3">
        <w:rPr>
          <w:rFonts w:ascii="Times New Roman" w:eastAsia="Times New Roman" w:hAnsi="Times New Roman" w:cs="Calibri"/>
          <w:sz w:val="22"/>
          <w:szCs w:val="22"/>
        </w:rPr>
        <w:t xml:space="preserve">Las actividades inmobiliarias se espera que representarán un 7.7% del total en </w:t>
      </w:r>
      <w:r w:rsidR="007370D8" w:rsidRPr="00483FA3">
        <w:rPr>
          <w:rFonts w:ascii="Times New Roman" w:eastAsia="Times New Roman" w:hAnsi="Times New Roman" w:cs="Calibri"/>
          <w:sz w:val="22"/>
          <w:szCs w:val="22"/>
        </w:rPr>
        <w:t>2024, y</w:t>
      </w:r>
      <w:r w:rsidRPr="00483FA3">
        <w:rPr>
          <w:rFonts w:ascii="Times New Roman" w:eastAsia="Times New Roman" w:hAnsi="Times New Roman" w:cs="Calibri"/>
          <w:sz w:val="22"/>
          <w:szCs w:val="22"/>
        </w:rPr>
        <w:t xml:space="preserve"> podría mostrar un crecimiento de 4.1%, esto por el aumento en los alquileres residenciales debido al mayor número de viviendas construidas. Respecto a las actividades financieras y de seguros se espera un crecimiento de 7.3% debido a la expectativa de un buen desempeño del crédito al sector privado por lo que los bancos e instituciones financieras se verían beneficiados, además de un incremento en la emisión de tarjetas de crédito. Para el sector construcción se espera una ralentización en su crecimiento, situándose en 1.9%, 1.6 puntos porcentuales menor a la estimación de cierre de 2023.</w:t>
      </w:r>
    </w:p>
    <w:p w14:paraId="1BAF5314" w14:textId="48289C9A" w:rsidR="0022699D" w:rsidRDefault="0022699D" w:rsidP="00483FA3">
      <w:pPr>
        <w:contextualSpacing/>
        <w:jc w:val="both"/>
        <w:rPr>
          <w:rFonts w:ascii="Times New Roman" w:eastAsia="Times New Roman" w:hAnsi="Times New Roman" w:cs="Calibri"/>
          <w:sz w:val="22"/>
          <w:szCs w:val="22"/>
        </w:rPr>
      </w:pPr>
    </w:p>
    <w:p w14:paraId="590CA28D" w14:textId="1A1CEC41" w:rsidR="00483FA3" w:rsidRDefault="00483FA3" w:rsidP="00483FA3">
      <w:pPr>
        <w:contextualSpacing/>
        <w:jc w:val="both"/>
        <w:rPr>
          <w:rFonts w:ascii="Times New Roman" w:eastAsia="Times New Roman" w:hAnsi="Times New Roman" w:cs="Calibri"/>
          <w:sz w:val="22"/>
          <w:szCs w:val="22"/>
        </w:rPr>
      </w:pPr>
    </w:p>
    <w:p w14:paraId="62A028F7" w14:textId="6F17D9E5" w:rsidR="00483FA3" w:rsidRDefault="00483FA3" w:rsidP="00483FA3">
      <w:pPr>
        <w:contextualSpacing/>
        <w:jc w:val="both"/>
        <w:rPr>
          <w:rFonts w:ascii="Times New Roman" w:eastAsia="Times New Roman" w:hAnsi="Times New Roman" w:cs="Calibri"/>
          <w:sz w:val="22"/>
          <w:szCs w:val="22"/>
        </w:rPr>
      </w:pPr>
    </w:p>
    <w:p w14:paraId="010F1A42" w14:textId="6AB29814" w:rsidR="00483FA3" w:rsidRDefault="00483FA3" w:rsidP="00483FA3">
      <w:pPr>
        <w:contextualSpacing/>
        <w:jc w:val="both"/>
        <w:rPr>
          <w:rFonts w:ascii="Times New Roman" w:eastAsia="Times New Roman" w:hAnsi="Times New Roman" w:cs="Calibri"/>
          <w:sz w:val="22"/>
          <w:szCs w:val="22"/>
        </w:rPr>
      </w:pPr>
    </w:p>
    <w:p w14:paraId="60811CCB" w14:textId="6DD188C2" w:rsidR="00483FA3" w:rsidRDefault="00483FA3" w:rsidP="00483FA3">
      <w:pPr>
        <w:contextualSpacing/>
        <w:jc w:val="both"/>
        <w:rPr>
          <w:rFonts w:ascii="Times New Roman" w:eastAsia="Times New Roman" w:hAnsi="Times New Roman" w:cs="Calibri"/>
          <w:sz w:val="22"/>
          <w:szCs w:val="22"/>
        </w:rPr>
      </w:pPr>
    </w:p>
    <w:p w14:paraId="1A78604F" w14:textId="2521B384" w:rsidR="00483FA3" w:rsidRDefault="00483FA3" w:rsidP="00483FA3">
      <w:pPr>
        <w:contextualSpacing/>
        <w:jc w:val="both"/>
        <w:rPr>
          <w:rFonts w:ascii="Times New Roman" w:eastAsia="Times New Roman" w:hAnsi="Times New Roman" w:cs="Calibri"/>
          <w:sz w:val="22"/>
          <w:szCs w:val="22"/>
        </w:rPr>
      </w:pPr>
    </w:p>
    <w:p w14:paraId="18F0A712" w14:textId="2E34EAE7" w:rsidR="00483FA3" w:rsidRDefault="00483FA3" w:rsidP="00483FA3">
      <w:pPr>
        <w:contextualSpacing/>
        <w:jc w:val="both"/>
        <w:rPr>
          <w:rFonts w:ascii="Times New Roman" w:eastAsia="Times New Roman" w:hAnsi="Times New Roman" w:cs="Calibri"/>
          <w:sz w:val="22"/>
          <w:szCs w:val="22"/>
        </w:rPr>
      </w:pPr>
    </w:p>
    <w:p w14:paraId="3F246FF1" w14:textId="53DC21FA" w:rsidR="00483FA3" w:rsidRDefault="00483FA3" w:rsidP="00483FA3">
      <w:pPr>
        <w:contextualSpacing/>
        <w:jc w:val="both"/>
        <w:rPr>
          <w:rFonts w:ascii="Times New Roman" w:eastAsia="Times New Roman" w:hAnsi="Times New Roman" w:cs="Calibri"/>
          <w:sz w:val="22"/>
          <w:szCs w:val="22"/>
        </w:rPr>
      </w:pPr>
    </w:p>
    <w:p w14:paraId="3F104E7C" w14:textId="60BD3A21" w:rsidR="00483FA3" w:rsidRDefault="00483FA3" w:rsidP="00483FA3">
      <w:pPr>
        <w:contextualSpacing/>
        <w:jc w:val="both"/>
        <w:rPr>
          <w:rFonts w:ascii="Times New Roman" w:eastAsia="Times New Roman" w:hAnsi="Times New Roman" w:cs="Calibri"/>
          <w:sz w:val="22"/>
          <w:szCs w:val="22"/>
        </w:rPr>
      </w:pPr>
    </w:p>
    <w:p w14:paraId="566BF5BA" w14:textId="2D6A216D" w:rsidR="00483FA3" w:rsidRDefault="00483FA3" w:rsidP="00483FA3">
      <w:pPr>
        <w:contextualSpacing/>
        <w:jc w:val="both"/>
        <w:rPr>
          <w:rFonts w:ascii="Times New Roman" w:eastAsia="Times New Roman" w:hAnsi="Times New Roman" w:cs="Calibri"/>
          <w:sz w:val="22"/>
          <w:szCs w:val="22"/>
        </w:rPr>
      </w:pPr>
    </w:p>
    <w:p w14:paraId="5B91137C" w14:textId="20C64645" w:rsidR="00483FA3" w:rsidRDefault="00483FA3" w:rsidP="00483FA3">
      <w:pPr>
        <w:contextualSpacing/>
        <w:jc w:val="both"/>
        <w:rPr>
          <w:rFonts w:ascii="Times New Roman" w:eastAsia="Times New Roman" w:hAnsi="Times New Roman" w:cs="Calibri"/>
          <w:sz w:val="22"/>
          <w:szCs w:val="22"/>
        </w:rPr>
      </w:pPr>
    </w:p>
    <w:p w14:paraId="71828042" w14:textId="2E2E5312" w:rsidR="00483FA3" w:rsidRDefault="00483FA3" w:rsidP="00483FA3">
      <w:pPr>
        <w:contextualSpacing/>
        <w:jc w:val="both"/>
        <w:rPr>
          <w:rFonts w:ascii="Times New Roman" w:eastAsia="Times New Roman" w:hAnsi="Times New Roman" w:cs="Calibri"/>
          <w:sz w:val="22"/>
          <w:szCs w:val="22"/>
        </w:rPr>
      </w:pPr>
    </w:p>
    <w:p w14:paraId="4235B613" w14:textId="77777777" w:rsidR="00483FA3" w:rsidRPr="00483FA3" w:rsidRDefault="00483FA3" w:rsidP="00483FA3">
      <w:pPr>
        <w:contextualSpacing/>
        <w:jc w:val="both"/>
        <w:rPr>
          <w:rFonts w:ascii="Times New Roman" w:eastAsia="Times New Roman" w:hAnsi="Times New Roman" w:cs="Calibri"/>
          <w:sz w:val="22"/>
          <w:szCs w:val="22"/>
        </w:rPr>
      </w:pPr>
    </w:p>
    <w:tbl>
      <w:tblPr>
        <w:tblStyle w:val="Tablaconcuadrcu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0"/>
      </w:tblGrid>
      <w:tr w:rsidR="0022699D" w:rsidRPr="0022699D" w14:paraId="135AE401" w14:textId="77777777" w:rsidTr="00973C72">
        <w:tc>
          <w:tcPr>
            <w:tcW w:w="8730" w:type="dxa"/>
          </w:tcPr>
          <w:p w14:paraId="77F52A0B" w14:textId="6C0FA249" w:rsidR="0022699D" w:rsidRPr="00483FA3" w:rsidRDefault="00483FA3" w:rsidP="00483FA3">
            <w:pPr>
              <w:pStyle w:val="Descripcin"/>
              <w:keepNext/>
              <w:spacing w:after="0"/>
              <w:jc w:val="center"/>
              <w:rPr>
                <w:sz w:val="22"/>
                <w:szCs w:val="22"/>
              </w:rPr>
            </w:pPr>
            <w:bookmarkStart w:id="172" w:name="_Toc125733224"/>
            <w:bookmarkStart w:id="173" w:name="_Toc158103874"/>
            <w:r w:rsidRPr="00483FA3">
              <w:rPr>
                <w:sz w:val="22"/>
                <w:szCs w:val="22"/>
              </w:rPr>
              <w:t xml:space="preserve">Gráfico </w:t>
            </w:r>
            <w:r w:rsidRPr="00483FA3">
              <w:rPr>
                <w:sz w:val="22"/>
                <w:szCs w:val="22"/>
              </w:rPr>
              <w:fldChar w:fldCharType="begin"/>
            </w:r>
            <w:r w:rsidRPr="00483FA3">
              <w:rPr>
                <w:sz w:val="22"/>
                <w:szCs w:val="22"/>
              </w:rPr>
              <w:instrText xml:space="preserve"> SEQ Gráfico \* ARABIC </w:instrText>
            </w:r>
            <w:r w:rsidRPr="00483FA3">
              <w:rPr>
                <w:sz w:val="22"/>
                <w:szCs w:val="22"/>
              </w:rPr>
              <w:fldChar w:fldCharType="separate"/>
            </w:r>
            <w:r w:rsidR="00C015DC">
              <w:rPr>
                <w:noProof/>
                <w:sz w:val="22"/>
                <w:szCs w:val="22"/>
              </w:rPr>
              <w:t>29</w:t>
            </w:r>
            <w:r w:rsidRPr="00483FA3">
              <w:rPr>
                <w:sz w:val="22"/>
                <w:szCs w:val="22"/>
              </w:rPr>
              <w:fldChar w:fldCharType="end"/>
            </w:r>
            <w:r w:rsidRPr="00483FA3">
              <w:rPr>
                <w:sz w:val="22"/>
                <w:szCs w:val="22"/>
              </w:rPr>
              <w:t xml:space="preserve">.  </w:t>
            </w:r>
            <w:r w:rsidR="0022699D" w:rsidRPr="00483FA3">
              <w:rPr>
                <w:rFonts w:eastAsia="Times New Roman" w:cs="Calibri"/>
                <w:bCs/>
                <w:sz w:val="22"/>
                <w:szCs w:val="22"/>
              </w:rPr>
              <w:t>Perspectivas de crecimiento por actividad económica del PIB (%)</w:t>
            </w:r>
            <w:bookmarkEnd w:id="172"/>
            <w:bookmarkEnd w:id="173"/>
          </w:p>
        </w:tc>
      </w:tr>
      <w:tr w:rsidR="0022699D" w:rsidRPr="0022699D" w14:paraId="434B39E9" w14:textId="77777777" w:rsidTr="00973C72">
        <w:tc>
          <w:tcPr>
            <w:tcW w:w="8730" w:type="dxa"/>
          </w:tcPr>
          <w:p w14:paraId="20E9C585" w14:textId="77777777" w:rsidR="0022699D" w:rsidRPr="0022699D" w:rsidRDefault="0022699D" w:rsidP="0022699D">
            <w:pPr>
              <w:spacing w:line="276" w:lineRule="auto"/>
              <w:contextualSpacing/>
              <w:jc w:val="both"/>
              <w:rPr>
                <w:rFonts w:ascii="Times New Roman" w:eastAsia="Times New Roman" w:hAnsi="Times New Roman" w:cs="Calibri"/>
                <w:sz w:val="22"/>
                <w:szCs w:val="22"/>
              </w:rPr>
            </w:pPr>
            <w:r w:rsidRPr="0022699D">
              <w:rPr>
                <w:rFonts w:ascii="Times New Roman" w:eastAsia="Times New Roman" w:hAnsi="Times New Roman" w:cs="Calibri"/>
                <w:noProof/>
                <w:sz w:val="22"/>
                <w:szCs w:val="22"/>
              </w:rPr>
              <w:drawing>
                <wp:inline distT="0" distB="0" distL="0" distR="0" wp14:anchorId="2DFD1F1F" wp14:editId="7F874474">
                  <wp:extent cx="5613400" cy="4261900"/>
                  <wp:effectExtent l="0" t="0" r="6350" b="5715"/>
                  <wp:docPr id="20" name="Gráfico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rsidR="0022699D" w:rsidRPr="0022699D" w14:paraId="0EB85F90" w14:textId="77777777" w:rsidTr="00973C72">
        <w:tc>
          <w:tcPr>
            <w:tcW w:w="8730" w:type="dxa"/>
          </w:tcPr>
          <w:p w14:paraId="37F97B22" w14:textId="77777777" w:rsidR="0022699D" w:rsidRPr="0022699D" w:rsidRDefault="0022699D" w:rsidP="00483FA3">
            <w:pPr>
              <w:contextualSpacing/>
              <w:jc w:val="both"/>
              <w:rPr>
                <w:rFonts w:ascii="Times New Roman" w:eastAsia="Times New Roman" w:hAnsi="Times New Roman" w:cs="Calibri"/>
                <w:sz w:val="18"/>
                <w:szCs w:val="18"/>
              </w:rPr>
            </w:pPr>
            <w:r w:rsidRPr="0022699D">
              <w:rPr>
                <w:rFonts w:ascii="Times New Roman" w:eastAsia="Times New Roman" w:hAnsi="Times New Roman" w:cs="Calibri"/>
                <w:sz w:val="18"/>
                <w:szCs w:val="18"/>
              </w:rPr>
              <w:t>Fuente: Banco de Guatemala</w:t>
            </w:r>
          </w:p>
          <w:p w14:paraId="78F598DF" w14:textId="77777777" w:rsidR="0022699D" w:rsidRPr="0022699D" w:rsidRDefault="0022699D" w:rsidP="00483FA3">
            <w:pPr>
              <w:contextualSpacing/>
              <w:jc w:val="both"/>
              <w:rPr>
                <w:rFonts w:ascii="Times New Roman" w:eastAsiaTheme="majorEastAsia" w:hAnsi="Times New Roman" w:cs="Calibri"/>
                <w:sz w:val="18"/>
                <w:szCs w:val="18"/>
              </w:rPr>
            </w:pPr>
            <w:r w:rsidRPr="0022699D">
              <w:rPr>
                <w:rFonts w:ascii="Times New Roman" w:eastAsiaTheme="majorEastAsia" w:hAnsi="Times New Roman" w:cs="Calibri"/>
                <w:sz w:val="18"/>
                <w:szCs w:val="18"/>
              </w:rPr>
              <w:t xml:space="preserve">e/: estimación de cierre, </w:t>
            </w:r>
            <w:proofErr w:type="spellStart"/>
            <w:r w:rsidRPr="0022699D">
              <w:rPr>
                <w:rFonts w:ascii="Times New Roman" w:eastAsiaTheme="majorEastAsia" w:hAnsi="Times New Roman" w:cs="Calibri"/>
                <w:sz w:val="18"/>
                <w:szCs w:val="18"/>
              </w:rPr>
              <w:t>py</w:t>
            </w:r>
            <w:proofErr w:type="spellEnd"/>
            <w:r w:rsidRPr="0022699D">
              <w:rPr>
                <w:rFonts w:ascii="Times New Roman" w:eastAsiaTheme="majorEastAsia" w:hAnsi="Times New Roman" w:cs="Calibri"/>
                <w:sz w:val="18"/>
                <w:szCs w:val="18"/>
              </w:rPr>
              <w:t>/: proyección</w:t>
            </w:r>
          </w:p>
          <w:p w14:paraId="00F694D5" w14:textId="77777777" w:rsidR="0022699D" w:rsidRPr="0022699D" w:rsidRDefault="0022699D" w:rsidP="00483FA3">
            <w:pPr>
              <w:contextualSpacing/>
              <w:jc w:val="both"/>
              <w:rPr>
                <w:rFonts w:ascii="Times New Roman" w:eastAsia="Times New Roman" w:hAnsi="Times New Roman" w:cs="Calibri"/>
                <w:sz w:val="18"/>
                <w:szCs w:val="20"/>
              </w:rPr>
            </w:pPr>
            <w:r w:rsidRPr="0022699D">
              <w:rPr>
                <w:rFonts w:ascii="Times New Roman" w:eastAsia="Times New Roman" w:hAnsi="Times New Roman" w:cs="Calibri"/>
                <w:sz w:val="18"/>
                <w:szCs w:val="20"/>
              </w:rPr>
              <w:t>Nota: Entre paréntesis se encuentra la proporción de la producción total esperada para el 2024</w:t>
            </w:r>
          </w:p>
        </w:tc>
      </w:tr>
    </w:tbl>
    <w:p w14:paraId="5236C2EC" w14:textId="77777777" w:rsidR="0022699D" w:rsidRPr="0022699D" w:rsidRDefault="0022699D" w:rsidP="00483FA3">
      <w:pPr>
        <w:contextualSpacing/>
        <w:jc w:val="both"/>
      </w:pPr>
    </w:p>
    <w:p w14:paraId="19E0B223" w14:textId="01588D72" w:rsidR="0022699D" w:rsidRPr="0022699D" w:rsidRDefault="0022699D" w:rsidP="00483FA3">
      <w:pPr>
        <w:contextualSpacing/>
        <w:jc w:val="both"/>
        <w:rPr>
          <w:rFonts w:ascii="Times New Roman" w:eastAsia="Times New Roman" w:hAnsi="Times New Roman" w:cs="Calibri"/>
          <w:sz w:val="22"/>
          <w:szCs w:val="22"/>
        </w:rPr>
      </w:pPr>
      <w:r w:rsidRPr="0022699D">
        <w:rPr>
          <w:rFonts w:ascii="Times New Roman" w:eastAsia="Times New Roman" w:hAnsi="Times New Roman" w:cs="Calibri"/>
          <w:sz w:val="22"/>
          <w:szCs w:val="22"/>
        </w:rPr>
        <w:t xml:space="preserve">Por su parte, el ritmo inflacionario se prevé se </w:t>
      </w:r>
      <w:r w:rsidR="00FA6735">
        <w:rPr>
          <w:rFonts w:ascii="Times New Roman" w:eastAsia="Times New Roman" w:hAnsi="Times New Roman" w:cs="Calibri"/>
          <w:sz w:val="22"/>
          <w:szCs w:val="22"/>
        </w:rPr>
        <w:t>sitúe</w:t>
      </w:r>
      <w:r w:rsidR="00FA6735" w:rsidRPr="0022699D">
        <w:rPr>
          <w:rFonts w:ascii="Times New Roman" w:eastAsia="Times New Roman" w:hAnsi="Times New Roman" w:cs="Calibri"/>
          <w:sz w:val="22"/>
          <w:szCs w:val="22"/>
        </w:rPr>
        <w:t xml:space="preserve"> </w:t>
      </w:r>
      <w:r w:rsidRPr="0022699D">
        <w:rPr>
          <w:rFonts w:ascii="Times New Roman" w:eastAsia="Times New Roman" w:hAnsi="Times New Roman" w:cs="Calibri"/>
          <w:sz w:val="22"/>
          <w:szCs w:val="22"/>
        </w:rPr>
        <w:t>en 4.0% en el valor medio de la meta del Banco de Guatemala</w:t>
      </w:r>
      <w:r w:rsidR="0066363E">
        <w:rPr>
          <w:rFonts w:ascii="Times New Roman" w:eastAsia="Times New Roman" w:hAnsi="Times New Roman" w:cs="Calibri"/>
          <w:sz w:val="22"/>
          <w:szCs w:val="22"/>
        </w:rPr>
        <w:t>,</w:t>
      </w:r>
      <w:r w:rsidRPr="0022699D">
        <w:rPr>
          <w:rFonts w:ascii="Times New Roman" w:eastAsia="Times New Roman" w:hAnsi="Times New Roman" w:cs="Calibri"/>
          <w:sz w:val="22"/>
          <w:szCs w:val="22"/>
        </w:rPr>
        <w:t xml:space="preserve"> y para la inflación subyacente se espera se ubique en el mismo valor. Los supuestos considerados del lado de la oferta son que los precios de alimentos estén en función de su estacionalidad, el desvanecimiento de las presiones inflacionarias derivada del aumento de los precios internacionales de las materias primas de energía, entre otros. Para la demanda se espera que el impulso económico se mantenga, como resultado de la resiliencia de la economía nacional y que la demanda de dinero no gener</w:t>
      </w:r>
      <w:r w:rsidR="0066363E">
        <w:rPr>
          <w:rFonts w:ascii="Times New Roman" w:eastAsia="Times New Roman" w:hAnsi="Times New Roman" w:cs="Calibri"/>
          <w:sz w:val="22"/>
          <w:szCs w:val="22"/>
        </w:rPr>
        <w:t>e</w:t>
      </w:r>
      <w:r w:rsidRPr="0022699D">
        <w:rPr>
          <w:rFonts w:ascii="Times New Roman" w:eastAsia="Times New Roman" w:hAnsi="Times New Roman" w:cs="Calibri"/>
          <w:sz w:val="22"/>
          <w:szCs w:val="22"/>
        </w:rPr>
        <w:t xml:space="preserve"> presiones inflacionarias.</w:t>
      </w:r>
    </w:p>
    <w:p w14:paraId="5C1EB524" w14:textId="77777777" w:rsidR="0022699D" w:rsidRPr="0022699D" w:rsidRDefault="0022699D" w:rsidP="00483FA3">
      <w:pPr>
        <w:contextualSpacing/>
        <w:jc w:val="both"/>
        <w:rPr>
          <w:rFonts w:ascii="Times New Roman" w:eastAsia="Times New Roman" w:hAnsi="Times New Roman" w:cs="Calibri"/>
          <w:sz w:val="22"/>
          <w:szCs w:val="22"/>
        </w:rPr>
      </w:pPr>
    </w:p>
    <w:p w14:paraId="21180A69" w14:textId="6C0EC0C1" w:rsidR="0022699D" w:rsidRPr="0022699D" w:rsidRDefault="0022699D" w:rsidP="00483FA3">
      <w:pPr>
        <w:contextualSpacing/>
        <w:jc w:val="both"/>
        <w:rPr>
          <w:rFonts w:ascii="Times New Roman" w:eastAsia="Times New Roman" w:hAnsi="Times New Roman" w:cs="Calibri"/>
          <w:sz w:val="22"/>
          <w:szCs w:val="22"/>
        </w:rPr>
      </w:pPr>
      <w:r w:rsidRPr="0022699D">
        <w:rPr>
          <w:rFonts w:ascii="Times New Roman" w:eastAsia="Times New Roman" w:hAnsi="Times New Roman" w:cs="Calibri"/>
          <w:sz w:val="22"/>
          <w:szCs w:val="22"/>
        </w:rPr>
        <w:t>Por su parte</w:t>
      </w:r>
      <w:r w:rsidR="004861EF">
        <w:rPr>
          <w:rFonts w:ascii="Times New Roman" w:eastAsia="Times New Roman" w:hAnsi="Times New Roman" w:cs="Calibri"/>
          <w:sz w:val="22"/>
          <w:szCs w:val="22"/>
        </w:rPr>
        <w:t>,</w:t>
      </w:r>
      <w:r w:rsidRPr="0022699D">
        <w:rPr>
          <w:rFonts w:ascii="Times New Roman" w:eastAsia="Times New Roman" w:hAnsi="Times New Roman" w:cs="Calibri"/>
          <w:sz w:val="22"/>
          <w:szCs w:val="22"/>
        </w:rPr>
        <w:t xml:space="preserve"> en el sector monetario se espera que la emisión monetaria muestre crecimiento entre 10.0% y 13.0% para 2024, dado que se mantendrá la preferencia de liquidez de los agentes económicos, entre otros factores. Los medios de pago (M2) tendrán un crecimiento entre 9.0% y 11.0% para 2024, influenciado por la actividad económica resiliente esperada. Para el crédito bancario al sector privado se estima que tenga un crecimiento entre 9.0% a 12.0%. En resumen, las principales variables del programa monetario tendrán aumento absoluto de Q10,555.8 millones, para la demanda de emisión monetaria se espera un aumento de USD$500.0 millones, así como disminución en los depósitos del Gobierno Central en el Banco de Guatemala de Q7,761.8, además de</w:t>
      </w:r>
      <w:r w:rsidR="004861EF">
        <w:rPr>
          <w:rFonts w:ascii="Times New Roman" w:eastAsia="Times New Roman" w:hAnsi="Times New Roman" w:cs="Calibri"/>
          <w:sz w:val="22"/>
          <w:szCs w:val="22"/>
        </w:rPr>
        <w:t>l</w:t>
      </w:r>
      <w:r w:rsidR="007B75CB">
        <w:rPr>
          <w:rFonts w:ascii="Times New Roman" w:eastAsia="Times New Roman" w:hAnsi="Times New Roman" w:cs="Calibri"/>
          <w:sz w:val="22"/>
          <w:szCs w:val="22"/>
        </w:rPr>
        <w:t xml:space="preserve"> </w:t>
      </w:r>
      <w:r w:rsidRPr="0022699D">
        <w:rPr>
          <w:rFonts w:ascii="Times New Roman" w:eastAsia="Times New Roman" w:hAnsi="Times New Roman" w:cs="Calibri"/>
          <w:sz w:val="22"/>
          <w:szCs w:val="22"/>
        </w:rPr>
        <w:t>aumento de los saldos de encaje de los bancos de Q1,612.1 millones y el incremento de operaciones de estabilización monetaria por Q1,297.1 millones.</w:t>
      </w:r>
    </w:p>
    <w:p w14:paraId="325419F0" w14:textId="77777777" w:rsidR="0022699D" w:rsidRPr="0022699D" w:rsidRDefault="0022699D" w:rsidP="00483FA3"/>
    <w:tbl>
      <w:tblPr>
        <w:tblStyle w:val="Tablaconcuadrcula3"/>
        <w:tblW w:w="882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0"/>
        <w:gridCol w:w="4460"/>
      </w:tblGrid>
      <w:tr w:rsidR="0022699D" w:rsidRPr="0022699D" w14:paraId="67B99236" w14:textId="77777777" w:rsidTr="00973C72">
        <w:trPr>
          <w:trHeight w:val="846"/>
        </w:trPr>
        <w:tc>
          <w:tcPr>
            <w:tcW w:w="4460" w:type="dxa"/>
          </w:tcPr>
          <w:p w14:paraId="5F73E414" w14:textId="04EFC49D" w:rsidR="0022699D" w:rsidRPr="00483FA3" w:rsidRDefault="00483FA3" w:rsidP="00483FA3">
            <w:pPr>
              <w:pStyle w:val="Descripcin"/>
              <w:keepNext/>
              <w:spacing w:after="0"/>
              <w:jc w:val="center"/>
              <w:rPr>
                <w:sz w:val="22"/>
                <w:szCs w:val="22"/>
              </w:rPr>
            </w:pPr>
            <w:bookmarkStart w:id="174" w:name="_Toc125733225"/>
            <w:bookmarkStart w:id="175" w:name="_Toc158103875"/>
            <w:r w:rsidRPr="00483FA3">
              <w:rPr>
                <w:sz w:val="22"/>
                <w:szCs w:val="22"/>
              </w:rPr>
              <w:t xml:space="preserve">Gráfico </w:t>
            </w:r>
            <w:r w:rsidRPr="00483FA3">
              <w:rPr>
                <w:sz w:val="22"/>
                <w:szCs w:val="22"/>
              </w:rPr>
              <w:fldChar w:fldCharType="begin"/>
            </w:r>
            <w:r w:rsidRPr="00483FA3">
              <w:rPr>
                <w:sz w:val="22"/>
                <w:szCs w:val="22"/>
              </w:rPr>
              <w:instrText xml:space="preserve"> SEQ Gráfico \* ARABIC </w:instrText>
            </w:r>
            <w:r w:rsidRPr="00483FA3">
              <w:rPr>
                <w:sz w:val="22"/>
                <w:szCs w:val="22"/>
              </w:rPr>
              <w:fldChar w:fldCharType="separate"/>
            </w:r>
            <w:r w:rsidR="00C015DC">
              <w:rPr>
                <w:noProof/>
                <w:sz w:val="22"/>
                <w:szCs w:val="22"/>
              </w:rPr>
              <w:t>30</w:t>
            </w:r>
            <w:r w:rsidRPr="00483FA3">
              <w:rPr>
                <w:sz w:val="22"/>
                <w:szCs w:val="22"/>
              </w:rPr>
              <w:fldChar w:fldCharType="end"/>
            </w:r>
            <w:r w:rsidRPr="00483FA3">
              <w:rPr>
                <w:sz w:val="22"/>
                <w:szCs w:val="22"/>
              </w:rPr>
              <w:t xml:space="preserve">.  </w:t>
            </w:r>
            <w:r w:rsidR="0022699D" w:rsidRPr="00483FA3">
              <w:rPr>
                <w:rFonts w:eastAsia="AGaramondPro-Regular" w:cs="Calibri"/>
                <w:bCs/>
                <w:sz w:val="22"/>
                <w:szCs w:val="22"/>
              </w:rPr>
              <w:t>Pronóstico de la inflación para el 2024 (%)</w:t>
            </w:r>
            <w:bookmarkEnd w:id="174"/>
            <w:bookmarkEnd w:id="175"/>
          </w:p>
        </w:tc>
        <w:tc>
          <w:tcPr>
            <w:tcW w:w="4365" w:type="dxa"/>
          </w:tcPr>
          <w:p w14:paraId="7C01AF93" w14:textId="756D048B" w:rsidR="0022699D" w:rsidRPr="00483FA3" w:rsidRDefault="00483FA3" w:rsidP="00483FA3">
            <w:pPr>
              <w:pStyle w:val="Descripcin"/>
              <w:keepNext/>
              <w:spacing w:after="0"/>
              <w:jc w:val="center"/>
              <w:rPr>
                <w:sz w:val="22"/>
                <w:szCs w:val="22"/>
              </w:rPr>
            </w:pPr>
            <w:bookmarkStart w:id="176" w:name="_Toc125733226"/>
            <w:bookmarkStart w:id="177" w:name="_Toc158103876"/>
            <w:r w:rsidRPr="00483FA3">
              <w:rPr>
                <w:sz w:val="22"/>
                <w:szCs w:val="22"/>
              </w:rPr>
              <w:t xml:space="preserve">Gráfico </w:t>
            </w:r>
            <w:r w:rsidRPr="00483FA3">
              <w:rPr>
                <w:sz w:val="22"/>
                <w:szCs w:val="22"/>
              </w:rPr>
              <w:fldChar w:fldCharType="begin"/>
            </w:r>
            <w:r w:rsidRPr="00483FA3">
              <w:rPr>
                <w:sz w:val="22"/>
                <w:szCs w:val="22"/>
              </w:rPr>
              <w:instrText xml:space="preserve"> SEQ Gráfico \* ARABIC </w:instrText>
            </w:r>
            <w:r w:rsidRPr="00483FA3">
              <w:rPr>
                <w:sz w:val="22"/>
                <w:szCs w:val="22"/>
              </w:rPr>
              <w:fldChar w:fldCharType="separate"/>
            </w:r>
            <w:r w:rsidR="00C015DC">
              <w:rPr>
                <w:noProof/>
                <w:sz w:val="22"/>
                <w:szCs w:val="22"/>
              </w:rPr>
              <w:t>31</w:t>
            </w:r>
            <w:r w:rsidRPr="00483FA3">
              <w:rPr>
                <w:sz w:val="22"/>
                <w:szCs w:val="22"/>
              </w:rPr>
              <w:fldChar w:fldCharType="end"/>
            </w:r>
            <w:r w:rsidRPr="00483FA3">
              <w:rPr>
                <w:sz w:val="22"/>
                <w:szCs w:val="22"/>
              </w:rPr>
              <w:t xml:space="preserve">.  </w:t>
            </w:r>
            <w:r w:rsidR="0022699D" w:rsidRPr="00483FA3">
              <w:rPr>
                <w:rFonts w:eastAsia="AGaramondPro-Regular" w:cs="Calibri"/>
                <w:bCs/>
                <w:sz w:val="22"/>
                <w:szCs w:val="22"/>
              </w:rPr>
              <w:t>Pronóstico de crecimiento de las principales variables monetarias para el 2024 (%)</w:t>
            </w:r>
            <w:bookmarkEnd w:id="176"/>
            <w:bookmarkEnd w:id="177"/>
          </w:p>
        </w:tc>
      </w:tr>
      <w:tr w:rsidR="0022699D" w:rsidRPr="0022699D" w14:paraId="0C3AABD0" w14:textId="77777777" w:rsidTr="00973C72">
        <w:tblPrEx>
          <w:tblCellMar>
            <w:left w:w="70" w:type="dxa"/>
            <w:right w:w="70" w:type="dxa"/>
          </w:tblCellMar>
        </w:tblPrEx>
        <w:trPr>
          <w:trHeight w:val="2501"/>
        </w:trPr>
        <w:tc>
          <w:tcPr>
            <w:tcW w:w="4460" w:type="dxa"/>
          </w:tcPr>
          <w:p w14:paraId="552B0C8A" w14:textId="77777777" w:rsidR="0022699D" w:rsidRPr="0022699D" w:rsidRDefault="0022699D" w:rsidP="0022699D">
            <w:pPr>
              <w:spacing w:line="276" w:lineRule="auto"/>
              <w:contextualSpacing/>
              <w:jc w:val="center"/>
              <w:rPr>
                <w:rFonts w:ascii="Times New Roman" w:eastAsia="AGaramondPro-Regular" w:hAnsi="Times New Roman" w:cs="Calibri"/>
                <w:sz w:val="22"/>
                <w:szCs w:val="22"/>
              </w:rPr>
            </w:pPr>
            <w:r w:rsidRPr="0022699D">
              <w:rPr>
                <w:noProof/>
              </w:rPr>
              <w:drawing>
                <wp:inline distT="0" distB="0" distL="0" distR="0" wp14:anchorId="2598949C" wp14:editId="32F09447">
                  <wp:extent cx="2735580" cy="1892411"/>
                  <wp:effectExtent l="0" t="0" r="7620" b="0"/>
                  <wp:docPr id="21" name="Gráfico 21">
                    <a:extLst xmlns:a="http://schemas.openxmlformats.org/drawingml/2006/main">
                      <a:ext uri="{FF2B5EF4-FFF2-40B4-BE49-F238E27FC236}">
                        <a16:creationId xmlns:a16="http://schemas.microsoft.com/office/drawing/2014/main" id="{9413F796-8AE4-4517-88B6-C22D5F6696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4365" w:type="dxa"/>
          </w:tcPr>
          <w:p w14:paraId="6F8CEBB0" w14:textId="77777777" w:rsidR="0022699D" w:rsidRPr="0022699D" w:rsidRDefault="0022699D" w:rsidP="0022699D">
            <w:pPr>
              <w:spacing w:line="276" w:lineRule="auto"/>
              <w:contextualSpacing/>
              <w:jc w:val="center"/>
              <w:rPr>
                <w:rFonts w:ascii="Times New Roman" w:eastAsia="AGaramondPro-Regular" w:hAnsi="Times New Roman" w:cs="Calibri"/>
                <w:sz w:val="22"/>
                <w:szCs w:val="22"/>
              </w:rPr>
            </w:pPr>
            <w:r w:rsidRPr="0022699D">
              <w:rPr>
                <w:noProof/>
              </w:rPr>
              <w:drawing>
                <wp:inline distT="0" distB="0" distL="0" distR="0" wp14:anchorId="6D51E0A1" wp14:editId="498000E0">
                  <wp:extent cx="2735580" cy="1820545"/>
                  <wp:effectExtent l="0" t="0" r="7620" b="8255"/>
                  <wp:docPr id="8" name="Gráfico 8">
                    <a:extLst xmlns:a="http://schemas.openxmlformats.org/drawingml/2006/main">
                      <a:ext uri="{FF2B5EF4-FFF2-40B4-BE49-F238E27FC236}">
                        <a16:creationId xmlns:a16="http://schemas.microsoft.com/office/drawing/2014/main" id="{63C49BC7-DE90-426E-962C-086E7BD398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r w:rsidR="0022699D" w:rsidRPr="0022699D" w14:paraId="7BFA5C37" w14:textId="77777777" w:rsidTr="00973C72">
        <w:trPr>
          <w:trHeight w:val="238"/>
        </w:trPr>
        <w:tc>
          <w:tcPr>
            <w:tcW w:w="8825" w:type="dxa"/>
            <w:gridSpan w:val="2"/>
          </w:tcPr>
          <w:p w14:paraId="41DDFB31" w14:textId="77777777" w:rsidR="0022699D" w:rsidRPr="0022699D" w:rsidRDefault="0022699D" w:rsidP="0022699D">
            <w:pPr>
              <w:spacing w:line="276" w:lineRule="auto"/>
              <w:contextualSpacing/>
              <w:jc w:val="both"/>
              <w:rPr>
                <w:rFonts w:ascii="Times New Roman" w:eastAsia="Times New Roman" w:hAnsi="Times New Roman" w:cs="Calibri"/>
                <w:noProof/>
                <w:sz w:val="18"/>
                <w:szCs w:val="18"/>
              </w:rPr>
            </w:pPr>
            <w:r w:rsidRPr="0022699D">
              <w:rPr>
                <w:rFonts w:ascii="Times New Roman" w:eastAsia="Times New Roman" w:hAnsi="Times New Roman" w:cs="Calibri"/>
                <w:sz w:val="18"/>
                <w:szCs w:val="18"/>
              </w:rPr>
              <w:t>Fuente: Banco de Guatemala</w:t>
            </w:r>
          </w:p>
        </w:tc>
      </w:tr>
    </w:tbl>
    <w:p w14:paraId="4EB0ACE1" w14:textId="77777777" w:rsidR="0022699D" w:rsidRPr="0022699D" w:rsidRDefault="0022699D" w:rsidP="00483FA3"/>
    <w:p w14:paraId="6AE51A2A" w14:textId="0123790D" w:rsidR="0022699D" w:rsidRPr="0022699D" w:rsidRDefault="0022699D" w:rsidP="00483FA3">
      <w:pPr>
        <w:contextualSpacing/>
        <w:jc w:val="both"/>
        <w:rPr>
          <w:rFonts w:ascii="Times New Roman" w:eastAsia="Times New Roman" w:hAnsi="Times New Roman" w:cs="Calibri"/>
          <w:color w:val="000000" w:themeColor="text1"/>
          <w:sz w:val="22"/>
          <w:szCs w:val="22"/>
        </w:rPr>
      </w:pPr>
      <w:r w:rsidRPr="0022699D">
        <w:rPr>
          <w:rFonts w:ascii="Times New Roman" w:eastAsia="Times New Roman" w:hAnsi="Times New Roman" w:cs="Calibri"/>
          <w:sz w:val="22"/>
          <w:szCs w:val="22"/>
        </w:rPr>
        <w:t xml:space="preserve">En el sector </w:t>
      </w:r>
      <w:r w:rsidRPr="0022699D">
        <w:rPr>
          <w:rFonts w:ascii="Times New Roman" w:eastAsia="Times New Roman" w:hAnsi="Times New Roman" w:cs="Calibri"/>
          <w:color w:val="000000" w:themeColor="text1"/>
          <w:sz w:val="22"/>
          <w:szCs w:val="22"/>
        </w:rPr>
        <w:t xml:space="preserve">externo se prevé que el comercio exterior </w:t>
      </w:r>
      <w:r w:rsidR="004861EF">
        <w:rPr>
          <w:rFonts w:ascii="Times New Roman" w:eastAsia="Times New Roman" w:hAnsi="Times New Roman" w:cs="Calibri"/>
          <w:color w:val="000000" w:themeColor="text1"/>
          <w:sz w:val="22"/>
          <w:szCs w:val="22"/>
        </w:rPr>
        <w:t xml:space="preserve">muestre </w:t>
      </w:r>
      <w:r w:rsidRPr="0022699D">
        <w:rPr>
          <w:rFonts w:ascii="Times New Roman" w:eastAsia="Times New Roman" w:hAnsi="Times New Roman" w:cs="Calibri"/>
          <w:color w:val="000000" w:themeColor="text1"/>
          <w:sz w:val="22"/>
          <w:szCs w:val="22"/>
        </w:rPr>
        <w:t xml:space="preserve">mejor desempeño en 2024 por la recuperación esperada del comercio mundial, por lo que se pronóstica que las exportaciones FOB se sitúen en US$ 14,295.2 millones, con crecimiento en </w:t>
      </w:r>
      <w:r w:rsidR="004861EF">
        <w:rPr>
          <w:rFonts w:ascii="Times New Roman" w:eastAsia="Times New Roman" w:hAnsi="Times New Roman" w:cs="Calibri"/>
          <w:color w:val="000000" w:themeColor="text1"/>
          <w:sz w:val="22"/>
          <w:szCs w:val="22"/>
        </w:rPr>
        <w:t xml:space="preserve">el </w:t>
      </w:r>
      <w:r w:rsidRPr="0022699D">
        <w:rPr>
          <w:rFonts w:ascii="Times New Roman" w:eastAsia="Times New Roman" w:hAnsi="Times New Roman" w:cs="Calibri"/>
          <w:color w:val="000000" w:themeColor="text1"/>
          <w:sz w:val="22"/>
          <w:szCs w:val="22"/>
        </w:rPr>
        <w:t xml:space="preserve">rango de 4.0% y 7.0% con valor central de 5.5%; en el caso de las importaciones FOB se situarán en US$ 30,217.3 millones, con crecimiento en </w:t>
      </w:r>
      <w:r w:rsidR="004861EF">
        <w:rPr>
          <w:rFonts w:ascii="Times New Roman" w:eastAsia="Times New Roman" w:hAnsi="Times New Roman" w:cs="Calibri"/>
          <w:color w:val="000000" w:themeColor="text1"/>
          <w:sz w:val="22"/>
          <w:szCs w:val="22"/>
        </w:rPr>
        <w:t xml:space="preserve">el </w:t>
      </w:r>
      <w:r w:rsidRPr="0022699D">
        <w:rPr>
          <w:rFonts w:ascii="Times New Roman" w:eastAsia="Times New Roman" w:hAnsi="Times New Roman" w:cs="Calibri"/>
          <w:color w:val="000000" w:themeColor="text1"/>
          <w:sz w:val="22"/>
          <w:szCs w:val="22"/>
        </w:rPr>
        <w:t>rango de 6.0% a 9.0% con valor central de 7.5%.</w:t>
      </w:r>
    </w:p>
    <w:p w14:paraId="7229A2B5" w14:textId="77777777" w:rsidR="0022699D" w:rsidRPr="0022699D" w:rsidRDefault="0022699D" w:rsidP="00483FA3">
      <w:pPr>
        <w:contextualSpacing/>
        <w:jc w:val="both"/>
        <w:rPr>
          <w:rFonts w:ascii="Times New Roman" w:eastAsia="Times New Roman" w:hAnsi="Times New Roman" w:cs="Calibri"/>
          <w:sz w:val="22"/>
          <w:szCs w:val="22"/>
        </w:rPr>
      </w:pPr>
    </w:p>
    <w:p w14:paraId="4253F7DC" w14:textId="61611DE4" w:rsidR="0022699D" w:rsidRPr="0022699D" w:rsidRDefault="0022699D" w:rsidP="00483FA3">
      <w:pPr>
        <w:contextualSpacing/>
        <w:jc w:val="both"/>
        <w:rPr>
          <w:rFonts w:ascii="Times New Roman" w:eastAsia="Times New Roman" w:hAnsi="Times New Roman" w:cs="Calibri"/>
          <w:sz w:val="22"/>
          <w:szCs w:val="22"/>
        </w:rPr>
      </w:pPr>
      <w:r w:rsidRPr="0022699D">
        <w:rPr>
          <w:rFonts w:ascii="Times New Roman" w:eastAsia="Times New Roman" w:hAnsi="Times New Roman" w:cs="Calibri"/>
          <w:sz w:val="22"/>
          <w:szCs w:val="22"/>
        </w:rPr>
        <w:t>Además, en el ingreso secundario se espera que las remesas continúen crecientes y continuando con la normalización en el comportamiento de esta variable observados en 2021 y 2022, considerando que siguen un crecimiento conforme al desempeño económico esperado de Estados Unidos. Por lo que el crecimiento previsto para 2024 de las remesas familiares se situaría entre 8.0% y 11.0%</w:t>
      </w:r>
      <w:r w:rsidR="00831173">
        <w:rPr>
          <w:rFonts w:ascii="Times New Roman" w:eastAsia="Times New Roman" w:hAnsi="Times New Roman" w:cs="Calibri"/>
          <w:sz w:val="22"/>
          <w:szCs w:val="22"/>
        </w:rPr>
        <w:t>,</w:t>
      </w:r>
      <w:r w:rsidRPr="0022699D">
        <w:rPr>
          <w:rFonts w:ascii="Times New Roman" w:eastAsia="Times New Roman" w:hAnsi="Times New Roman" w:cs="Calibri"/>
          <w:sz w:val="22"/>
          <w:szCs w:val="22"/>
        </w:rPr>
        <w:t xml:space="preserve"> que nuevamente compensar</w:t>
      </w:r>
      <w:r w:rsidR="00344730">
        <w:rPr>
          <w:rFonts w:ascii="Times New Roman" w:eastAsia="Times New Roman" w:hAnsi="Times New Roman" w:cs="Calibri"/>
          <w:sz w:val="22"/>
          <w:szCs w:val="22"/>
        </w:rPr>
        <w:t>ían</w:t>
      </w:r>
      <w:r w:rsidRPr="0022699D">
        <w:rPr>
          <w:rFonts w:ascii="Times New Roman" w:eastAsia="Times New Roman" w:hAnsi="Times New Roman" w:cs="Calibri"/>
          <w:sz w:val="22"/>
          <w:szCs w:val="22"/>
        </w:rPr>
        <w:t xml:space="preserve"> parte de los déficits de balanza comercial y del ingreso primario.</w:t>
      </w:r>
    </w:p>
    <w:p w14:paraId="2A588160" w14:textId="77777777" w:rsidR="0022699D" w:rsidRPr="0022699D" w:rsidRDefault="0022699D" w:rsidP="00483FA3">
      <w:pPr>
        <w:contextualSpacing/>
        <w:jc w:val="both"/>
        <w:rPr>
          <w:rFonts w:ascii="Times New Roman" w:eastAsia="Times New Roman" w:hAnsi="Times New Roman" w:cs="Calibri"/>
          <w:sz w:val="22"/>
          <w:szCs w:val="22"/>
        </w:rPr>
      </w:pPr>
    </w:p>
    <w:tbl>
      <w:tblPr>
        <w:tblStyle w:val="Tablaconcuadrcu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0"/>
      </w:tblGrid>
      <w:tr w:rsidR="0022699D" w:rsidRPr="0022699D" w14:paraId="4FF52999" w14:textId="77777777" w:rsidTr="00973C72">
        <w:tc>
          <w:tcPr>
            <w:tcW w:w="9394" w:type="dxa"/>
          </w:tcPr>
          <w:p w14:paraId="2067FA2C" w14:textId="432329BE" w:rsidR="0022699D" w:rsidRPr="00483FA3" w:rsidRDefault="00483FA3" w:rsidP="00483FA3">
            <w:pPr>
              <w:pStyle w:val="Descripcin"/>
              <w:keepNext/>
              <w:spacing w:after="0"/>
              <w:jc w:val="center"/>
              <w:rPr>
                <w:sz w:val="22"/>
                <w:szCs w:val="22"/>
              </w:rPr>
            </w:pPr>
            <w:bookmarkStart w:id="178" w:name="_Toc125733227"/>
            <w:bookmarkStart w:id="179" w:name="_Toc158103877"/>
            <w:r w:rsidRPr="00483FA3">
              <w:rPr>
                <w:sz w:val="22"/>
                <w:szCs w:val="22"/>
              </w:rPr>
              <w:t xml:space="preserve">Gráfico </w:t>
            </w:r>
            <w:r w:rsidRPr="00483FA3">
              <w:rPr>
                <w:sz w:val="22"/>
                <w:szCs w:val="22"/>
              </w:rPr>
              <w:fldChar w:fldCharType="begin"/>
            </w:r>
            <w:r w:rsidRPr="00483FA3">
              <w:rPr>
                <w:sz w:val="22"/>
                <w:szCs w:val="22"/>
              </w:rPr>
              <w:instrText xml:space="preserve"> SEQ Gráfico \* ARABIC </w:instrText>
            </w:r>
            <w:r w:rsidRPr="00483FA3">
              <w:rPr>
                <w:sz w:val="22"/>
                <w:szCs w:val="22"/>
              </w:rPr>
              <w:fldChar w:fldCharType="separate"/>
            </w:r>
            <w:r w:rsidR="00C015DC">
              <w:rPr>
                <w:noProof/>
                <w:sz w:val="22"/>
                <w:szCs w:val="22"/>
              </w:rPr>
              <w:t>32</w:t>
            </w:r>
            <w:r w:rsidRPr="00483FA3">
              <w:rPr>
                <w:sz w:val="22"/>
                <w:szCs w:val="22"/>
              </w:rPr>
              <w:fldChar w:fldCharType="end"/>
            </w:r>
            <w:r w:rsidRPr="00483FA3">
              <w:rPr>
                <w:sz w:val="22"/>
                <w:szCs w:val="22"/>
              </w:rPr>
              <w:t xml:space="preserve">.  </w:t>
            </w:r>
            <w:r w:rsidR="0022699D" w:rsidRPr="00483FA3">
              <w:rPr>
                <w:rFonts w:eastAsia="AGaramondPro-Regular" w:cs="Calibri"/>
                <w:bCs/>
                <w:sz w:val="22"/>
                <w:szCs w:val="22"/>
              </w:rPr>
              <w:t>Pronóstico de las variables del sector externo</w:t>
            </w:r>
            <w:bookmarkEnd w:id="178"/>
            <w:bookmarkEnd w:id="179"/>
          </w:p>
        </w:tc>
      </w:tr>
      <w:tr w:rsidR="0022699D" w:rsidRPr="0022699D" w14:paraId="25A1CED0" w14:textId="77777777" w:rsidTr="00973C72">
        <w:tc>
          <w:tcPr>
            <w:tcW w:w="9394" w:type="dxa"/>
          </w:tcPr>
          <w:p w14:paraId="0B49B497" w14:textId="77777777" w:rsidR="0022699D" w:rsidRPr="0022699D" w:rsidRDefault="0022699D" w:rsidP="0022699D">
            <w:pPr>
              <w:spacing w:line="276" w:lineRule="auto"/>
              <w:contextualSpacing/>
              <w:jc w:val="center"/>
              <w:rPr>
                <w:rFonts w:ascii="Times New Roman" w:eastAsia="AGaramondPro-Regular" w:hAnsi="Times New Roman" w:cs="Calibri"/>
                <w:sz w:val="22"/>
                <w:szCs w:val="22"/>
              </w:rPr>
            </w:pPr>
            <w:r w:rsidRPr="0022699D">
              <w:rPr>
                <w:rFonts w:ascii="Times New Roman" w:eastAsia="Times New Roman" w:hAnsi="Times New Roman" w:cs="Calibri"/>
                <w:noProof/>
                <w:sz w:val="22"/>
                <w:szCs w:val="22"/>
              </w:rPr>
              <w:drawing>
                <wp:inline distT="0" distB="0" distL="0" distR="0" wp14:anchorId="62B0B099" wp14:editId="508E6955">
                  <wp:extent cx="5518205" cy="2361538"/>
                  <wp:effectExtent l="0" t="0" r="6350" b="1270"/>
                  <wp:docPr id="10"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r w:rsidR="0022699D" w:rsidRPr="0022699D" w14:paraId="31D41FD0" w14:textId="77777777" w:rsidTr="00973C72">
        <w:tc>
          <w:tcPr>
            <w:tcW w:w="9394" w:type="dxa"/>
          </w:tcPr>
          <w:p w14:paraId="4B87BFC1" w14:textId="77777777" w:rsidR="0022699D" w:rsidRPr="0022699D" w:rsidRDefault="0022699D" w:rsidP="0022699D">
            <w:pPr>
              <w:spacing w:line="276" w:lineRule="auto"/>
              <w:contextualSpacing/>
              <w:jc w:val="both"/>
              <w:rPr>
                <w:rFonts w:ascii="Times New Roman" w:eastAsia="Times New Roman" w:hAnsi="Times New Roman" w:cs="Calibri"/>
                <w:noProof/>
                <w:sz w:val="22"/>
                <w:szCs w:val="22"/>
              </w:rPr>
            </w:pPr>
            <w:r w:rsidRPr="0022699D">
              <w:rPr>
                <w:rFonts w:ascii="Times New Roman" w:eastAsia="Times New Roman" w:hAnsi="Times New Roman" w:cs="Calibri"/>
                <w:sz w:val="18"/>
                <w:szCs w:val="20"/>
              </w:rPr>
              <w:t>Fuente: Banco de Guatemala</w:t>
            </w:r>
          </w:p>
        </w:tc>
      </w:tr>
    </w:tbl>
    <w:p w14:paraId="7D408EA8" w14:textId="77777777" w:rsidR="00483FA3" w:rsidRDefault="00483FA3" w:rsidP="00483FA3">
      <w:pPr>
        <w:contextualSpacing/>
        <w:jc w:val="both"/>
        <w:rPr>
          <w:rFonts w:ascii="Times New Roman" w:eastAsia="Times New Roman" w:hAnsi="Times New Roman" w:cs="Calibri"/>
          <w:sz w:val="22"/>
          <w:szCs w:val="22"/>
        </w:rPr>
      </w:pPr>
    </w:p>
    <w:p w14:paraId="31D53A17" w14:textId="026BD114" w:rsidR="0022699D" w:rsidRPr="0022699D" w:rsidRDefault="0022699D" w:rsidP="00483FA3">
      <w:pPr>
        <w:contextualSpacing/>
        <w:jc w:val="both"/>
        <w:rPr>
          <w:rFonts w:ascii="Times New Roman" w:eastAsia="Times New Roman" w:hAnsi="Times New Roman" w:cs="Calibri"/>
          <w:sz w:val="22"/>
          <w:szCs w:val="22"/>
        </w:rPr>
      </w:pPr>
      <w:r w:rsidRPr="0022699D">
        <w:rPr>
          <w:rFonts w:ascii="Times New Roman" w:eastAsia="Times New Roman" w:hAnsi="Times New Roman" w:cs="Calibri"/>
          <w:sz w:val="22"/>
          <w:szCs w:val="22"/>
        </w:rPr>
        <w:t xml:space="preserve">Por lo anterior, se prevé que la cuenta corriente de la balanza de pagos registre superávit respecto del PIB de 2.5% en 2024, menor en 0.2 puntos porcentuales respecto al preliminar del año anterior. Dicho resultado permitirá aumentar los activos y disminuir pasivos de no residentes. En lo que respecta a </w:t>
      </w:r>
      <w:r w:rsidRPr="0022699D">
        <w:rPr>
          <w:rFonts w:ascii="Times New Roman" w:eastAsia="Times New Roman" w:hAnsi="Times New Roman" w:cs="Calibri"/>
          <w:sz w:val="22"/>
          <w:szCs w:val="22"/>
        </w:rPr>
        <w:lastRenderedPageBreak/>
        <w:t>las Reservas Internacionales Netas se proyectan a finales de 2023 en USD$21,519.8 millones, aumentando USD$500.0 millones con respecto el año anterior.</w:t>
      </w:r>
    </w:p>
    <w:p w14:paraId="5C2261CA" w14:textId="77777777" w:rsidR="0022699D" w:rsidRPr="0022699D" w:rsidRDefault="0022699D" w:rsidP="00483FA3">
      <w:pPr>
        <w:contextualSpacing/>
        <w:jc w:val="both"/>
        <w:rPr>
          <w:rFonts w:ascii="Times New Roman" w:eastAsia="Times New Roman" w:hAnsi="Times New Roman" w:cs="Calibri"/>
          <w:sz w:val="22"/>
          <w:szCs w:val="22"/>
        </w:rPr>
      </w:pPr>
    </w:p>
    <w:p w14:paraId="2E0E6FA1" w14:textId="55A462F4" w:rsidR="0022699D" w:rsidRPr="0022699D" w:rsidRDefault="0022699D" w:rsidP="00483FA3">
      <w:pPr>
        <w:contextualSpacing/>
        <w:jc w:val="both"/>
        <w:rPr>
          <w:rFonts w:ascii="Times New Roman" w:eastAsia="Times New Roman" w:hAnsi="Times New Roman" w:cs="Calibri"/>
          <w:sz w:val="22"/>
          <w:szCs w:val="22"/>
        </w:rPr>
      </w:pPr>
      <w:r w:rsidRPr="0022699D">
        <w:rPr>
          <w:rFonts w:ascii="Times New Roman" w:eastAsia="Times New Roman" w:hAnsi="Times New Roman" w:cs="Calibri"/>
          <w:sz w:val="22"/>
          <w:szCs w:val="22"/>
        </w:rPr>
        <w:t>La perspectiva de crecimiento para el 2024 de las principales variables macroeconómicas se ha mantenido estable desde 2022. En el caso del PIB se prev</w:t>
      </w:r>
      <w:r w:rsidR="0004046B">
        <w:rPr>
          <w:rFonts w:ascii="Times New Roman" w:eastAsia="Times New Roman" w:hAnsi="Times New Roman" w:cs="Calibri"/>
          <w:sz w:val="22"/>
          <w:szCs w:val="22"/>
        </w:rPr>
        <w:t>eí</w:t>
      </w:r>
      <w:r w:rsidRPr="0022699D">
        <w:rPr>
          <w:rFonts w:ascii="Times New Roman" w:eastAsia="Times New Roman" w:hAnsi="Times New Roman" w:cs="Calibri"/>
          <w:sz w:val="22"/>
          <w:szCs w:val="22"/>
        </w:rPr>
        <w:t xml:space="preserve">a </w:t>
      </w:r>
      <w:r w:rsidR="00344730">
        <w:rPr>
          <w:rFonts w:ascii="Times New Roman" w:eastAsia="Times New Roman" w:hAnsi="Times New Roman" w:cs="Calibri"/>
          <w:sz w:val="22"/>
          <w:szCs w:val="22"/>
        </w:rPr>
        <w:t xml:space="preserve">en agosto de 2022, crecimiento de 2.6% </w:t>
      </w:r>
      <w:r w:rsidRPr="0022699D">
        <w:rPr>
          <w:rFonts w:ascii="Times New Roman" w:eastAsia="Times New Roman" w:hAnsi="Times New Roman" w:cs="Calibri"/>
          <w:sz w:val="22"/>
          <w:szCs w:val="22"/>
        </w:rPr>
        <w:t>para 2023</w:t>
      </w:r>
      <w:r w:rsidR="00344730">
        <w:rPr>
          <w:rFonts w:ascii="Times New Roman" w:eastAsia="Times New Roman" w:hAnsi="Times New Roman" w:cs="Calibri"/>
          <w:sz w:val="22"/>
          <w:szCs w:val="22"/>
        </w:rPr>
        <w:t>,</w:t>
      </w:r>
      <w:r w:rsidR="007B75CB">
        <w:rPr>
          <w:rFonts w:ascii="Times New Roman" w:eastAsia="Times New Roman" w:hAnsi="Times New Roman" w:cs="Calibri"/>
          <w:sz w:val="22"/>
          <w:szCs w:val="22"/>
        </w:rPr>
        <w:t xml:space="preserve"> </w:t>
      </w:r>
      <w:r w:rsidR="00344730">
        <w:rPr>
          <w:rFonts w:ascii="Times New Roman" w:eastAsia="Times New Roman" w:hAnsi="Times New Roman" w:cs="Calibri"/>
          <w:sz w:val="22"/>
          <w:szCs w:val="22"/>
        </w:rPr>
        <w:t>mientras en</w:t>
      </w:r>
      <w:r w:rsidR="00344730" w:rsidRPr="0022699D">
        <w:rPr>
          <w:rFonts w:ascii="Times New Roman" w:eastAsia="Times New Roman" w:hAnsi="Times New Roman" w:cs="Calibri"/>
          <w:sz w:val="22"/>
          <w:szCs w:val="22"/>
        </w:rPr>
        <w:t xml:space="preserve"> </w:t>
      </w:r>
      <w:r w:rsidRPr="0022699D">
        <w:rPr>
          <w:rFonts w:ascii="Times New Roman" w:eastAsia="Times New Roman" w:hAnsi="Times New Roman" w:cs="Calibri"/>
          <w:sz w:val="22"/>
          <w:szCs w:val="22"/>
        </w:rPr>
        <w:t xml:space="preserve">diciembre de 2023 se </w:t>
      </w:r>
      <w:r w:rsidR="00344730">
        <w:rPr>
          <w:rFonts w:ascii="Times New Roman" w:eastAsia="Times New Roman" w:hAnsi="Times New Roman" w:cs="Calibri"/>
          <w:sz w:val="22"/>
          <w:szCs w:val="22"/>
        </w:rPr>
        <w:t>previó sería de</w:t>
      </w:r>
      <w:r w:rsidRPr="0022699D">
        <w:rPr>
          <w:rFonts w:ascii="Times New Roman" w:eastAsia="Times New Roman" w:hAnsi="Times New Roman" w:cs="Calibri"/>
          <w:sz w:val="22"/>
          <w:szCs w:val="22"/>
        </w:rPr>
        <w:t xml:space="preserve"> 2.5%</w:t>
      </w:r>
      <w:r w:rsidR="00344730">
        <w:rPr>
          <w:rFonts w:ascii="Times New Roman" w:eastAsia="Times New Roman" w:hAnsi="Times New Roman" w:cs="Calibri"/>
          <w:sz w:val="22"/>
          <w:szCs w:val="22"/>
        </w:rPr>
        <w:t>.</w:t>
      </w:r>
      <w:r w:rsidRPr="0022699D">
        <w:rPr>
          <w:rFonts w:ascii="Times New Roman" w:eastAsia="Times New Roman" w:hAnsi="Times New Roman" w:cs="Calibri"/>
          <w:sz w:val="22"/>
          <w:szCs w:val="22"/>
        </w:rPr>
        <w:t xml:space="preserve"> </w:t>
      </w:r>
      <w:r w:rsidR="00344730">
        <w:rPr>
          <w:rFonts w:ascii="Times New Roman" w:eastAsia="Times New Roman" w:hAnsi="Times New Roman" w:cs="Calibri"/>
          <w:sz w:val="22"/>
          <w:szCs w:val="22"/>
        </w:rPr>
        <w:t>E</w:t>
      </w:r>
      <w:r w:rsidRPr="0022699D">
        <w:rPr>
          <w:rFonts w:ascii="Times New Roman" w:eastAsia="Times New Roman" w:hAnsi="Times New Roman" w:cs="Calibri"/>
          <w:sz w:val="22"/>
          <w:szCs w:val="22"/>
        </w:rPr>
        <w:t>n el caso del PIB nominal la perspectiva aument</w:t>
      </w:r>
      <w:r w:rsidR="00344730">
        <w:rPr>
          <w:rFonts w:ascii="Times New Roman" w:eastAsia="Times New Roman" w:hAnsi="Times New Roman" w:cs="Calibri"/>
          <w:sz w:val="22"/>
          <w:szCs w:val="22"/>
        </w:rPr>
        <w:t>ó</w:t>
      </w:r>
      <w:r w:rsidRPr="0022699D">
        <w:rPr>
          <w:rFonts w:ascii="Times New Roman" w:eastAsia="Times New Roman" w:hAnsi="Times New Roman" w:cs="Calibri"/>
          <w:sz w:val="22"/>
          <w:szCs w:val="22"/>
        </w:rPr>
        <w:t xml:space="preserve"> de 5.2% a 5.9%, indicando que se prevé un mayor aumento en los precios de la economía. En el caso de las importaciones FOB la estimación de crecimiento se ha mantenido en 6.0% y</w:t>
      </w:r>
      <w:r w:rsidR="00344730">
        <w:rPr>
          <w:rFonts w:ascii="Times New Roman" w:eastAsia="Times New Roman" w:hAnsi="Times New Roman" w:cs="Calibri"/>
          <w:sz w:val="22"/>
          <w:szCs w:val="22"/>
        </w:rPr>
        <w:t>,</w:t>
      </w:r>
      <w:r w:rsidRPr="0022699D">
        <w:rPr>
          <w:rFonts w:ascii="Times New Roman" w:eastAsia="Times New Roman" w:hAnsi="Times New Roman" w:cs="Calibri"/>
          <w:sz w:val="22"/>
          <w:szCs w:val="22"/>
        </w:rPr>
        <w:t xml:space="preserve"> en 4.0% en el caso de las exportaciones. Es importante indicar acá que para efectos de las estimaciones fiscales las perspectivas económicas son bastante conservadoras.</w:t>
      </w:r>
    </w:p>
    <w:p w14:paraId="7ADD46E1" w14:textId="77777777" w:rsidR="0022699D" w:rsidRPr="0022699D" w:rsidRDefault="0022699D" w:rsidP="00483FA3">
      <w:pPr>
        <w:contextualSpacing/>
        <w:jc w:val="both"/>
        <w:rPr>
          <w:rFonts w:ascii="Times New Roman" w:eastAsia="Times New Roman" w:hAnsi="Times New Roman" w:cs="Calibri"/>
          <w:sz w:val="22"/>
          <w:szCs w:val="22"/>
        </w:rPr>
      </w:pPr>
    </w:p>
    <w:tbl>
      <w:tblPr>
        <w:tblStyle w:val="Tablaconcuadrcula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22699D" w:rsidRPr="0022699D" w14:paraId="79B1B53A" w14:textId="77777777" w:rsidTr="00973C72">
        <w:tc>
          <w:tcPr>
            <w:tcW w:w="8828" w:type="dxa"/>
          </w:tcPr>
          <w:p w14:paraId="337D711E" w14:textId="507D36E0" w:rsidR="0022699D" w:rsidRDefault="006029AA" w:rsidP="006029AA">
            <w:pPr>
              <w:pStyle w:val="Descripcin"/>
              <w:keepNext/>
              <w:spacing w:after="0"/>
              <w:jc w:val="center"/>
              <w:rPr>
                <w:rFonts w:eastAsia="Times New Roman" w:cs="Calibri"/>
                <w:bCs/>
                <w:sz w:val="22"/>
                <w:szCs w:val="22"/>
              </w:rPr>
            </w:pPr>
            <w:bookmarkStart w:id="180" w:name="_Toc160196928"/>
            <w:r w:rsidRPr="006029AA">
              <w:rPr>
                <w:sz w:val="22"/>
                <w:szCs w:val="22"/>
              </w:rPr>
              <w:t xml:space="preserve">Tabla </w:t>
            </w:r>
            <w:r w:rsidRPr="006029AA">
              <w:rPr>
                <w:sz w:val="22"/>
                <w:szCs w:val="22"/>
              </w:rPr>
              <w:fldChar w:fldCharType="begin"/>
            </w:r>
            <w:r w:rsidRPr="006029AA">
              <w:rPr>
                <w:sz w:val="22"/>
                <w:szCs w:val="22"/>
              </w:rPr>
              <w:instrText xml:space="preserve"> SEQ Tabla \* ARABIC </w:instrText>
            </w:r>
            <w:r w:rsidRPr="006029AA">
              <w:rPr>
                <w:sz w:val="22"/>
                <w:szCs w:val="22"/>
              </w:rPr>
              <w:fldChar w:fldCharType="separate"/>
            </w:r>
            <w:r w:rsidR="00C015DC">
              <w:rPr>
                <w:noProof/>
                <w:sz w:val="22"/>
                <w:szCs w:val="22"/>
              </w:rPr>
              <w:t>13</w:t>
            </w:r>
            <w:r w:rsidRPr="006029AA">
              <w:rPr>
                <w:sz w:val="22"/>
                <w:szCs w:val="22"/>
              </w:rPr>
              <w:fldChar w:fldCharType="end"/>
            </w:r>
            <w:r w:rsidRPr="006029AA">
              <w:rPr>
                <w:sz w:val="22"/>
                <w:szCs w:val="22"/>
              </w:rPr>
              <w:t xml:space="preserve">.  </w:t>
            </w:r>
            <w:r w:rsidR="0022699D" w:rsidRPr="006029AA">
              <w:rPr>
                <w:rFonts w:eastAsia="Times New Roman" w:cs="Calibri"/>
                <w:bCs/>
                <w:sz w:val="22"/>
                <w:szCs w:val="22"/>
              </w:rPr>
              <w:t>Evolución de perspectivas de 2024</w:t>
            </w:r>
            <w:bookmarkEnd w:id="180"/>
          </w:p>
          <w:p w14:paraId="15F52C50" w14:textId="29F83E5E" w:rsidR="006029AA" w:rsidRPr="006029AA" w:rsidRDefault="006029AA" w:rsidP="006029AA"/>
        </w:tc>
      </w:tr>
      <w:tr w:rsidR="0022699D" w:rsidRPr="0022699D" w14:paraId="12799FFE" w14:textId="77777777" w:rsidTr="00973C72">
        <w:tc>
          <w:tcPr>
            <w:tcW w:w="8828" w:type="dxa"/>
          </w:tcPr>
          <w:tbl>
            <w:tblPr>
              <w:tblW w:w="8912" w:type="dxa"/>
              <w:tblCellMar>
                <w:left w:w="70" w:type="dxa"/>
                <w:right w:w="70" w:type="dxa"/>
              </w:tblCellMar>
              <w:tblLook w:val="04A0" w:firstRow="1" w:lastRow="0" w:firstColumn="1" w:lastColumn="0" w:noHBand="0" w:noVBand="1"/>
            </w:tblPr>
            <w:tblGrid>
              <w:gridCol w:w="2840"/>
              <w:gridCol w:w="1121"/>
              <w:gridCol w:w="1121"/>
              <w:gridCol w:w="1752"/>
              <w:gridCol w:w="1778"/>
            </w:tblGrid>
            <w:tr w:rsidR="0022699D" w:rsidRPr="0022699D" w14:paraId="35449629" w14:textId="77777777" w:rsidTr="006029AA">
              <w:trPr>
                <w:trHeight w:val="341"/>
              </w:trPr>
              <w:tc>
                <w:tcPr>
                  <w:tcW w:w="2943" w:type="dxa"/>
                  <w:tcBorders>
                    <w:top w:val="single" w:sz="4" w:space="0" w:color="auto"/>
                    <w:left w:val="single" w:sz="4" w:space="0" w:color="auto"/>
                    <w:bottom w:val="single" w:sz="4" w:space="0" w:color="auto"/>
                    <w:right w:val="nil"/>
                  </w:tcBorders>
                  <w:shd w:val="clear" w:color="000000" w:fill="D9E1F2"/>
                  <w:noWrap/>
                  <w:vAlign w:val="bottom"/>
                  <w:hideMark/>
                </w:tcPr>
                <w:p w14:paraId="31826CCE" w14:textId="77777777" w:rsidR="0022699D" w:rsidRPr="0022699D" w:rsidRDefault="0022699D" w:rsidP="0022699D">
                  <w:pPr>
                    <w:rPr>
                      <w:rFonts w:ascii="Times New Roman" w:eastAsia="Times New Roman" w:hAnsi="Times New Roman" w:cs="Times New Roman"/>
                      <w:b/>
                      <w:bCs/>
                      <w:color w:val="000000"/>
                      <w:sz w:val="22"/>
                      <w:szCs w:val="22"/>
                      <w:lang w:eastAsia="es-GT"/>
                    </w:rPr>
                  </w:pPr>
                  <w:r w:rsidRPr="0022699D">
                    <w:rPr>
                      <w:rFonts w:ascii="Times New Roman" w:eastAsia="Times New Roman" w:hAnsi="Times New Roman" w:cs="Times New Roman"/>
                      <w:b/>
                      <w:bCs/>
                      <w:color w:val="000000"/>
                      <w:sz w:val="22"/>
                      <w:szCs w:val="22"/>
                      <w:lang w:eastAsia="es-GT"/>
                    </w:rPr>
                    <w:t>Variable</w:t>
                  </w:r>
                </w:p>
              </w:tc>
              <w:tc>
                <w:tcPr>
                  <w:tcW w:w="1158" w:type="dxa"/>
                  <w:tcBorders>
                    <w:top w:val="single" w:sz="4" w:space="0" w:color="auto"/>
                    <w:left w:val="nil"/>
                    <w:bottom w:val="single" w:sz="4" w:space="0" w:color="auto"/>
                    <w:right w:val="nil"/>
                  </w:tcBorders>
                  <w:shd w:val="clear" w:color="000000" w:fill="D9E1F2"/>
                  <w:noWrap/>
                  <w:vAlign w:val="bottom"/>
                  <w:hideMark/>
                </w:tcPr>
                <w:p w14:paraId="7394E2B0" w14:textId="77777777" w:rsidR="0022699D" w:rsidRPr="0022699D" w:rsidRDefault="0022699D" w:rsidP="0022699D">
                  <w:pPr>
                    <w:jc w:val="center"/>
                    <w:rPr>
                      <w:rFonts w:ascii="Times New Roman" w:eastAsia="Times New Roman" w:hAnsi="Times New Roman" w:cs="Times New Roman"/>
                      <w:b/>
                      <w:bCs/>
                      <w:color w:val="000000"/>
                      <w:sz w:val="22"/>
                      <w:szCs w:val="22"/>
                      <w:lang w:eastAsia="es-GT"/>
                    </w:rPr>
                  </w:pPr>
                  <w:r w:rsidRPr="0022699D">
                    <w:rPr>
                      <w:rFonts w:ascii="Times New Roman" w:eastAsia="Times New Roman" w:hAnsi="Times New Roman" w:cs="Times New Roman"/>
                      <w:b/>
                      <w:bCs/>
                      <w:color w:val="000000"/>
                      <w:sz w:val="22"/>
                      <w:szCs w:val="22"/>
                      <w:lang w:eastAsia="es-GT"/>
                    </w:rPr>
                    <w:t>agosto 22</w:t>
                  </w:r>
                </w:p>
              </w:tc>
              <w:tc>
                <w:tcPr>
                  <w:tcW w:w="1158" w:type="dxa"/>
                  <w:tcBorders>
                    <w:top w:val="single" w:sz="4" w:space="0" w:color="auto"/>
                    <w:left w:val="nil"/>
                    <w:bottom w:val="single" w:sz="4" w:space="0" w:color="auto"/>
                    <w:right w:val="nil"/>
                  </w:tcBorders>
                  <w:shd w:val="clear" w:color="000000" w:fill="D9E1F2"/>
                  <w:noWrap/>
                  <w:vAlign w:val="bottom"/>
                  <w:hideMark/>
                </w:tcPr>
                <w:p w14:paraId="31C9818F" w14:textId="77777777" w:rsidR="0022699D" w:rsidRPr="0022699D" w:rsidRDefault="0022699D" w:rsidP="0022699D">
                  <w:pPr>
                    <w:jc w:val="center"/>
                    <w:rPr>
                      <w:rFonts w:ascii="Times New Roman" w:eastAsia="Times New Roman" w:hAnsi="Times New Roman" w:cs="Times New Roman"/>
                      <w:b/>
                      <w:bCs/>
                      <w:color w:val="000000"/>
                      <w:sz w:val="22"/>
                      <w:szCs w:val="22"/>
                      <w:lang w:eastAsia="es-GT"/>
                    </w:rPr>
                  </w:pPr>
                  <w:r w:rsidRPr="0022699D">
                    <w:rPr>
                      <w:rFonts w:ascii="Times New Roman" w:eastAsia="Times New Roman" w:hAnsi="Times New Roman" w:cs="Times New Roman"/>
                      <w:b/>
                      <w:bCs/>
                      <w:color w:val="000000"/>
                      <w:sz w:val="22"/>
                      <w:szCs w:val="22"/>
                      <w:lang w:eastAsia="es-GT"/>
                    </w:rPr>
                    <w:t>abril 23</w:t>
                  </w:r>
                </w:p>
              </w:tc>
              <w:tc>
                <w:tcPr>
                  <w:tcW w:w="1813" w:type="dxa"/>
                  <w:tcBorders>
                    <w:top w:val="single" w:sz="4" w:space="0" w:color="auto"/>
                    <w:left w:val="nil"/>
                    <w:bottom w:val="single" w:sz="4" w:space="0" w:color="auto"/>
                    <w:right w:val="nil"/>
                  </w:tcBorders>
                  <w:shd w:val="clear" w:color="000000" w:fill="D9E1F2"/>
                  <w:noWrap/>
                  <w:vAlign w:val="bottom"/>
                  <w:hideMark/>
                </w:tcPr>
                <w:p w14:paraId="1A7C1C19" w14:textId="77777777" w:rsidR="0022699D" w:rsidRPr="0022699D" w:rsidRDefault="0022699D" w:rsidP="0022699D">
                  <w:pPr>
                    <w:jc w:val="center"/>
                    <w:rPr>
                      <w:rFonts w:ascii="Times New Roman" w:eastAsia="Times New Roman" w:hAnsi="Times New Roman" w:cs="Times New Roman"/>
                      <w:b/>
                      <w:bCs/>
                      <w:color w:val="000000"/>
                      <w:sz w:val="22"/>
                      <w:szCs w:val="22"/>
                      <w:lang w:eastAsia="es-GT"/>
                    </w:rPr>
                  </w:pPr>
                  <w:r w:rsidRPr="0022699D">
                    <w:rPr>
                      <w:rFonts w:ascii="Times New Roman" w:eastAsia="Times New Roman" w:hAnsi="Times New Roman" w:cs="Times New Roman"/>
                      <w:b/>
                      <w:bCs/>
                      <w:color w:val="000000"/>
                      <w:sz w:val="22"/>
                      <w:szCs w:val="22"/>
                      <w:lang w:eastAsia="es-GT"/>
                    </w:rPr>
                    <w:t>noviembre 2023</w:t>
                  </w:r>
                </w:p>
              </w:tc>
              <w:tc>
                <w:tcPr>
                  <w:tcW w:w="1840" w:type="dxa"/>
                  <w:tcBorders>
                    <w:top w:val="single" w:sz="4" w:space="0" w:color="auto"/>
                    <w:left w:val="nil"/>
                    <w:bottom w:val="single" w:sz="4" w:space="0" w:color="auto"/>
                    <w:right w:val="single" w:sz="4" w:space="0" w:color="auto"/>
                  </w:tcBorders>
                  <w:shd w:val="clear" w:color="000000" w:fill="D9E1F2"/>
                  <w:noWrap/>
                  <w:vAlign w:val="bottom"/>
                  <w:hideMark/>
                </w:tcPr>
                <w:p w14:paraId="264EBA0F" w14:textId="77777777" w:rsidR="0022699D" w:rsidRPr="0022699D" w:rsidRDefault="0022699D" w:rsidP="0022699D">
                  <w:pPr>
                    <w:jc w:val="center"/>
                    <w:rPr>
                      <w:rFonts w:ascii="Times New Roman" w:eastAsia="Times New Roman" w:hAnsi="Times New Roman" w:cs="Times New Roman"/>
                      <w:b/>
                      <w:bCs/>
                      <w:color w:val="000000"/>
                      <w:sz w:val="22"/>
                      <w:szCs w:val="22"/>
                      <w:lang w:eastAsia="es-GT"/>
                    </w:rPr>
                  </w:pPr>
                  <w:r w:rsidRPr="0022699D">
                    <w:rPr>
                      <w:rFonts w:ascii="Times New Roman" w:eastAsia="Times New Roman" w:hAnsi="Times New Roman" w:cs="Times New Roman"/>
                      <w:b/>
                      <w:bCs/>
                      <w:color w:val="000000"/>
                      <w:sz w:val="22"/>
                      <w:szCs w:val="22"/>
                      <w:lang w:eastAsia="es-GT"/>
                    </w:rPr>
                    <w:t>diciembre 2023</w:t>
                  </w:r>
                </w:p>
              </w:tc>
            </w:tr>
            <w:tr w:rsidR="0022699D" w:rsidRPr="0022699D" w14:paraId="0B4A36EB" w14:textId="77777777" w:rsidTr="006029AA">
              <w:trPr>
                <w:trHeight w:val="341"/>
              </w:trPr>
              <w:tc>
                <w:tcPr>
                  <w:tcW w:w="2943" w:type="dxa"/>
                  <w:tcBorders>
                    <w:top w:val="nil"/>
                    <w:left w:val="single" w:sz="4" w:space="0" w:color="auto"/>
                    <w:bottom w:val="nil"/>
                    <w:right w:val="nil"/>
                  </w:tcBorders>
                  <w:shd w:val="clear" w:color="auto" w:fill="auto"/>
                  <w:noWrap/>
                  <w:vAlign w:val="bottom"/>
                  <w:hideMark/>
                </w:tcPr>
                <w:p w14:paraId="23416C07" w14:textId="77777777" w:rsidR="0022699D" w:rsidRPr="0022699D" w:rsidRDefault="0022699D" w:rsidP="0022699D">
                  <w:pPr>
                    <w:rPr>
                      <w:rFonts w:ascii="Times New Roman" w:eastAsia="Times New Roman" w:hAnsi="Times New Roman" w:cs="Times New Roman"/>
                      <w:color w:val="000000"/>
                      <w:sz w:val="18"/>
                      <w:szCs w:val="18"/>
                      <w:lang w:eastAsia="es-GT"/>
                    </w:rPr>
                  </w:pPr>
                  <w:r w:rsidRPr="0022699D">
                    <w:rPr>
                      <w:rFonts w:ascii="Times New Roman" w:eastAsia="Times New Roman" w:hAnsi="Times New Roman" w:cs="Times New Roman"/>
                      <w:color w:val="000000"/>
                      <w:sz w:val="18"/>
                      <w:szCs w:val="18"/>
                      <w:lang w:eastAsia="es-GT"/>
                    </w:rPr>
                    <w:t>Variación PIB Real (%)</w:t>
                  </w:r>
                </w:p>
              </w:tc>
              <w:tc>
                <w:tcPr>
                  <w:tcW w:w="1158" w:type="dxa"/>
                  <w:tcBorders>
                    <w:top w:val="nil"/>
                    <w:left w:val="nil"/>
                    <w:bottom w:val="nil"/>
                    <w:right w:val="nil"/>
                  </w:tcBorders>
                  <w:shd w:val="clear" w:color="auto" w:fill="auto"/>
                  <w:noWrap/>
                  <w:vAlign w:val="bottom"/>
                  <w:hideMark/>
                </w:tcPr>
                <w:p w14:paraId="1FDA06D0" w14:textId="77777777" w:rsidR="0022699D" w:rsidRPr="0022699D" w:rsidRDefault="0022699D" w:rsidP="0022699D">
                  <w:pPr>
                    <w:jc w:val="center"/>
                    <w:rPr>
                      <w:rFonts w:ascii="Times New Roman" w:eastAsia="Times New Roman" w:hAnsi="Times New Roman" w:cs="Times New Roman"/>
                      <w:color w:val="000000"/>
                      <w:sz w:val="20"/>
                      <w:szCs w:val="20"/>
                      <w:lang w:eastAsia="es-GT"/>
                    </w:rPr>
                  </w:pPr>
                  <w:r w:rsidRPr="0022699D">
                    <w:rPr>
                      <w:rFonts w:ascii="Times New Roman" w:eastAsia="Times New Roman" w:hAnsi="Times New Roman" w:cs="Times New Roman"/>
                      <w:color w:val="000000"/>
                      <w:sz w:val="20"/>
                      <w:szCs w:val="20"/>
                      <w:lang w:eastAsia="es-GT"/>
                    </w:rPr>
                    <w:t>2.6</w:t>
                  </w:r>
                </w:p>
              </w:tc>
              <w:tc>
                <w:tcPr>
                  <w:tcW w:w="1158" w:type="dxa"/>
                  <w:tcBorders>
                    <w:top w:val="nil"/>
                    <w:left w:val="nil"/>
                    <w:bottom w:val="nil"/>
                    <w:right w:val="nil"/>
                  </w:tcBorders>
                  <w:shd w:val="clear" w:color="auto" w:fill="auto"/>
                  <w:noWrap/>
                  <w:vAlign w:val="bottom"/>
                  <w:hideMark/>
                </w:tcPr>
                <w:p w14:paraId="0A440ADE" w14:textId="77777777" w:rsidR="0022699D" w:rsidRPr="0022699D" w:rsidRDefault="0022699D" w:rsidP="0022699D">
                  <w:pPr>
                    <w:jc w:val="center"/>
                    <w:rPr>
                      <w:rFonts w:ascii="Times New Roman" w:eastAsia="Times New Roman" w:hAnsi="Times New Roman" w:cs="Times New Roman"/>
                      <w:color w:val="000000"/>
                      <w:sz w:val="20"/>
                      <w:szCs w:val="20"/>
                      <w:lang w:eastAsia="es-GT"/>
                    </w:rPr>
                  </w:pPr>
                  <w:r w:rsidRPr="0022699D">
                    <w:rPr>
                      <w:rFonts w:ascii="Times New Roman" w:eastAsia="Times New Roman" w:hAnsi="Times New Roman" w:cs="Times New Roman"/>
                      <w:color w:val="000000"/>
                      <w:sz w:val="20"/>
                      <w:szCs w:val="20"/>
                      <w:lang w:eastAsia="es-GT"/>
                    </w:rPr>
                    <w:t>2.5</w:t>
                  </w:r>
                </w:p>
              </w:tc>
              <w:tc>
                <w:tcPr>
                  <w:tcW w:w="1813" w:type="dxa"/>
                  <w:tcBorders>
                    <w:top w:val="nil"/>
                    <w:left w:val="nil"/>
                    <w:bottom w:val="nil"/>
                    <w:right w:val="nil"/>
                  </w:tcBorders>
                  <w:shd w:val="clear" w:color="auto" w:fill="auto"/>
                  <w:noWrap/>
                  <w:vAlign w:val="bottom"/>
                  <w:hideMark/>
                </w:tcPr>
                <w:p w14:paraId="6F61AE0D" w14:textId="77777777" w:rsidR="0022699D" w:rsidRPr="0022699D" w:rsidRDefault="0022699D" w:rsidP="0022699D">
                  <w:pPr>
                    <w:jc w:val="center"/>
                    <w:rPr>
                      <w:rFonts w:ascii="Times New Roman" w:eastAsia="Times New Roman" w:hAnsi="Times New Roman" w:cs="Times New Roman"/>
                      <w:color w:val="000000"/>
                      <w:sz w:val="20"/>
                      <w:szCs w:val="20"/>
                      <w:lang w:eastAsia="es-GT"/>
                    </w:rPr>
                  </w:pPr>
                  <w:r w:rsidRPr="0022699D">
                    <w:rPr>
                      <w:rFonts w:ascii="Times New Roman" w:eastAsia="Times New Roman" w:hAnsi="Times New Roman" w:cs="Times New Roman"/>
                      <w:color w:val="000000"/>
                      <w:sz w:val="20"/>
                      <w:szCs w:val="20"/>
                      <w:lang w:eastAsia="es-GT"/>
                    </w:rPr>
                    <w:t>2.5</w:t>
                  </w:r>
                </w:p>
              </w:tc>
              <w:tc>
                <w:tcPr>
                  <w:tcW w:w="1840" w:type="dxa"/>
                  <w:tcBorders>
                    <w:top w:val="nil"/>
                    <w:left w:val="nil"/>
                    <w:bottom w:val="nil"/>
                    <w:right w:val="single" w:sz="4" w:space="0" w:color="auto"/>
                  </w:tcBorders>
                  <w:shd w:val="clear" w:color="auto" w:fill="auto"/>
                  <w:noWrap/>
                  <w:vAlign w:val="bottom"/>
                  <w:hideMark/>
                </w:tcPr>
                <w:p w14:paraId="115F2CE6" w14:textId="77777777" w:rsidR="0022699D" w:rsidRPr="0022699D" w:rsidRDefault="0022699D" w:rsidP="0022699D">
                  <w:pPr>
                    <w:jc w:val="center"/>
                    <w:rPr>
                      <w:rFonts w:ascii="Times New Roman" w:eastAsia="Times New Roman" w:hAnsi="Times New Roman" w:cs="Times New Roman"/>
                      <w:color w:val="000000"/>
                      <w:sz w:val="20"/>
                      <w:szCs w:val="20"/>
                      <w:lang w:eastAsia="es-GT"/>
                    </w:rPr>
                  </w:pPr>
                  <w:r w:rsidRPr="0022699D">
                    <w:rPr>
                      <w:rFonts w:ascii="Times New Roman" w:eastAsia="Times New Roman" w:hAnsi="Times New Roman" w:cs="Times New Roman"/>
                      <w:color w:val="000000"/>
                      <w:sz w:val="20"/>
                      <w:szCs w:val="20"/>
                      <w:lang w:eastAsia="es-GT"/>
                    </w:rPr>
                    <w:t>2.5</w:t>
                  </w:r>
                </w:p>
              </w:tc>
            </w:tr>
            <w:tr w:rsidR="0022699D" w:rsidRPr="0022699D" w14:paraId="1A1E78C6" w14:textId="77777777" w:rsidTr="006029AA">
              <w:trPr>
                <w:trHeight w:val="341"/>
              </w:trPr>
              <w:tc>
                <w:tcPr>
                  <w:tcW w:w="2943" w:type="dxa"/>
                  <w:tcBorders>
                    <w:top w:val="nil"/>
                    <w:left w:val="single" w:sz="4" w:space="0" w:color="auto"/>
                    <w:bottom w:val="nil"/>
                    <w:right w:val="nil"/>
                  </w:tcBorders>
                  <w:shd w:val="clear" w:color="auto" w:fill="auto"/>
                  <w:noWrap/>
                  <w:vAlign w:val="bottom"/>
                  <w:hideMark/>
                </w:tcPr>
                <w:p w14:paraId="39299429" w14:textId="77777777" w:rsidR="0022699D" w:rsidRPr="0022699D" w:rsidRDefault="0022699D" w:rsidP="0022699D">
                  <w:pPr>
                    <w:rPr>
                      <w:rFonts w:ascii="Times New Roman" w:eastAsia="Times New Roman" w:hAnsi="Times New Roman" w:cs="Times New Roman"/>
                      <w:color w:val="000000"/>
                      <w:sz w:val="18"/>
                      <w:szCs w:val="18"/>
                      <w:lang w:eastAsia="es-GT"/>
                    </w:rPr>
                  </w:pPr>
                  <w:r w:rsidRPr="0022699D">
                    <w:rPr>
                      <w:rFonts w:ascii="Times New Roman" w:eastAsia="Times New Roman" w:hAnsi="Times New Roman" w:cs="Times New Roman"/>
                      <w:color w:val="000000"/>
                      <w:sz w:val="18"/>
                      <w:szCs w:val="18"/>
                      <w:lang w:eastAsia="es-GT"/>
                    </w:rPr>
                    <w:t>Variación PIB Nominal (%)</w:t>
                  </w:r>
                </w:p>
              </w:tc>
              <w:tc>
                <w:tcPr>
                  <w:tcW w:w="1158" w:type="dxa"/>
                  <w:tcBorders>
                    <w:top w:val="nil"/>
                    <w:left w:val="nil"/>
                    <w:bottom w:val="nil"/>
                    <w:right w:val="nil"/>
                  </w:tcBorders>
                  <w:shd w:val="clear" w:color="auto" w:fill="auto"/>
                  <w:noWrap/>
                  <w:vAlign w:val="bottom"/>
                  <w:hideMark/>
                </w:tcPr>
                <w:p w14:paraId="0B25CAFB" w14:textId="77777777" w:rsidR="0022699D" w:rsidRPr="0022699D" w:rsidRDefault="0022699D" w:rsidP="0022699D">
                  <w:pPr>
                    <w:jc w:val="center"/>
                    <w:rPr>
                      <w:rFonts w:ascii="Times New Roman" w:eastAsia="Times New Roman" w:hAnsi="Times New Roman" w:cs="Times New Roman"/>
                      <w:color w:val="000000"/>
                      <w:sz w:val="20"/>
                      <w:szCs w:val="20"/>
                      <w:lang w:eastAsia="es-GT"/>
                    </w:rPr>
                  </w:pPr>
                  <w:r w:rsidRPr="0022699D">
                    <w:rPr>
                      <w:rFonts w:ascii="Times New Roman" w:eastAsia="Times New Roman" w:hAnsi="Times New Roman" w:cs="Times New Roman"/>
                      <w:color w:val="000000"/>
                      <w:sz w:val="20"/>
                      <w:szCs w:val="20"/>
                      <w:lang w:eastAsia="es-GT"/>
                    </w:rPr>
                    <w:t>5.2</w:t>
                  </w:r>
                </w:p>
              </w:tc>
              <w:tc>
                <w:tcPr>
                  <w:tcW w:w="1158" w:type="dxa"/>
                  <w:tcBorders>
                    <w:top w:val="nil"/>
                    <w:left w:val="nil"/>
                    <w:bottom w:val="nil"/>
                    <w:right w:val="nil"/>
                  </w:tcBorders>
                  <w:shd w:val="clear" w:color="auto" w:fill="auto"/>
                  <w:noWrap/>
                  <w:vAlign w:val="bottom"/>
                  <w:hideMark/>
                </w:tcPr>
                <w:p w14:paraId="43E8A9BE" w14:textId="77777777" w:rsidR="0022699D" w:rsidRPr="0022699D" w:rsidRDefault="0022699D" w:rsidP="0022699D">
                  <w:pPr>
                    <w:jc w:val="center"/>
                    <w:rPr>
                      <w:rFonts w:ascii="Times New Roman" w:eastAsia="Times New Roman" w:hAnsi="Times New Roman" w:cs="Times New Roman"/>
                      <w:color w:val="000000"/>
                      <w:sz w:val="20"/>
                      <w:szCs w:val="20"/>
                      <w:lang w:eastAsia="es-GT"/>
                    </w:rPr>
                  </w:pPr>
                  <w:r w:rsidRPr="0022699D">
                    <w:rPr>
                      <w:rFonts w:ascii="Times New Roman" w:eastAsia="Times New Roman" w:hAnsi="Times New Roman" w:cs="Times New Roman"/>
                      <w:color w:val="000000"/>
                      <w:sz w:val="20"/>
                      <w:szCs w:val="20"/>
                      <w:lang w:eastAsia="es-GT"/>
                    </w:rPr>
                    <w:t>5.9</w:t>
                  </w:r>
                </w:p>
              </w:tc>
              <w:tc>
                <w:tcPr>
                  <w:tcW w:w="1813" w:type="dxa"/>
                  <w:tcBorders>
                    <w:top w:val="nil"/>
                    <w:left w:val="nil"/>
                    <w:bottom w:val="nil"/>
                    <w:right w:val="nil"/>
                  </w:tcBorders>
                  <w:shd w:val="clear" w:color="auto" w:fill="auto"/>
                  <w:noWrap/>
                  <w:vAlign w:val="bottom"/>
                  <w:hideMark/>
                </w:tcPr>
                <w:p w14:paraId="4FC4BE75" w14:textId="77777777" w:rsidR="0022699D" w:rsidRPr="0022699D" w:rsidRDefault="0022699D" w:rsidP="0022699D">
                  <w:pPr>
                    <w:jc w:val="center"/>
                    <w:rPr>
                      <w:rFonts w:ascii="Times New Roman" w:eastAsia="Times New Roman" w:hAnsi="Times New Roman" w:cs="Times New Roman"/>
                      <w:color w:val="000000"/>
                      <w:sz w:val="20"/>
                      <w:szCs w:val="20"/>
                      <w:lang w:eastAsia="es-GT"/>
                    </w:rPr>
                  </w:pPr>
                  <w:r w:rsidRPr="0022699D">
                    <w:rPr>
                      <w:rFonts w:ascii="Times New Roman" w:eastAsia="Times New Roman" w:hAnsi="Times New Roman" w:cs="Times New Roman"/>
                      <w:color w:val="000000"/>
                      <w:sz w:val="20"/>
                      <w:szCs w:val="20"/>
                      <w:lang w:eastAsia="es-GT"/>
                    </w:rPr>
                    <w:t>5.9</w:t>
                  </w:r>
                </w:p>
              </w:tc>
              <w:tc>
                <w:tcPr>
                  <w:tcW w:w="1840" w:type="dxa"/>
                  <w:tcBorders>
                    <w:top w:val="nil"/>
                    <w:left w:val="nil"/>
                    <w:bottom w:val="nil"/>
                    <w:right w:val="single" w:sz="4" w:space="0" w:color="auto"/>
                  </w:tcBorders>
                  <w:shd w:val="clear" w:color="auto" w:fill="auto"/>
                  <w:noWrap/>
                  <w:vAlign w:val="bottom"/>
                  <w:hideMark/>
                </w:tcPr>
                <w:p w14:paraId="49CB5F93" w14:textId="77777777" w:rsidR="0022699D" w:rsidRPr="0022699D" w:rsidRDefault="0022699D" w:rsidP="0022699D">
                  <w:pPr>
                    <w:jc w:val="center"/>
                    <w:rPr>
                      <w:rFonts w:ascii="Times New Roman" w:eastAsia="Times New Roman" w:hAnsi="Times New Roman" w:cs="Times New Roman"/>
                      <w:color w:val="000000"/>
                      <w:sz w:val="20"/>
                      <w:szCs w:val="20"/>
                      <w:lang w:eastAsia="es-GT"/>
                    </w:rPr>
                  </w:pPr>
                  <w:r w:rsidRPr="0022699D">
                    <w:rPr>
                      <w:rFonts w:ascii="Times New Roman" w:eastAsia="Times New Roman" w:hAnsi="Times New Roman" w:cs="Times New Roman"/>
                      <w:color w:val="000000"/>
                      <w:sz w:val="20"/>
                      <w:szCs w:val="20"/>
                      <w:lang w:eastAsia="es-GT"/>
                    </w:rPr>
                    <w:t>5.9</w:t>
                  </w:r>
                </w:p>
              </w:tc>
            </w:tr>
            <w:tr w:rsidR="0022699D" w:rsidRPr="0022699D" w14:paraId="22A8DCA0" w14:textId="77777777" w:rsidTr="006029AA">
              <w:trPr>
                <w:trHeight w:val="341"/>
              </w:trPr>
              <w:tc>
                <w:tcPr>
                  <w:tcW w:w="2943" w:type="dxa"/>
                  <w:tcBorders>
                    <w:top w:val="nil"/>
                    <w:left w:val="single" w:sz="4" w:space="0" w:color="auto"/>
                    <w:bottom w:val="nil"/>
                    <w:right w:val="nil"/>
                  </w:tcBorders>
                  <w:shd w:val="clear" w:color="auto" w:fill="auto"/>
                  <w:noWrap/>
                  <w:vAlign w:val="bottom"/>
                  <w:hideMark/>
                </w:tcPr>
                <w:p w14:paraId="1E0C0CC3" w14:textId="77777777" w:rsidR="0022699D" w:rsidRPr="0022699D" w:rsidRDefault="0022699D" w:rsidP="0022699D">
                  <w:pPr>
                    <w:rPr>
                      <w:rFonts w:ascii="Times New Roman" w:eastAsia="Times New Roman" w:hAnsi="Times New Roman" w:cs="Times New Roman"/>
                      <w:color w:val="000000"/>
                      <w:sz w:val="18"/>
                      <w:szCs w:val="18"/>
                      <w:lang w:eastAsia="es-GT"/>
                    </w:rPr>
                  </w:pPr>
                  <w:r w:rsidRPr="0022699D">
                    <w:rPr>
                      <w:rFonts w:ascii="Times New Roman" w:eastAsia="Times New Roman" w:hAnsi="Times New Roman" w:cs="Times New Roman"/>
                      <w:color w:val="000000"/>
                      <w:sz w:val="18"/>
                      <w:szCs w:val="18"/>
                      <w:lang w:eastAsia="es-GT"/>
                    </w:rPr>
                    <w:t>Variación Importaciones FOB (%)</w:t>
                  </w:r>
                </w:p>
              </w:tc>
              <w:tc>
                <w:tcPr>
                  <w:tcW w:w="1158" w:type="dxa"/>
                  <w:tcBorders>
                    <w:top w:val="nil"/>
                    <w:left w:val="nil"/>
                    <w:bottom w:val="nil"/>
                    <w:right w:val="nil"/>
                  </w:tcBorders>
                  <w:shd w:val="clear" w:color="auto" w:fill="auto"/>
                  <w:noWrap/>
                  <w:vAlign w:val="bottom"/>
                  <w:hideMark/>
                </w:tcPr>
                <w:p w14:paraId="4F525D98" w14:textId="77777777" w:rsidR="0022699D" w:rsidRPr="0022699D" w:rsidRDefault="0022699D" w:rsidP="0022699D">
                  <w:pPr>
                    <w:jc w:val="center"/>
                    <w:rPr>
                      <w:rFonts w:ascii="Times New Roman" w:eastAsia="Times New Roman" w:hAnsi="Times New Roman" w:cs="Times New Roman"/>
                      <w:color w:val="000000"/>
                      <w:sz w:val="20"/>
                      <w:szCs w:val="20"/>
                      <w:lang w:eastAsia="es-GT"/>
                    </w:rPr>
                  </w:pPr>
                  <w:r w:rsidRPr="0022699D">
                    <w:rPr>
                      <w:rFonts w:ascii="Times New Roman" w:eastAsia="Times New Roman" w:hAnsi="Times New Roman" w:cs="Times New Roman"/>
                      <w:color w:val="000000"/>
                      <w:sz w:val="20"/>
                      <w:szCs w:val="20"/>
                      <w:lang w:eastAsia="es-GT"/>
                    </w:rPr>
                    <w:t>6.0</w:t>
                  </w:r>
                </w:p>
              </w:tc>
              <w:tc>
                <w:tcPr>
                  <w:tcW w:w="1158" w:type="dxa"/>
                  <w:tcBorders>
                    <w:top w:val="nil"/>
                    <w:left w:val="nil"/>
                    <w:bottom w:val="nil"/>
                    <w:right w:val="nil"/>
                  </w:tcBorders>
                  <w:shd w:val="clear" w:color="auto" w:fill="auto"/>
                  <w:noWrap/>
                  <w:vAlign w:val="bottom"/>
                  <w:hideMark/>
                </w:tcPr>
                <w:p w14:paraId="25DD785F" w14:textId="77777777" w:rsidR="0022699D" w:rsidRPr="0022699D" w:rsidRDefault="0022699D" w:rsidP="0022699D">
                  <w:pPr>
                    <w:jc w:val="center"/>
                    <w:rPr>
                      <w:rFonts w:ascii="Times New Roman" w:eastAsia="Times New Roman" w:hAnsi="Times New Roman" w:cs="Times New Roman"/>
                      <w:color w:val="000000"/>
                      <w:sz w:val="20"/>
                      <w:szCs w:val="20"/>
                      <w:lang w:eastAsia="es-GT"/>
                    </w:rPr>
                  </w:pPr>
                  <w:r w:rsidRPr="0022699D">
                    <w:rPr>
                      <w:rFonts w:ascii="Times New Roman" w:eastAsia="Times New Roman" w:hAnsi="Times New Roman" w:cs="Times New Roman"/>
                      <w:color w:val="000000"/>
                      <w:sz w:val="20"/>
                      <w:szCs w:val="20"/>
                      <w:lang w:eastAsia="es-GT"/>
                    </w:rPr>
                    <w:t>6.0</w:t>
                  </w:r>
                </w:p>
              </w:tc>
              <w:tc>
                <w:tcPr>
                  <w:tcW w:w="1813" w:type="dxa"/>
                  <w:tcBorders>
                    <w:top w:val="nil"/>
                    <w:left w:val="nil"/>
                    <w:bottom w:val="nil"/>
                    <w:right w:val="nil"/>
                  </w:tcBorders>
                  <w:shd w:val="clear" w:color="auto" w:fill="auto"/>
                  <w:noWrap/>
                  <w:vAlign w:val="bottom"/>
                  <w:hideMark/>
                </w:tcPr>
                <w:p w14:paraId="3C5F9A6C" w14:textId="77777777" w:rsidR="0022699D" w:rsidRPr="0022699D" w:rsidRDefault="0022699D" w:rsidP="0022699D">
                  <w:pPr>
                    <w:jc w:val="center"/>
                    <w:rPr>
                      <w:rFonts w:ascii="Times New Roman" w:eastAsia="Times New Roman" w:hAnsi="Times New Roman" w:cs="Times New Roman"/>
                      <w:color w:val="000000"/>
                      <w:sz w:val="20"/>
                      <w:szCs w:val="20"/>
                      <w:lang w:eastAsia="es-GT"/>
                    </w:rPr>
                  </w:pPr>
                  <w:r w:rsidRPr="0022699D">
                    <w:rPr>
                      <w:rFonts w:ascii="Times New Roman" w:eastAsia="Times New Roman" w:hAnsi="Times New Roman" w:cs="Times New Roman"/>
                      <w:color w:val="000000"/>
                      <w:sz w:val="20"/>
                      <w:szCs w:val="20"/>
                      <w:lang w:eastAsia="es-GT"/>
                    </w:rPr>
                    <w:t>6.0</w:t>
                  </w:r>
                </w:p>
              </w:tc>
              <w:tc>
                <w:tcPr>
                  <w:tcW w:w="1840" w:type="dxa"/>
                  <w:tcBorders>
                    <w:top w:val="nil"/>
                    <w:left w:val="nil"/>
                    <w:bottom w:val="nil"/>
                    <w:right w:val="single" w:sz="4" w:space="0" w:color="auto"/>
                  </w:tcBorders>
                  <w:shd w:val="clear" w:color="auto" w:fill="auto"/>
                  <w:noWrap/>
                  <w:vAlign w:val="bottom"/>
                  <w:hideMark/>
                </w:tcPr>
                <w:p w14:paraId="3AB3E6C5" w14:textId="77777777" w:rsidR="0022699D" w:rsidRPr="0022699D" w:rsidRDefault="0022699D" w:rsidP="0022699D">
                  <w:pPr>
                    <w:jc w:val="center"/>
                    <w:rPr>
                      <w:rFonts w:ascii="Times New Roman" w:eastAsia="Times New Roman" w:hAnsi="Times New Roman" w:cs="Times New Roman"/>
                      <w:color w:val="000000"/>
                      <w:sz w:val="20"/>
                      <w:szCs w:val="20"/>
                      <w:lang w:eastAsia="es-GT"/>
                    </w:rPr>
                  </w:pPr>
                  <w:r w:rsidRPr="0022699D">
                    <w:rPr>
                      <w:rFonts w:ascii="Times New Roman" w:eastAsia="Times New Roman" w:hAnsi="Times New Roman" w:cs="Times New Roman"/>
                      <w:color w:val="000000"/>
                      <w:sz w:val="20"/>
                      <w:szCs w:val="20"/>
                      <w:lang w:eastAsia="es-GT"/>
                    </w:rPr>
                    <w:t>6.0</w:t>
                  </w:r>
                </w:p>
              </w:tc>
            </w:tr>
            <w:tr w:rsidR="0022699D" w:rsidRPr="0022699D" w14:paraId="541694CD" w14:textId="77777777" w:rsidTr="006029AA">
              <w:trPr>
                <w:trHeight w:val="341"/>
              </w:trPr>
              <w:tc>
                <w:tcPr>
                  <w:tcW w:w="2943" w:type="dxa"/>
                  <w:tcBorders>
                    <w:top w:val="nil"/>
                    <w:left w:val="single" w:sz="4" w:space="0" w:color="auto"/>
                    <w:bottom w:val="single" w:sz="4" w:space="0" w:color="auto"/>
                    <w:right w:val="nil"/>
                  </w:tcBorders>
                  <w:shd w:val="clear" w:color="auto" w:fill="auto"/>
                  <w:noWrap/>
                  <w:vAlign w:val="bottom"/>
                  <w:hideMark/>
                </w:tcPr>
                <w:p w14:paraId="43249D6C" w14:textId="77777777" w:rsidR="0022699D" w:rsidRPr="0022699D" w:rsidRDefault="0022699D" w:rsidP="0022699D">
                  <w:pPr>
                    <w:rPr>
                      <w:rFonts w:ascii="Times New Roman" w:eastAsia="Times New Roman" w:hAnsi="Times New Roman" w:cs="Times New Roman"/>
                      <w:color w:val="000000"/>
                      <w:sz w:val="18"/>
                      <w:szCs w:val="18"/>
                      <w:lang w:eastAsia="es-GT"/>
                    </w:rPr>
                  </w:pPr>
                  <w:r w:rsidRPr="0022699D">
                    <w:rPr>
                      <w:rFonts w:ascii="Times New Roman" w:eastAsia="Times New Roman" w:hAnsi="Times New Roman" w:cs="Times New Roman"/>
                      <w:color w:val="000000"/>
                      <w:sz w:val="18"/>
                      <w:szCs w:val="18"/>
                      <w:lang w:eastAsia="es-GT"/>
                    </w:rPr>
                    <w:t>Variación Exportaciones FOB (%)</w:t>
                  </w:r>
                </w:p>
              </w:tc>
              <w:tc>
                <w:tcPr>
                  <w:tcW w:w="1158" w:type="dxa"/>
                  <w:tcBorders>
                    <w:top w:val="nil"/>
                    <w:left w:val="nil"/>
                    <w:bottom w:val="single" w:sz="4" w:space="0" w:color="auto"/>
                    <w:right w:val="nil"/>
                  </w:tcBorders>
                  <w:shd w:val="clear" w:color="auto" w:fill="auto"/>
                  <w:noWrap/>
                  <w:vAlign w:val="bottom"/>
                  <w:hideMark/>
                </w:tcPr>
                <w:p w14:paraId="6EB81405" w14:textId="77777777" w:rsidR="0022699D" w:rsidRPr="0022699D" w:rsidRDefault="0022699D" w:rsidP="0022699D">
                  <w:pPr>
                    <w:jc w:val="center"/>
                    <w:rPr>
                      <w:rFonts w:ascii="Times New Roman" w:eastAsia="Times New Roman" w:hAnsi="Times New Roman" w:cs="Times New Roman"/>
                      <w:color w:val="000000"/>
                      <w:sz w:val="20"/>
                      <w:szCs w:val="20"/>
                      <w:lang w:eastAsia="es-GT"/>
                    </w:rPr>
                  </w:pPr>
                  <w:r w:rsidRPr="0022699D">
                    <w:rPr>
                      <w:rFonts w:ascii="Times New Roman" w:eastAsia="Times New Roman" w:hAnsi="Times New Roman" w:cs="Times New Roman"/>
                      <w:color w:val="000000"/>
                      <w:sz w:val="20"/>
                      <w:szCs w:val="20"/>
                      <w:lang w:eastAsia="es-GT"/>
                    </w:rPr>
                    <w:t>4.0</w:t>
                  </w:r>
                </w:p>
              </w:tc>
              <w:tc>
                <w:tcPr>
                  <w:tcW w:w="1158" w:type="dxa"/>
                  <w:tcBorders>
                    <w:top w:val="nil"/>
                    <w:left w:val="nil"/>
                    <w:bottom w:val="single" w:sz="4" w:space="0" w:color="auto"/>
                    <w:right w:val="nil"/>
                  </w:tcBorders>
                  <w:shd w:val="clear" w:color="auto" w:fill="auto"/>
                  <w:noWrap/>
                  <w:vAlign w:val="bottom"/>
                  <w:hideMark/>
                </w:tcPr>
                <w:p w14:paraId="26E4F137" w14:textId="77777777" w:rsidR="0022699D" w:rsidRPr="0022699D" w:rsidRDefault="0022699D" w:rsidP="0022699D">
                  <w:pPr>
                    <w:jc w:val="center"/>
                    <w:rPr>
                      <w:rFonts w:ascii="Times New Roman" w:eastAsia="Times New Roman" w:hAnsi="Times New Roman" w:cs="Times New Roman"/>
                      <w:color w:val="000000"/>
                      <w:sz w:val="20"/>
                      <w:szCs w:val="20"/>
                      <w:lang w:eastAsia="es-GT"/>
                    </w:rPr>
                  </w:pPr>
                  <w:r w:rsidRPr="0022699D">
                    <w:rPr>
                      <w:rFonts w:ascii="Times New Roman" w:eastAsia="Times New Roman" w:hAnsi="Times New Roman" w:cs="Times New Roman"/>
                      <w:color w:val="000000"/>
                      <w:sz w:val="20"/>
                      <w:szCs w:val="20"/>
                      <w:lang w:eastAsia="es-GT"/>
                    </w:rPr>
                    <w:t>4.0</w:t>
                  </w:r>
                </w:p>
              </w:tc>
              <w:tc>
                <w:tcPr>
                  <w:tcW w:w="1813" w:type="dxa"/>
                  <w:tcBorders>
                    <w:top w:val="nil"/>
                    <w:left w:val="nil"/>
                    <w:bottom w:val="single" w:sz="4" w:space="0" w:color="auto"/>
                    <w:right w:val="nil"/>
                  </w:tcBorders>
                  <w:shd w:val="clear" w:color="auto" w:fill="auto"/>
                  <w:noWrap/>
                  <w:vAlign w:val="bottom"/>
                  <w:hideMark/>
                </w:tcPr>
                <w:p w14:paraId="380685F3" w14:textId="77777777" w:rsidR="0022699D" w:rsidRPr="0022699D" w:rsidRDefault="0022699D" w:rsidP="0022699D">
                  <w:pPr>
                    <w:jc w:val="center"/>
                    <w:rPr>
                      <w:rFonts w:ascii="Times New Roman" w:eastAsia="Times New Roman" w:hAnsi="Times New Roman" w:cs="Times New Roman"/>
                      <w:color w:val="000000"/>
                      <w:sz w:val="20"/>
                      <w:szCs w:val="20"/>
                      <w:lang w:eastAsia="es-GT"/>
                    </w:rPr>
                  </w:pPr>
                  <w:r w:rsidRPr="0022699D">
                    <w:rPr>
                      <w:rFonts w:ascii="Times New Roman" w:eastAsia="Times New Roman" w:hAnsi="Times New Roman" w:cs="Times New Roman"/>
                      <w:color w:val="000000"/>
                      <w:sz w:val="20"/>
                      <w:szCs w:val="20"/>
                      <w:lang w:eastAsia="es-GT"/>
                    </w:rPr>
                    <w:t>4.0</w:t>
                  </w:r>
                </w:p>
              </w:tc>
              <w:tc>
                <w:tcPr>
                  <w:tcW w:w="1840" w:type="dxa"/>
                  <w:tcBorders>
                    <w:top w:val="nil"/>
                    <w:left w:val="nil"/>
                    <w:bottom w:val="single" w:sz="4" w:space="0" w:color="auto"/>
                    <w:right w:val="single" w:sz="4" w:space="0" w:color="auto"/>
                  </w:tcBorders>
                  <w:shd w:val="clear" w:color="auto" w:fill="auto"/>
                  <w:noWrap/>
                  <w:vAlign w:val="bottom"/>
                  <w:hideMark/>
                </w:tcPr>
                <w:p w14:paraId="6D4D933E" w14:textId="77777777" w:rsidR="0022699D" w:rsidRPr="0022699D" w:rsidRDefault="0022699D" w:rsidP="0022699D">
                  <w:pPr>
                    <w:jc w:val="center"/>
                    <w:rPr>
                      <w:rFonts w:ascii="Times New Roman" w:eastAsia="Times New Roman" w:hAnsi="Times New Roman" w:cs="Times New Roman"/>
                      <w:color w:val="000000"/>
                      <w:sz w:val="20"/>
                      <w:szCs w:val="20"/>
                      <w:lang w:eastAsia="es-GT"/>
                    </w:rPr>
                  </w:pPr>
                  <w:r w:rsidRPr="0022699D">
                    <w:rPr>
                      <w:rFonts w:ascii="Times New Roman" w:eastAsia="Times New Roman" w:hAnsi="Times New Roman" w:cs="Times New Roman"/>
                      <w:color w:val="000000"/>
                      <w:sz w:val="20"/>
                      <w:szCs w:val="20"/>
                      <w:lang w:eastAsia="es-GT"/>
                    </w:rPr>
                    <w:t>4.0</w:t>
                  </w:r>
                </w:p>
              </w:tc>
            </w:tr>
          </w:tbl>
          <w:p w14:paraId="0157703E" w14:textId="77777777" w:rsidR="0022699D" w:rsidRPr="0022699D" w:rsidRDefault="0022699D" w:rsidP="0022699D">
            <w:pPr>
              <w:spacing w:line="276" w:lineRule="auto"/>
              <w:contextualSpacing/>
              <w:jc w:val="both"/>
              <w:rPr>
                <w:rFonts w:ascii="Times New Roman" w:eastAsia="Times New Roman" w:hAnsi="Times New Roman" w:cs="Calibri"/>
                <w:sz w:val="22"/>
                <w:szCs w:val="22"/>
              </w:rPr>
            </w:pPr>
          </w:p>
        </w:tc>
      </w:tr>
      <w:tr w:rsidR="0022699D" w:rsidRPr="0022699D" w14:paraId="7164DCD2" w14:textId="77777777" w:rsidTr="00973C72">
        <w:tc>
          <w:tcPr>
            <w:tcW w:w="8828" w:type="dxa"/>
          </w:tcPr>
          <w:p w14:paraId="5EFB7FDB" w14:textId="77777777" w:rsidR="0022699D" w:rsidRPr="0022699D" w:rsidRDefault="0022699D" w:rsidP="0022699D">
            <w:pPr>
              <w:spacing w:line="276" w:lineRule="auto"/>
              <w:contextualSpacing/>
              <w:jc w:val="both"/>
              <w:rPr>
                <w:rFonts w:ascii="Times New Roman" w:eastAsia="Times New Roman" w:hAnsi="Times New Roman" w:cs="Calibri"/>
                <w:sz w:val="20"/>
                <w:szCs w:val="20"/>
              </w:rPr>
            </w:pPr>
            <w:r w:rsidRPr="0022699D">
              <w:rPr>
                <w:rFonts w:ascii="Times New Roman" w:eastAsia="Times New Roman" w:hAnsi="Times New Roman" w:cs="Calibri"/>
                <w:sz w:val="20"/>
                <w:szCs w:val="20"/>
              </w:rPr>
              <w:t>Fuente: Banco de Guatemala</w:t>
            </w:r>
          </w:p>
        </w:tc>
      </w:tr>
    </w:tbl>
    <w:p w14:paraId="457847CB" w14:textId="77777777" w:rsidR="0022699D" w:rsidRPr="0022699D" w:rsidRDefault="0022699D" w:rsidP="0022699D">
      <w:pPr>
        <w:spacing w:line="276" w:lineRule="auto"/>
        <w:contextualSpacing/>
        <w:jc w:val="both"/>
        <w:rPr>
          <w:rFonts w:ascii="Times New Roman" w:eastAsia="Times New Roman" w:hAnsi="Times New Roman" w:cs="Calibri"/>
          <w:sz w:val="22"/>
          <w:szCs w:val="22"/>
        </w:rPr>
      </w:pPr>
    </w:p>
    <w:p w14:paraId="4FB41CCB" w14:textId="5CE0836F" w:rsidR="00143E77" w:rsidRPr="00F22DD8" w:rsidRDefault="00437F1D" w:rsidP="006029AA">
      <w:pPr>
        <w:keepNext/>
        <w:keepLines/>
        <w:tabs>
          <w:tab w:val="left" w:pos="1134"/>
        </w:tabs>
        <w:spacing w:line="276" w:lineRule="auto"/>
        <w:ind w:left="567" w:hanging="283"/>
        <w:contextualSpacing/>
        <w:jc w:val="both"/>
        <w:outlineLvl w:val="1"/>
        <w:rPr>
          <w:rFonts w:ascii="Times New Roman" w:eastAsiaTheme="majorEastAsia" w:hAnsi="Times New Roman" w:cs="Times New Roman"/>
          <w:b/>
          <w:bCs/>
        </w:rPr>
      </w:pPr>
      <w:bookmarkStart w:id="181" w:name="_Toc94259653"/>
      <w:bookmarkStart w:id="182" w:name="_Toc125723299"/>
      <w:bookmarkStart w:id="183" w:name="_Toc160196867"/>
      <w:r w:rsidRPr="00F22DD8">
        <w:rPr>
          <w:rFonts w:ascii="Times New Roman" w:eastAsiaTheme="majorEastAsia" w:hAnsi="Times New Roman" w:cs="Times New Roman"/>
          <w:b/>
          <w:bCs/>
        </w:rPr>
        <w:t>8.5</w:t>
      </w:r>
      <w:r w:rsidR="00BE1C08" w:rsidRPr="00F22DD8">
        <w:rPr>
          <w:rFonts w:ascii="Times New Roman" w:eastAsiaTheme="majorEastAsia" w:hAnsi="Times New Roman" w:cs="Times New Roman"/>
          <w:b/>
          <w:bCs/>
        </w:rPr>
        <w:t xml:space="preserve"> </w:t>
      </w:r>
      <w:bookmarkEnd w:id="181"/>
      <w:bookmarkEnd w:id="182"/>
      <w:r w:rsidR="009056AF" w:rsidRPr="00F22DD8">
        <w:rPr>
          <w:rFonts w:ascii="Times New Roman" w:eastAsiaTheme="majorEastAsia" w:hAnsi="Times New Roman" w:cs="Times New Roman"/>
          <w:b/>
          <w:bCs/>
        </w:rPr>
        <w:t>Presupuesto en Vigencia 2024</w:t>
      </w:r>
      <w:bookmarkEnd w:id="183"/>
    </w:p>
    <w:p w14:paraId="4BC167D8" w14:textId="77777777" w:rsidR="00143E77" w:rsidRPr="00143E77" w:rsidRDefault="00143E77" w:rsidP="006029AA">
      <w:pPr>
        <w:contextualSpacing/>
        <w:rPr>
          <w:rFonts w:ascii="Times New Roman" w:eastAsiaTheme="majorEastAsia" w:hAnsi="Times New Roman" w:cs="Calibri"/>
          <w:b/>
          <w:bCs/>
          <w:sz w:val="20"/>
          <w:szCs w:val="26"/>
        </w:rPr>
      </w:pPr>
    </w:p>
    <w:p w14:paraId="2C9D06B5" w14:textId="1E7516FD" w:rsidR="00F021A5" w:rsidRDefault="00143E77" w:rsidP="006029AA">
      <w:pPr>
        <w:contextualSpacing/>
        <w:jc w:val="both"/>
        <w:rPr>
          <w:rFonts w:ascii="Times New Roman" w:eastAsia="Times New Roman" w:hAnsi="Times New Roman" w:cs="Calibri"/>
          <w:sz w:val="22"/>
          <w:szCs w:val="22"/>
        </w:rPr>
      </w:pPr>
      <w:r w:rsidRPr="00143E77">
        <w:rPr>
          <w:rFonts w:ascii="Times New Roman" w:eastAsia="Times New Roman" w:hAnsi="Times New Roman" w:cs="Calibri"/>
          <w:sz w:val="22"/>
          <w:szCs w:val="22"/>
        </w:rPr>
        <w:t>El 202</w:t>
      </w:r>
      <w:r>
        <w:rPr>
          <w:rFonts w:ascii="Times New Roman" w:eastAsia="Times New Roman" w:hAnsi="Times New Roman" w:cs="Calibri"/>
          <w:sz w:val="22"/>
          <w:szCs w:val="22"/>
        </w:rPr>
        <w:t>4</w:t>
      </w:r>
      <w:r w:rsidRPr="00143E77">
        <w:rPr>
          <w:rFonts w:ascii="Times New Roman" w:eastAsia="Times New Roman" w:hAnsi="Times New Roman" w:cs="Calibri"/>
          <w:sz w:val="22"/>
          <w:szCs w:val="22"/>
        </w:rPr>
        <w:t xml:space="preserve"> inicia con perspectivas fiscales</w:t>
      </w:r>
      <w:r>
        <w:rPr>
          <w:rFonts w:ascii="Times New Roman" w:eastAsia="Times New Roman" w:hAnsi="Times New Roman" w:cs="Calibri"/>
          <w:sz w:val="22"/>
          <w:szCs w:val="22"/>
        </w:rPr>
        <w:t xml:space="preserve"> desfavorables</w:t>
      </w:r>
      <w:r w:rsidR="00A761B3">
        <w:rPr>
          <w:rFonts w:ascii="Times New Roman" w:eastAsia="Times New Roman" w:hAnsi="Times New Roman" w:cs="Calibri"/>
          <w:sz w:val="22"/>
          <w:szCs w:val="22"/>
        </w:rPr>
        <w:t xml:space="preserve">. El Ministerio de Finanzas Públicas </w:t>
      </w:r>
      <w:r>
        <w:rPr>
          <w:rFonts w:ascii="Times New Roman" w:eastAsia="Times New Roman" w:hAnsi="Times New Roman" w:cs="Calibri"/>
          <w:sz w:val="22"/>
          <w:szCs w:val="22"/>
        </w:rPr>
        <w:t>present</w:t>
      </w:r>
      <w:r w:rsidR="00A761B3">
        <w:rPr>
          <w:rFonts w:ascii="Times New Roman" w:eastAsia="Times New Roman" w:hAnsi="Times New Roman" w:cs="Calibri"/>
          <w:sz w:val="22"/>
          <w:szCs w:val="22"/>
        </w:rPr>
        <w:t xml:space="preserve">ó al Congreso de la República </w:t>
      </w:r>
      <w:r>
        <w:rPr>
          <w:rFonts w:ascii="Times New Roman" w:eastAsia="Times New Roman" w:hAnsi="Times New Roman" w:cs="Calibri"/>
          <w:sz w:val="22"/>
          <w:szCs w:val="22"/>
        </w:rPr>
        <w:t xml:space="preserve">el Proyecto de Presupuesto </w:t>
      </w:r>
      <w:r w:rsidRPr="00143E77">
        <w:rPr>
          <w:rFonts w:ascii="Times New Roman" w:eastAsia="Times New Roman" w:hAnsi="Times New Roman" w:cs="Calibri"/>
          <w:sz w:val="22"/>
          <w:szCs w:val="22"/>
        </w:rPr>
        <w:t>General de</w:t>
      </w:r>
      <w:r w:rsidR="00A761B3">
        <w:rPr>
          <w:rFonts w:ascii="Times New Roman" w:eastAsia="Times New Roman" w:hAnsi="Times New Roman" w:cs="Calibri"/>
          <w:sz w:val="22"/>
          <w:szCs w:val="22"/>
        </w:rPr>
        <w:t xml:space="preserve"> </w:t>
      </w:r>
      <w:r w:rsidRPr="00143E77">
        <w:rPr>
          <w:rFonts w:ascii="Times New Roman" w:eastAsia="Times New Roman" w:hAnsi="Times New Roman" w:cs="Calibri"/>
          <w:sz w:val="22"/>
          <w:szCs w:val="22"/>
        </w:rPr>
        <w:t>Ingresos y Egresos del Estado</w:t>
      </w:r>
      <w:r w:rsidR="00A761B3">
        <w:rPr>
          <w:rFonts w:ascii="Times New Roman" w:eastAsia="Times New Roman" w:hAnsi="Times New Roman" w:cs="Calibri"/>
          <w:sz w:val="22"/>
          <w:szCs w:val="22"/>
        </w:rPr>
        <w:t xml:space="preserve"> </w:t>
      </w:r>
      <w:r w:rsidRPr="00143E77">
        <w:rPr>
          <w:rFonts w:ascii="Times New Roman" w:eastAsia="Times New Roman" w:hAnsi="Times New Roman" w:cs="Calibri"/>
          <w:sz w:val="22"/>
          <w:szCs w:val="22"/>
        </w:rPr>
        <w:t>para el Ejercicio Fiscal 2024</w:t>
      </w:r>
      <w:r w:rsidR="00A761B3">
        <w:rPr>
          <w:rFonts w:ascii="Times New Roman" w:eastAsia="Times New Roman" w:hAnsi="Times New Roman" w:cs="Calibri"/>
          <w:sz w:val="22"/>
          <w:szCs w:val="22"/>
        </w:rPr>
        <w:t xml:space="preserve">, el mismo consideraba techo presupuestario de Q124,880.0 millones, </w:t>
      </w:r>
      <w:r w:rsidR="00F021A5">
        <w:rPr>
          <w:rFonts w:ascii="Times New Roman" w:eastAsia="Times New Roman" w:hAnsi="Times New Roman" w:cs="Calibri"/>
          <w:sz w:val="22"/>
          <w:szCs w:val="22"/>
        </w:rPr>
        <w:t>posteriormente la Comisión de Finanzas Públicas y Moneda mantuvo el techo presupuestario,</w:t>
      </w:r>
      <w:r w:rsidR="001F1269">
        <w:rPr>
          <w:rFonts w:ascii="Times New Roman" w:eastAsia="Times New Roman" w:hAnsi="Times New Roman" w:cs="Calibri"/>
          <w:sz w:val="22"/>
          <w:szCs w:val="22"/>
        </w:rPr>
        <w:t xml:space="preserve"> siendo aprobado por el Congreso de la República por medio del Decreto 18-2023, manteniendo el mismo techo presupuestario aunque </w:t>
      </w:r>
      <w:r w:rsidR="00F021A5">
        <w:rPr>
          <w:rFonts w:ascii="Times New Roman" w:eastAsia="Times New Roman" w:hAnsi="Times New Roman" w:cs="Calibri"/>
          <w:sz w:val="22"/>
          <w:szCs w:val="22"/>
        </w:rPr>
        <w:t>a lo interno hubo cambios significativos</w:t>
      </w:r>
      <w:r w:rsidR="00E82D81">
        <w:rPr>
          <w:rFonts w:ascii="Times New Roman" w:eastAsia="Times New Roman" w:hAnsi="Times New Roman" w:cs="Calibri"/>
          <w:sz w:val="22"/>
          <w:szCs w:val="22"/>
        </w:rPr>
        <w:t xml:space="preserve"> respecto al Proyecto de Presupuesto presentado por el Ministerio de Finanzas Públicas</w:t>
      </w:r>
      <w:r w:rsidR="00F021A5">
        <w:rPr>
          <w:rFonts w:ascii="Times New Roman" w:eastAsia="Times New Roman" w:hAnsi="Times New Roman" w:cs="Calibri"/>
          <w:sz w:val="22"/>
          <w:szCs w:val="22"/>
        </w:rPr>
        <w:t xml:space="preserve">, </w:t>
      </w:r>
      <w:r w:rsidR="00E82D81">
        <w:rPr>
          <w:rFonts w:ascii="Times New Roman" w:eastAsia="Times New Roman" w:hAnsi="Times New Roman" w:cs="Calibri"/>
          <w:sz w:val="22"/>
          <w:szCs w:val="22"/>
        </w:rPr>
        <w:t>siendo los más relevantes:</w:t>
      </w:r>
    </w:p>
    <w:p w14:paraId="382252F6" w14:textId="77777777" w:rsidR="007030EC" w:rsidRDefault="007030EC" w:rsidP="006029AA">
      <w:pPr>
        <w:contextualSpacing/>
        <w:jc w:val="both"/>
        <w:rPr>
          <w:rFonts w:ascii="Times New Roman" w:eastAsia="Times New Roman" w:hAnsi="Times New Roman" w:cs="Calibri"/>
          <w:sz w:val="22"/>
          <w:szCs w:val="22"/>
        </w:rPr>
      </w:pPr>
    </w:p>
    <w:p w14:paraId="5F83CCA0" w14:textId="77777777" w:rsidR="00F021A5" w:rsidRDefault="00F021A5" w:rsidP="006029AA">
      <w:pPr>
        <w:pStyle w:val="Prrafodelista"/>
        <w:numPr>
          <w:ilvl w:val="0"/>
          <w:numId w:val="9"/>
        </w:numPr>
        <w:ind w:left="567"/>
        <w:jc w:val="both"/>
        <w:rPr>
          <w:rFonts w:ascii="Times New Roman" w:eastAsia="Times New Roman" w:hAnsi="Times New Roman"/>
        </w:rPr>
      </w:pPr>
      <w:r>
        <w:rPr>
          <w:rFonts w:ascii="Times New Roman" w:eastAsia="Times New Roman" w:hAnsi="Times New Roman"/>
        </w:rPr>
        <w:t>L</w:t>
      </w:r>
      <w:r w:rsidRPr="00F021A5">
        <w:rPr>
          <w:rFonts w:ascii="Times New Roman" w:eastAsia="Times New Roman" w:hAnsi="Times New Roman"/>
        </w:rPr>
        <w:t>a reducción en el aporte por recaudación que le corresponde a la Superintendencia de Administración Tributaria (SAT)</w:t>
      </w:r>
    </w:p>
    <w:p w14:paraId="77678F3F" w14:textId="0CFFB46A" w:rsidR="00EF785A" w:rsidRPr="00EF785A" w:rsidRDefault="00F021A5" w:rsidP="006029AA">
      <w:pPr>
        <w:pStyle w:val="Prrafodelista"/>
        <w:numPr>
          <w:ilvl w:val="0"/>
          <w:numId w:val="9"/>
        </w:numPr>
        <w:ind w:left="567"/>
        <w:jc w:val="both"/>
        <w:rPr>
          <w:rFonts w:ascii="Times New Roman" w:eastAsia="Times New Roman" w:hAnsi="Times New Roman"/>
        </w:rPr>
      </w:pPr>
      <w:r w:rsidRPr="00EF785A">
        <w:rPr>
          <w:rFonts w:ascii="Times New Roman" w:eastAsia="Times New Roman" w:hAnsi="Times New Roman"/>
        </w:rPr>
        <w:t xml:space="preserve">Se dejaban </w:t>
      </w:r>
      <w:r w:rsidR="00CA5B9B">
        <w:rPr>
          <w:rFonts w:ascii="Times New Roman" w:eastAsia="Times New Roman" w:hAnsi="Times New Roman"/>
        </w:rPr>
        <w:t>sin</w:t>
      </w:r>
      <w:r w:rsidRPr="00EF785A">
        <w:rPr>
          <w:rFonts w:ascii="Times New Roman" w:eastAsia="Times New Roman" w:hAnsi="Times New Roman"/>
        </w:rPr>
        <w:t xml:space="preserve"> cubrir las deficiencias netas</w:t>
      </w:r>
      <w:r w:rsidR="007030EC">
        <w:rPr>
          <w:rFonts w:ascii="Times New Roman" w:eastAsia="Times New Roman" w:hAnsi="Times New Roman"/>
        </w:rPr>
        <w:t xml:space="preserve"> del Banco de Guatemala</w:t>
      </w:r>
      <w:r w:rsidRPr="00EF785A">
        <w:rPr>
          <w:rFonts w:ascii="Times New Roman" w:eastAsia="Times New Roman" w:hAnsi="Times New Roman"/>
        </w:rPr>
        <w:t xml:space="preserve"> y en su lugar se esta</w:t>
      </w:r>
      <w:r w:rsidR="00815A98">
        <w:rPr>
          <w:rFonts w:ascii="Times New Roman" w:eastAsia="Times New Roman" w:hAnsi="Times New Roman"/>
        </w:rPr>
        <w:t>ba</w:t>
      </w:r>
      <w:r w:rsidRPr="00EF785A">
        <w:rPr>
          <w:rFonts w:ascii="Times New Roman" w:eastAsia="Times New Roman" w:hAnsi="Times New Roman"/>
        </w:rPr>
        <w:t>n cubriendo los aportes extraordinarios para entidades del Sector Justicia, la Universidad de San Carlos de Guatemala y otros.</w:t>
      </w:r>
      <w:r w:rsidR="00EF785A" w:rsidRPr="00EF785A">
        <w:rPr>
          <w:rFonts w:ascii="Times New Roman" w:eastAsia="Times New Roman" w:hAnsi="Times New Roman"/>
        </w:rPr>
        <w:t xml:space="preserve"> Esto además de tener implicaciones legales, dado que es una responsabilidad del Estado cubrir dichas deficiencias netas cuando el Banco de Guatemala no pueda absorberlas, también </w:t>
      </w:r>
      <w:r w:rsidR="00EF785A">
        <w:rPr>
          <w:rFonts w:ascii="Times New Roman" w:eastAsia="Times New Roman" w:hAnsi="Times New Roman"/>
        </w:rPr>
        <w:t>p</w:t>
      </w:r>
      <w:r w:rsidR="00EF785A" w:rsidRPr="00EF785A">
        <w:rPr>
          <w:rFonts w:ascii="Times New Roman" w:eastAsia="Times New Roman" w:hAnsi="Times New Roman"/>
        </w:rPr>
        <w:t>odría generar perjuicio económico para el Banco de Guatemala toda vez que las operaciones de Banca Central generan costos o pérdidas cuasi</w:t>
      </w:r>
      <w:r w:rsidR="007030EC">
        <w:rPr>
          <w:rFonts w:ascii="Times New Roman" w:eastAsia="Times New Roman" w:hAnsi="Times New Roman"/>
        </w:rPr>
        <w:t xml:space="preserve"> </w:t>
      </w:r>
      <w:r w:rsidR="00EF785A" w:rsidRPr="00EF785A">
        <w:rPr>
          <w:rFonts w:ascii="Times New Roman" w:eastAsia="Times New Roman" w:hAnsi="Times New Roman"/>
        </w:rPr>
        <w:t>fiscales</w:t>
      </w:r>
      <w:r w:rsidR="007030EC">
        <w:rPr>
          <w:rFonts w:ascii="Times New Roman" w:eastAsia="Times New Roman" w:hAnsi="Times New Roman"/>
        </w:rPr>
        <w:t>.</w:t>
      </w:r>
    </w:p>
    <w:p w14:paraId="2A41D650" w14:textId="48B90B71" w:rsidR="00EF785A" w:rsidRDefault="007030EC" w:rsidP="006029AA">
      <w:pPr>
        <w:pStyle w:val="Prrafodelista"/>
        <w:numPr>
          <w:ilvl w:val="0"/>
          <w:numId w:val="9"/>
        </w:numPr>
        <w:ind w:left="567"/>
        <w:jc w:val="both"/>
        <w:rPr>
          <w:rFonts w:ascii="Times New Roman" w:eastAsia="Times New Roman" w:hAnsi="Times New Roman"/>
        </w:rPr>
      </w:pPr>
      <w:r>
        <w:rPr>
          <w:rFonts w:ascii="Times New Roman" w:eastAsia="Times New Roman" w:hAnsi="Times New Roman"/>
        </w:rPr>
        <w:t xml:space="preserve">En la colocación de bonos del tesoro se establecía </w:t>
      </w:r>
      <w:r w:rsidRPr="007030EC">
        <w:rPr>
          <w:rFonts w:ascii="Times New Roman" w:eastAsia="Times New Roman" w:hAnsi="Times New Roman"/>
        </w:rPr>
        <w:t>que los vencimientos que se produ</w:t>
      </w:r>
      <w:r>
        <w:rPr>
          <w:rFonts w:ascii="Times New Roman" w:eastAsia="Times New Roman" w:hAnsi="Times New Roman"/>
        </w:rPr>
        <w:t xml:space="preserve">jeran </w:t>
      </w:r>
      <w:r w:rsidRPr="007030EC">
        <w:rPr>
          <w:rFonts w:ascii="Times New Roman" w:eastAsia="Times New Roman" w:hAnsi="Times New Roman"/>
        </w:rPr>
        <w:t xml:space="preserve">durante el ejercicio fiscal </w:t>
      </w:r>
      <w:r>
        <w:rPr>
          <w:rFonts w:ascii="Times New Roman" w:eastAsia="Times New Roman" w:hAnsi="Times New Roman"/>
        </w:rPr>
        <w:t>podían</w:t>
      </w:r>
      <w:r w:rsidRPr="007030EC">
        <w:rPr>
          <w:rFonts w:ascii="Times New Roman" w:eastAsia="Times New Roman" w:hAnsi="Times New Roman"/>
        </w:rPr>
        <w:t xml:space="preserve"> ser recolocados únicamente previa aprobación del Congreso</w:t>
      </w:r>
      <w:r w:rsidR="00815A98">
        <w:rPr>
          <w:rFonts w:ascii="Times New Roman" w:eastAsia="Times New Roman" w:hAnsi="Times New Roman"/>
        </w:rPr>
        <w:t xml:space="preserve"> de la República</w:t>
      </w:r>
      <w:r w:rsidRPr="007030EC">
        <w:rPr>
          <w:rFonts w:ascii="Times New Roman" w:eastAsia="Times New Roman" w:hAnsi="Times New Roman"/>
        </w:rPr>
        <w:t>, dificulta</w:t>
      </w:r>
      <w:r>
        <w:rPr>
          <w:rFonts w:ascii="Times New Roman" w:eastAsia="Times New Roman" w:hAnsi="Times New Roman"/>
        </w:rPr>
        <w:t>ndo</w:t>
      </w:r>
      <w:r w:rsidRPr="007030EC">
        <w:rPr>
          <w:rFonts w:ascii="Times New Roman" w:eastAsia="Times New Roman" w:hAnsi="Times New Roman"/>
        </w:rPr>
        <w:t xml:space="preserve"> el cumplimiento en el pago puntual de la deuda pública</w:t>
      </w:r>
      <w:r>
        <w:rPr>
          <w:rFonts w:ascii="Times New Roman" w:eastAsia="Times New Roman" w:hAnsi="Times New Roman"/>
        </w:rPr>
        <w:t xml:space="preserve"> y burocratizando </w:t>
      </w:r>
      <w:r w:rsidR="00FC1A73">
        <w:rPr>
          <w:rFonts w:ascii="Times New Roman" w:eastAsia="Times New Roman" w:hAnsi="Times New Roman"/>
        </w:rPr>
        <w:t>el</w:t>
      </w:r>
      <w:r>
        <w:rPr>
          <w:rFonts w:ascii="Times New Roman" w:eastAsia="Times New Roman" w:hAnsi="Times New Roman"/>
        </w:rPr>
        <w:t xml:space="preserve"> proceso que se realiza de forma automática</w:t>
      </w:r>
      <w:r w:rsidR="00815A98">
        <w:rPr>
          <w:rFonts w:ascii="Times New Roman" w:eastAsia="Times New Roman" w:hAnsi="Times New Roman"/>
        </w:rPr>
        <w:t xml:space="preserve"> sin previa autorización del Congreso de la República</w:t>
      </w:r>
      <w:r>
        <w:rPr>
          <w:rFonts w:ascii="Times New Roman" w:eastAsia="Times New Roman" w:hAnsi="Times New Roman"/>
        </w:rPr>
        <w:t xml:space="preserve">. </w:t>
      </w:r>
    </w:p>
    <w:p w14:paraId="6DE18DE7" w14:textId="56184305" w:rsidR="007030EC" w:rsidRDefault="007030EC" w:rsidP="006029AA">
      <w:pPr>
        <w:pStyle w:val="Prrafodelista"/>
        <w:numPr>
          <w:ilvl w:val="0"/>
          <w:numId w:val="9"/>
        </w:numPr>
        <w:ind w:left="567"/>
        <w:jc w:val="both"/>
        <w:rPr>
          <w:rFonts w:ascii="Times New Roman" w:eastAsia="Times New Roman" w:hAnsi="Times New Roman"/>
        </w:rPr>
      </w:pPr>
      <w:r>
        <w:rPr>
          <w:rFonts w:ascii="Times New Roman" w:eastAsia="Times New Roman" w:hAnsi="Times New Roman"/>
        </w:rPr>
        <w:t xml:space="preserve">En las mejoras en condiciones financieras derivadas de operaciones de Crédito Público se </w:t>
      </w:r>
      <w:r w:rsidRPr="007030EC">
        <w:rPr>
          <w:rFonts w:ascii="Times New Roman" w:eastAsia="Times New Roman" w:hAnsi="Times New Roman"/>
        </w:rPr>
        <w:t>adiciona</w:t>
      </w:r>
      <w:r>
        <w:rPr>
          <w:rFonts w:ascii="Times New Roman" w:eastAsia="Times New Roman" w:hAnsi="Times New Roman"/>
        </w:rPr>
        <w:t>ba l</w:t>
      </w:r>
      <w:r w:rsidRPr="007030EC">
        <w:rPr>
          <w:rFonts w:ascii="Times New Roman" w:eastAsia="Times New Roman" w:hAnsi="Times New Roman"/>
        </w:rPr>
        <w:t>a frase “previa autorización del Congreso de la República”, dificultando la negociación o sustitución de contratos</w:t>
      </w:r>
      <w:r>
        <w:rPr>
          <w:rFonts w:ascii="Times New Roman" w:eastAsia="Times New Roman" w:hAnsi="Times New Roman"/>
        </w:rPr>
        <w:t xml:space="preserve"> de préstamos externos</w:t>
      </w:r>
      <w:r w:rsidRPr="007030EC">
        <w:rPr>
          <w:rFonts w:ascii="Times New Roman" w:eastAsia="Times New Roman" w:hAnsi="Times New Roman"/>
        </w:rPr>
        <w:t xml:space="preserve"> en condiciones financieras más favorables.</w:t>
      </w:r>
    </w:p>
    <w:p w14:paraId="7BCFF5AC" w14:textId="6C142577" w:rsidR="00EA1761" w:rsidRDefault="00EA1761" w:rsidP="006029AA">
      <w:pPr>
        <w:pStyle w:val="Prrafodelista"/>
        <w:numPr>
          <w:ilvl w:val="0"/>
          <w:numId w:val="9"/>
        </w:numPr>
        <w:ind w:left="567"/>
        <w:jc w:val="both"/>
        <w:rPr>
          <w:rFonts w:ascii="Times New Roman" w:eastAsia="Times New Roman" w:hAnsi="Times New Roman"/>
        </w:rPr>
      </w:pPr>
      <w:r>
        <w:rPr>
          <w:rFonts w:ascii="Times New Roman" w:eastAsia="Times New Roman" w:hAnsi="Times New Roman"/>
        </w:rPr>
        <w:lastRenderedPageBreak/>
        <w:t xml:space="preserve">Se asignaban aportes extraordinarios a la Corte de Constitucionalidad, al Organismo Judicial, al Ministerio Público, </w:t>
      </w:r>
      <w:r w:rsidR="00CC7A03">
        <w:rPr>
          <w:rFonts w:ascii="Times New Roman" w:eastAsia="Times New Roman" w:hAnsi="Times New Roman"/>
        </w:rPr>
        <w:t xml:space="preserve">esta última </w:t>
      </w:r>
      <w:r>
        <w:rPr>
          <w:rFonts w:ascii="Times New Roman" w:eastAsia="Times New Roman" w:hAnsi="Times New Roman"/>
        </w:rPr>
        <w:t>instituci</w:t>
      </w:r>
      <w:r w:rsidR="00CC7A03">
        <w:rPr>
          <w:rFonts w:ascii="Times New Roman" w:eastAsia="Times New Roman" w:hAnsi="Times New Roman"/>
        </w:rPr>
        <w:t>ón</w:t>
      </w:r>
      <w:r>
        <w:rPr>
          <w:rFonts w:ascii="Times New Roman" w:eastAsia="Times New Roman" w:hAnsi="Times New Roman"/>
        </w:rPr>
        <w:t xml:space="preserve"> fuertemente cuestionada,</w:t>
      </w:r>
      <w:r w:rsidR="00CC7A03">
        <w:rPr>
          <w:rFonts w:ascii="Times New Roman" w:eastAsia="Times New Roman" w:hAnsi="Times New Roman"/>
        </w:rPr>
        <w:t xml:space="preserve"> señalada de intentar revertir los resultados electorales</w:t>
      </w:r>
      <w:r w:rsidR="00976339">
        <w:rPr>
          <w:rFonts w:ascii="Times New Roman" w:eastAsia="Times New Roman" w:hAnsi="Times New Roman"/>
        </w:rPr>
        <w:t xml:space="preserve"> obtenidos en las Elecciones Generales 2023</w:t>
      </w:r>
      <w:r>
        <w:rPr>
          <w:rFonts w:ascii="Times New Roman" w:eastAsia="Times New Roman" w:hAnsi="Times New Roman"/>
        </w:rPr>
        <w:t>.</w:t>
      </w:r>
    </w:p>
    <w:p w14:paraId="557B5386" w14:textId="61927446" w:rsidR="007030EC" w:rsidRPr="00EA1761" w:rsidRDefault="00EA1761" w:rsidP="006029AA">
      <w:pPr>
        <w:pStyle w:val="Prrafodelista"/>
        <w:numPr>
          <w:ilvl w:val="0"/>
          <w:numId w:val="9"/>
        </w:numPr>
        <w:ind w:left="567"/>
        <w:jc w:val="both"/>
        <w:rPr>
          <w:rFonts w:ascii="Times New Roman" w:eastAsia="Times New Roman" w:hAnsi="Times New Roman"/>
        </w:rPr>
      </w:pPr>
      <w:r w:rsidRPr="00EA1761">
        <w:rPr>
          <w:rFonts w:ascii="Times New Roman" w:eastAsia="Times New Roman" w:hAnsi="Times New Roman"/>
        </w:rPr>
        <w:t>Se reducían recursos del Ministerio de Salud Pública y Asistencia Social y se priorizaban proyectos en el Ministerio de Comunicaciones, Infraestructura y Vivienda. Además, en las asignaciones especiales se contemplaban tra</w:t>
      </w:r>
      <w:r w:rsidR="006B62C9">
        <w:rPr>
          <w:rFonts w:ascii="Times New Roman" w:eastAsia="Times New Roman" w:hAnsi="Times New Roman"/>
        </w:rPr>
        <w:t>n</w:t>
      </w:r>
      <w:r w:rsidRPr="00EA1761">
        <w:rPr>
          <w:rFonts w:ascii="Times New Roman" w:eastAsia="Times New Roman" w:hAnsi="Times New Roman"/>
        </w:rPr>
        <w:t xml:space="preserve">sferencias corrientes a diferentes </w:t>
      </w:r>
      <w:proofErr w:type="spellStart"/>
      <w:r w:rsidRPr="00EA1761">
        <w:rPr>
          <w:rFonts w:ascii="Times New Roman" w:eastAsia="Times New Roman" w:hAnsi="Times New Roman"/>
        </w:rPr>
        <w:t>ONGs</w:t>
      </w:r>
      <w:proofErr w:type="spellEnd"/>
      <w:r w:rsidRPr="00EA1761">
        <w:rPr>
          <w:rFonts w:ascii="Times New Roman" w:eastAsia="Times New Roman" w:hAnsi="Times New Roman"/>
        </w:rPr>
        <w:t xml:space="preserve">, las cuales podían ser opacas y cuestionables. </w:t>
      </w:r>
    </w:p>
    <w:p w14:paraId="6F1C3148" w14:textId="02DEA9B8" w:rsidR="007030EC" w:rsidRPr="007030EC" w:rsidRDefault="007030EC" w:rsidP="006029AA">
      <w:pPr>
        <w:jc w:val="both"/>
        <w:rPr>
          <w:rFonts w:ascii="Times New Roman" w:eastAsia="Times New Roman" w:hAnsi="Times New Roman"/>
        </w:rPr>
      </w:pPr>
    </w:p>
    <w:p w14:paraId="5B4C86A1" w14:textId="389EFA93" w:rsidR="00CC7A03" w:rsidRDefault="00135023" w:rsidP="006029AA">
      <w:pPr>
        <w:contextualSpacing/>
        <w:jc w:val="both"/>
        <w:rPr>
          <w:rFonts w:ascii="Times New Roman" w:eastAsia="Times New Roman" w:hAnsi="Times New Roman" w:cs="Calibri"/>
          <w:sz w:val="22"/>
          <w:szCs w:val="22"/>
        </w:rPr>
      </w:pPr>
      <w:r>
        <w:rPr>
          <w:rFonts w:ascii="Times New Roman" w:eastAsia="Times New Roman" w:hAnsi="Times New Roman" w:cs="Calibri"/>
          <w:sz w:val="22"/>
          <w:szCs w:val="22"/>
        </w:rPr>
        <w:t>El presupuesto 2024 fue sancionado, a pesar de la solicitud hecha por el presidente electo</w:t>
      </w:r>
      <w:r w:rsidR="00EA1761">
        <w:rPr>
          <w:rFonts w:ascii="Times New Roman" w:eastAsia="Times New Roman" w:hAnsi="Times New Roman" w:cs="Calibri"/>
          <w:sz w:val="22"/>
          <w:szCs w:val="22"/>
        </w:rPr>
        <w:t xml:space="preserve"> Bernardo Arévalo</w:t>
      </w:r>
      <w:r>
        <w:rPr>
          <w:rFonts w:ascii="Times New Roman" w:eastAsia="Times New Roman" w:hAnsi="Times New Roman" w:cs="Calibri"/>
          <w:sz w:val="22"/>
          <w:szCs w:val="22"/>
        </w:rPr>
        <w:t xml:space="preserve"> de que el mismo fuera vetado. </w:t>
      </w:r>
      <w:r w:rsidR="00EA1761">
        <w:rPr>
          <w:rFonts w:ascii="Times New Roman" w:eastAsia="Times New Roman" w:hAnsi="Times New Roman" w:cs="Calibri"/>
          <w:sz w:val="22"/>
          <w:szCs w:val="22"/>
        </w:rPr>
        <w:t>No obstante, la Corte de Constitucionalidad dejó en suspenso el Presupuesto de Ingresos y Egresos del Estado para el ejercicio fiscal 2024</w:t>
      </w:r>
      <w:r w:rsidR="00CC7A03">
        <w:rPr>
          <w:rFonts w:ascii="Times New Roman" w:eastAsia="Times New Roman" w:hAnsi="Times New Roman" w:cs="Calibri"/>
          <w:sz w:val="22"/>
          <w:szCs w:val="22"/>
        </w:rPr>
        <w:t xml:space="preserve">, dando lugar a un amparo provisional que suspendía la aprobación del presupuesto por las críticas y cuestionamientos que tuvo de parte de diferentes sectores como la academia, tanques de pensamiento, cámaras empresariales, el partido oficialista y afectados por los cambios propuestos por el Congreso de la República. </w:t>
      </w:r>
    </w:p>
    <w:p w14:paraId="206D44BC" w14:textId="2CD2D7C3" w:rsidR="00CC7A03" w:rsidRDefault="00CC7A03" w:rsidP="006029AA">
      <w:pPr>
        <w:contextualSpacing/>
        <w:jc w:val="both"/>
        <w:rPr>
          <w:rFonts w:ascii="Times New Roman" w:eastAsia="Times New Roman" w:hAnsi="Times New Roman" w:cs="Calibri"/>
          <w:sz w:val="22"/>
          <w:szCs w:val="22"/>
        </w:rPr>
      </w:pPr>
    </w:p>
    <w:p w14:paraId="408AA45C" w14:textId="7DF8CC15" w:rsidR="00A761B3" w:rsidRDefault="00A233F7" w:rsidP="006029AA">
      <w:pPr>
        <w:contextualSpacing/>
        <w:jc w:val="both"/>
        <w:rPr>
          <w:rFonts w:ascii="Times New Roman" w:eastAsia="Times New Roman" w:hAnsi="Times New Roman" w:cs="Calibri"/>
          <w:sz w:val="22"/>
          <w:szCs w:val="22"/>
        </w:rPr>
      </w:pPr>
      <w:r w:rsidRPr="00976339">
        <w:rPr>
          <w:rFonts w:ascii="Times New Roman" w:eastAsia="Times New Roman" w:hAnsi="Times New Roman" w:cs="Calibri"/>
          <w:sz w:val="22"/>
          <w:szCs w:val="22"/>
        </w:rPr>
        <w:t xml:space="preserve">Finalmente, para el ejercicio fiscal 2024 </w:t>
      </w:r>
      <w:r w:rsidR="003A574E">
        <w:rPr>
          <w:rFonts w:ascii="Times New Roman" w:eastAsia="Times New Roman" w:hAnsi="Times New Roman" w:cs="Calibri"/>
          <w:sz w:val="22"/>
          <w:szCs w:val="22"/>
        </w:rPr>
        <w:t>inici</w:t>
      </w:r>
      <w:r w:rsidR="003A574E" w:rsidRPr="00976339">
        <w:rPr>
          <w:rFonts w:ascii="Times New Roman" w:eastAsia="Times New Roman" w:hAnsi="Times New Roman" w:cs="Calibri"/>
          <w:sz w:val="22"/>
          <w:szCs w:val="22"/>
        </w:rPr>
        <w:t xml:space="preserve">ó </w:t>
      </w:r>
      <w:r w:rsidRPr="00976339">
        <w:rPr>
          <w:rFonts w:ascii="Times New Roman" w:eastAsia="Times New Roman" w:hAnsi="Times New Roman" w:cs="Calibri"/>
          <w:sz w:val="22"/>
          <w:szCs w:val="22"/>
        </w:rPr>
        <w:t>a regir el presupuest</w:t>
      </w:r>
      <w:r w:rsidR="007D486D" w:rsidRPr="00976339">
        <w:rPr>
          <w:rFonts w:ascii="Times New Roman" w:eastAsia="Times New Roman" w:hAnsi="Times New Roman" w:cs="Calibri"/>
          <w:sz w:val="22"/>
          <w:szCs w:val="22"/>
        </w:rPr>
        <w:t>o aprobado 2023 más las ampliaciones que fueron aprobadas por el Congreso de la República</w:t>
      </w:r>
      <w:r w:rsidR="007C3BA9">
        <w:rPr>
          <w:rFonts w:ascii="Times New Roman" w:eastAsia="Times New Roman" w:hAnsi="Times New Roman" w:cs="Calibri"/>
          <w:sz w:val="22"/>
          <w:szCs w:val="22"/>
        </w:rPr>
        <w:t xml:space="preserve"> en 2023</w:t>
      </w:r>
      <w:r w:rsidR="007D486D" w:rsidRPr="00976339">
        <w:rPr>
          <w:rFonts w:ascii="Times New Roman" w:eastAsia="Times New Roman" w:hAnsi="Times New Roman" w:cs="Calibri"/>
          <w:sz w:val="22"/>
          <w:szCs w:val="22"/>
        </w:rPr>
        <w:t xml:space="preserve">, </w:t>
      </w:r>
      <w:r w:rsidR="00EB3596" w:rsidRPr="00976339">
        <w:rPr>
          <w:rFonts w:ascii="Times New Roman" w:eastAsia="Times New Roman" w:hAnsi="Times New Roman" w:cs="Calibri"/>
          <w:sz w:val="22"/>
          <w:szCs w:val="22"/>
        </w:rPr>
        <w:t>siendo el presupuesto asignado</w:t>
      </w:r>
      <w:r w:rsidR="00466C28">
        <w:rPr>
          <w:rFonts w:ascii="Times New Roman" w:eastAsia="Times New Roman" w:hAnsi="Times New Roman" w:cs="Calibri"/>
          <w:sz w:val="22"/>
          <w:szCs w:val="22"/>
        </w:rPr>
        <w:t xml:space="preserve"> para el ejercicio fiscal 2024</w:t>
      </w:r>
      <w:r w:rsidR="00EB3596" w:rsidRPr="00976339">
        <w:rPr>
          <w:rFonts w:ascii="Times New Roman" w:eastAsia="Times New Roman" w:hAnsi="Times New Roman" w:cs="Calibri"/>
          <w:sz w:val="22"/>
          <w:szCs w:val="22"/>
        </w:rPr>
        <w:t xml:space="preserve"> de Q116,130.6 millones.</w:t>
      </w:r>
      <w:r w:rsidR="00EB3596">
        <w:rPr>
          <w:rFonts w:ascii="Times New Roman" w:eastAsia="Times New Roman" w:hAnsi="Times New Roman" w:cs="Calibri"/>
          <w:sz w:val="22"/>
          <w:szCs w:val="22"/>
        </w:rPr>
        <w:t xml:space="preserve"> </w:t>
      </w:r>
      <w:r w:rsidR="00CC7A03">
        <w:rPr>
          <w:rFonts w:ascii="Times New Roman" w:eastAsia="Times New Roman" w:hAnsi="Times New Roman" w:cs="Calibri"/>
          <w:sz w:val="22"/>
          <w:szCs w:val="22"/>
        </w:rPr>
        <w:t xml:space="preserve"> </w:t>
      </w:r>
    </w:p>
    <w:p w14:paraId="5CBA1501" w14:textId="3A4E03D9" w:rsidR="00164D27" w:rsidRDefault="00164D27" w:rsidP="00143E77">
      <w:pPr>
        <w:spacing w:line="276" w:lineRule="auto"/>
        <w:contextualSpacing/>
        <w:jc w:val="both"/>
        <w:rPr>
          <w:rFonts w:ascii="Times New Roman" w:eastAsia="Times New Roman" w:hAnsi="Times New Roman" w:cs="Calibri"/>
          <w:sz w:val="22"/>
          <w:szCs w:val="22"/>
        </w:rPr>
      </w:pPr>
    </w:p>
    <w:p w14:paraId="608D24D1" w14:textId="50B6FE68" w:rsidR="00F016CB" w:rsidRPr="006029AA" w:rsidRDefault="006029AA" w:rsidP="006029AA">
      <w:pPr>
        <w:pStyle w:val="Descripcin"/>
        <w:keepNext/>
        <w:spacing w:after="0"/>
        <w:jc w:val="center"/>
        <w:rPr>
          <w:sz w:val="22"/>
          <w:szCs w:val="22"/>
        </w:rPr>
      </w:pPr>
      <w:bookmarkStart w:id="184" w:name="_Toc158103878"/>
      <w:r w:rsidRPr="006029AA">
        <w:rPr>
          <w:sz w:val="22"/>
          <w:szCs w:val="22"/>
        </w:rPr>
        <w:t xml:space="preserve">Gráfico </w:t>
      </w:r>
      <w:r w:rsidRPr="006029AA">
        <w:rPr>
          <w:sz w:val="22"/>
          <w:szCs w:val="22"/>
        </w:rPr>
        <w:fldChar w:fldCharType="begin"/>
      </w:r>
      <w:r w:rsidRPr="006029AA">
        <w:rPr>
          <w:sz w:val="22"/>
          <w:szCs w:val="22"/>
        </w:rPr>
        <w:instrText xml:space="preserve"> SEQ Gráfico \* ARABIC </w:instrText>
      </w:r>
      <w:r w:rsidRPr="006029AA">
        <w:rPr>
          <w:sz w:val="22"/>
          <w:szCs w:val="22"/>
        </w:rPr>
        <w:fldChar w:fldCharType="separate"/>
      </w:r>
      <w:r w:rsidR="00C015DC">
        <w:rPr>
          <w:noProof/>
          <w:sz w:val="22"/>
          <w:szCs w:val="22"/>
        </w:rPr>
        <w:t>33</w:t>
      </w:r>
      <w:r w:rsidRPr="006029AA">
        <w:rPr>
          <w:sz w:val="22"/>
          <w:szCs w:val="22"/>
        </w:rPr>
        <w:fldChar w:fldCharType="end"/>
      </w:r>
      <w:r w:rsidRPr="006029AA">
        <w:rPr>
          <w:sz w:val="22"/>
          <w:szCs w:val="22"/>
        </w:rPr>
        <w:t xml:space="preserve">.  </w:t>
      </w:r>
      <w:r w:rsidR="00164D27" w:rsidRPr="006029AA">
        <w:rPr>
          <w:rFonts w:eastAsia="Times New Roman" w:cs="Calibri"/>
          <w:bCs/>
          <w:sz w:val="22"/>
          <w:szCs w:val="22"/>
        </w:rPr>
        <w:t>Determinación del Presupuesto Inicial</w:t>
      </w:r>
      <w:bookmarkEnd w:id="184"/>
    </w:p>
    <w:p w14:paraId="5DF6620A" w14:textId="407727EF" w:rsidR="00164D27" w:rsidRPr="00164D27" w:rsidRDefault="00F016CB" w:rsidP="00164D27">
      <w:pPr>
        <w:spacing w:line="276" w:lineRule="auto"/>
        <w:contextualSpacing/>
        <w:jc w:val="center"/>
        <w:rPr>
          <w:rFonts w:ascii="Times New Roman" w:eastAsia="Times New Roman" w:hAnsi="Times New Roman" w:cs="Calibri"/>
          <w:b/>
          <w:bCs/>
          <w:sz w:val="22"/>
          <w:szCs w:val="22"/>
        </w:rPr>
      </w:pPr>
      <w:r>
        <w:rPr>
          <w:rFonts w:ascii="Times New Roman" w:eastAsia="Times New Roman" w:hAnsi="Times New Roman" w:cs="Calibri"/>
          <w:b/>
          <w:bCs/>
          <w:sz w:val="22"/>
          <w:szCs w:val="22"/>
        </w:rPr>
        <w:t>Ejercicio Fiscal</w:t>
      </w:r>
      <w:r w:rsidR="00164D27" w:rsidRPr="00164D27">
        <w:rPr>
          <w:rFonts w:ascii="Times New Roman" w:eastAsia="Times New Roman" w:hAnsi="Times New Roman" w:cs="Calibri"/>
          <w:b/>
          <w:bCs/>
          <w:sz w:val="22"/>
          <w:szCs w:val="22"/>
        </w:rPr>
        <w:t xml:space="preserve"> 2024</w:t>
      </w:r>
    </w:p>
    <w:p w14:paraId="6B98B582" w14:textId="2B53E869" w:rsidR="00976339" w:rsidRDefault="00E5202F" w:rsidP="00143E77">
      <w:pPr>
        <w:spacing w:line="276" w:lineRule="auto"/>
        <w:contextualSpacing/>
        <w:jc w:val="both"/>
        <w:rPr>
          <w:rFonts w:ascii="Times New Roman" w:eastAsia="Times New Roman" w:hAnsi="Times New Roman" w:cs="Calibri"/>
          <w:sz w:val="22"/>
          <w:szCs w:val="22"/>
        </w:rPr>
      </w:pPr>
      <w:r w:rsidRPr="00E5202F">
        <w:rPr>
          <w:rFonts w:ascii="Times New Roman" w:eastAsia="Times New Roman" w:hAnsi="Times New Roman" w:cs="Calibri"/>
          <w:noProof/>
          <w:sz w:val="22"/>
          <w:szCs w:val="22"/>
        </w:rPr>
        <mc:AlternateContent>
          <mc:Choice Requires="wps">
            <w:drawing>
              <wp:anchor distT="45720" distB="45720" distL="114300" distR="114300" simplePos="0" relativeHeight="251670528" behindDoc="1" locked="0" layoutInCell="1" allowOverlap="1" wp14:anchorId="6987ED01" wp14:editId="4913CF54">
                <wp:simplePos x="0" y="0"/>
                <wp:positionH relativeFrom="column">
                  <wp:posOffset>4501800</wp:posOffset>
                </wp:positionH>
                <wp:positionV relativeFrom="paragraph">
                  <wp:posOffset>2437765</wp:posOffset>
                </wp:positionV>
                <wp:extent cx="1389987" cy="764048"/>
                <wp:effectExtent l="0" t="0" r="1270" b="0"/>
                <wp:wrapNone/>
                <wp:docPr id="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987" cy="764048"/>
                        </a:xfrm>
                        <a:prstGeom prst="rect">
                          <a:avLst/>
                        </a:prstGeom>
                        <a:solidFill>
                          <a:srgbClr val="FFFFFF"/>
                        </a:solidFill>
                        <a:ln w="9525">
                          <a:noFill/>
                          <a:miter lim="800000"/>
                          <a:headEnd/>
                          <a:tailEnd/>
                        </a:ln>
                      </wps:spPr>
                      <wps:txbx>
                        <w:txbxContent>
                          <w:p w14:paraId="0EA2E2FF" w14:textId="650A99FF" w:rsidR="00E5202F" w:rsidRPr="00E5202F" w:rsidRDefault="00E5202F">
                            <w:pPr>
                              <w:rPr>
                                <w:rFonts w:ascii="Times New Roman" w:hAnsi="Times New Roman" w:cs="Times New Roman"/>
                                <w:sz w:val="18"/>
                                <w:szCs w:val="18"/>
                              </w:rPr>
                            </w:pPr>
                            <w:r w:rsidRPr="00E5202F">
                              <w:rPr>
                                <w:rFonts w:ascii="Times New Roman" w:hAnsi="Times New Roman" w:cs="Times New Roman"/>
                                <w:sz w:val="18"/>
                                <w:szCs w:val="18"/>
                              </w:rPr>
                              <w:t>Decreto 10-2023</w:t>
                            </w:r>
                            <w:r>
                              <w:rPr>
                                <w:rFonts w:ascii="Times New Roman" w:hAnsi="Times New Roman" w:cs="Times New Roman"/>
                                <w:sz w:val="18"/>
                                <w:szCs w:val="18"/>
                              </w:rPr>
                              <w:t xml:space="preserve">, </w:t>
                            </w:r>
                            <w:r w:rsidRPr="00E5202F">
                              <w:rPr>
                                <w:rFonts w:ascii="Times New Roman" w:hAnsi="Times New Roman" w:cs="Times New Roman"/>
                                <w:sz w:val="18"/>
                                <w:szCs w:val="18"/>
                              </w:rPr>
                              <w:t>programa de Aporte Económico del Adulto Mayor</w:t>
                            </w:r>
                            <w:r>
                              <w:rPr>
                                <w:rFonts w:ascii="Times New Roman" w:hAnsi="Times New Roman" w:cs="Times New Roman"/>
                                <w:sz w:val="18"/>
                                <w:szCs w:val="18"/>
                              </w:rPr>
                              <w:t xml:space="preserve"> por Q339.9 millones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7ED01" id="Cuadro de texto 2" o:spid="_x0000_s1035" type="#_x0000_t202" style="position:absolute;left:0;text-align:left;margin-left:354.45pt;margin-top:191.95pt;width:109.45pt;height:60.1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" stroked="f">
                <v:textbox>
                  <w:txbxContent>
                    <w:p w14:paraId="0EA2E2FF" w14:textId="650A99FF" w:rsidR="00E5202F" w:rsidRPr="00E5202F" w:rsidRDefault="00E5202F">
                      <w:pPr>
                        <w:rPr>
                          <w:rFonts w:ascii="Times New Roman" w:hAnsi="Times New Roman" w:cs="Times New Roman"/>
                          <w:sz w:val="18"/>
                          <w:szCs w:val="18"/>
                        </w:rPr>
                      </w:pPr>
                      <w:r w:rsidRPr="00E5202F">
                        <w:rPr>
                          <w:rFonts w:ascii="Times New Roman" w:hAnsi="Times New Roman" w:cs="Times New Roman"/>
                          <w:sz w:val="18"/>
                          <w:szCs w:val="18"/>
                        </w:rPr>
                        <w:t>Decreto 10-2023</w:t>
                      </w:r>
                      <w:r>
                        <w:rPr>
                          <w:rFonts w:ascii="Times New Roman" w:hAnsi="Times New Roman" w:cs="Times New Roman"/>
                          <w:sz w:val="18"/>
                          <w:szCs w:val="18"/>
                        </w:rPr>
                        <w:t xml:space="preserve">, </w:t>
                      </w:r>
                      <w:r w:rsidRPr="00E5202F">
                        <w:rPr>
                          <w:rFonts w:ascii="Times New Roman" w:hAnsi="Times New Roman" w:cs="Times New Roman"/>
                          <w:sz w:val="18"/>
                          <w:szCs w:val="18"/>
                        </w:rPr>
                        <w:t>programa de Aporte Económico del Adulto Mayor</w:t>
                      </w:r>
                      <w:r>
                        <w:rPr>
                          <w:rFonts w:ascii="Times New Roman" w:hAnsi="Times New Roman" w:cs="Times New Roman"/>
                          <w:sz w:val="18"/>
                          <w:szCs w:val="18"/>
                        </w:rPr>
                        <w:t xml:space="preserve"> por Q339.9 millones</w:t>
                      </w:r>
                    </w:p>
                  </w:txbxContent>
                </v:textbox>
              </v:shape>
            </w:pict>
          </mc:Fallback>
        </mc:AlternateContent>
      </w:r>
      <w:r w:rsidR="00976339">
        <w:rPr>
          <w:rFonts w:ascii="Times New Roman" w:eastAsia="Times New Roman" w:hAnsi="Times New Roman" w:cs="Calibri"/>
          <w:noProof/>
          <w:sz w:val="22"/>
          <w:szCs w:val="22"/>
        </w:rPr>
        <w:drawing>
          <wp:inline distT="0" distB="0" distL="0" distR="0" wp14:anchorId="19437441" wp14:editId="69EF9392">
            <wp:extent cx="6073140" cy="3914775"/>
            <wp:effectExtent l="0" t="0" r="0" b="28575"/>
            <wp:docPr id="54" name="Diagrama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0AA7C5D0" w14:textId="2FD4E305" w:rsidR="00976339" w:rsidRPr="00EE5DC5" w:rsidRDefault="00EE5DC5" w:rsidP="00143E77">
      <w:pPr>
        <w:spacing w:line="276" w:lineRule="auto"/>
        <w:contextualSpacing/>
        <w:jc w:val="both"/>
        <w:rPr>
          <w:rFonts w:ascii="Times New Roman" w:eastAsia="Times New Roman" w:hAnsi="Times New Roman" w:cs="Calibri"/>
          <w:sz w:val="18"/>
          <w:szCs w:val="18"/>
        </w:rPr>
      </w:pPr>
      <w:r w:rsidRPr="00EE5DC5">
        <w:rPr>
          <w:rFonts w:ascii="Times New Roman" w:eastAsia="Times New Roman" w:hAnsi="Times New Roman" w:cs="Calibri"/>
          <w:sz w:val="18"/>
          <w:szCs w:val="18"/>
        </w:rPr>
        <w:t>Fuente: Dirección de Análisis y Política Fiscal</w:t>
      </w:r>
    </w:p>
    <w:p w14:paraId="05EC0F49" w14:textId="77777777" w:rsidR="00976339" w:rsidRDefault="00976339" w:rsidP="006029AA">
      <w:pPr>
        <w:contextualSpacing/>
        <w:jc w:val="both"/>
        <w:rPr>
          <w:rFonts w:ascii="Times New Roman" w:eastAsia="Times New Roman" w:hAnsi="Times New Roman" w:cs="Calibri"/>
          <w:sz w:val="22"/>
          <w:szCs w:val="22"/>
        </w:rPr>
      </w:pPr>
    </w:p>
    <w:p w14:paraId="1DA3B8DB" w14:textId="0EF0919C" w:rsidR="00EB3596" w:rsidRDefault="00143E77" w:rsidP="006029AA">
      <w:pPr>
        <w:contextualSpacing/>
        <w:jc w:val="both"/>
        <w:rPr>
          <w:rFonts w:ascii="Times New Roman" w:eastAsia="Times New Roman" w:hAnsi="Times New Roman" w:cs="Calibri"/>
          <w:sz w:val="22"/>
          <w:szCs w:val="22"/>
        </w:rPr>
      </w:pPr>
      <w:r w:rsidRPr="00143E77">
        <w:rPr>
          <w:rFonts w:ascii="Times New Roman" w:eastAsia="Times New Roman" w:hAnsi="Times New Roman" w:cs="Calibri"/>
          <w:sz w:val="22"/>
          <w:szCs w:val="22"/>
        </w:rPr>
        <w:t>E</w:t>
      </w:r>
      <w:r w:rsidR="00EB3596">
        <w:rPr>
          <w:rFonts w:ascii="Times New Roman" w:eastAsia="Times New Roman" w:hAnsi="Times New Roman" w:cs="Calibri"/>
          <w:sz w:val="22"/>
          <w:szCs w:val="22"/>
        </w:rPr>
        <w:t xml:space="preserve">l hecho de no contar con un presupuesto aprobado para la nueva administración pública puede </w:t>
      </w:r>
      <w:r w:rsidR="00EE5DC5">
        <w:rPr>
          <w:rFonts w:ascii="Times New Roman" w:eastAsia="Times New Roman" w:hAnsi="Times New Roman" w:cs="Calibri"/>
          <w:sz w:val="22"/>
          <w:szCs w:val="22"/>
        </w:rPr>
        <w:t xml:space="preserve">suponer una complicación para el manejo de la política fiscal, contar con un nuevo presupuesto permite iniciar la gestión de una forma ordenada y teniendo claro el destino de los recursos, sin </w:t>
      </w:r>
      <w:r w:rsidR="00EE5DC5">
        <w:rPr>
          <w:rFonts w:ascii="Times New Roman" w:eastAsia="Times New Roman" w:hAnsi="Times New Roman" w:cs="Calibri"/>
          <w:sz w:val="22"/>
          <w:szCs w:val="22"/>
        </w:rPr>
        <w:lastRenderedPageBreak/>
        <w:t xml:space="preserve">necesidad de realizar reprogramaciones de obras o adecuaciones presupuestarias, que toman tiempo y en algunos casos retrasan la ejecución presupuestaria.  </w:t>
      </w:r>
    </w:p>
    <w:p w14:paraId="3E0ED1C8" w14:textId="5992C3C4" w:rsidR="00A645ED" w:rsidRDefault="00A645ED" w:rsidP="006029AA">
      <w:pPr>
        <w:contextualSpacing/>
        <w:jc w:val="both"/>
        <w:rPr>
          <w:rFonts w:ascii="Times New Roman" w:eastAsia="Times New Roman" w:hAnsi="Times New Roman" w:cs="Calibri"/>
          <w:sz w:val="22"/>
          <w:szCs w:val="22"/>
        </w:rPr>
      </w:pPr>
    </w:p>
    <w:p w14:paraId="04B47A55" w14:textId="4CBA4042" w:rsidR="00EE5DC5" w:rsidRDefault="00EE5DC5" w:rsidP="006029AA">
      <w:pPr>
        <w:contextualSpacing/>
        <w:jc w:val="both"/>
        <w:rPr>
          <w:rFonts w:ascii="Times New Roman" w:eastAsia="Times New Roman" w:hAnsi="Times New Roman" w:cs="Calibri"/>
          <w:sz w:val="22"/>
          <w:szCs w:val="22"/>
        </w:rPr>
      </w:pPr>
      <w:r w:rsidRPr="00EE5DC5">
        <w:rPr>
          <w:rFonts w:ascii="Times New Roman" w:eastAsia="Times New Roman" w:hAnsi="Times New Roman" w:cs="Calibri"/>
          <w:sz w:val="22"/>
          <w:szCs w:val="22"/>
        </w:rPr>
        <w:t xml:space="preserve">No obstante, en esta ocasión, dados los vicios que tenía el Decreto </w:t>
      </w:r>
      <w:r w:rsidR="00FA6735">
        <w:rPr>
          <w:rFonts w:ascii="Times New Roman" w:eastAsia="Times New Roman" w:hAnsi="Times New Roman" w:cs="Calibri"/>
          <w:sz w:val="22"/>
          <w:szCs w:val="22"/>
        </w:rPr>
        <w:t>Número</w:t>
      </w:r>
      <w:r w:rsidRPr="00EE5DC5">
        <w:rPr>
          <w:rFonts w:ascii="Times New Roman" w:eastAsia="Times New Roman" w:hAnsi="Times New Roman" w:cs="Calibri"/>
          <w:sz w:val="22"/>
          <w:szCs w:val="22"/>
        </w:rPr>
        <w:t xml:space="preserve">18-2023 </w:t>
      </w:r>
      <w:r>
        <w:rPr>
          <w:rFonts w:ascii="Times New Roman" w:eastAsia="Times New Roman" w:hAnsi="Times New Roman" w:cs="Calibri"/>
          <w:sz w:val="22"/>
          <w:szCs w:val="22"/>
        </w:rPr>
        <w:t>“</w:t>
      </w:r>
      <w:r w:rsidRPr="00EE5DC5">
        <w:rPr>
          <w:rFonts w:ascii="Times New Roman" w:eastAsia="Times New Roman" w:hAnsi="Times New Roman" w:cs="Calibri"/>
          <w:sz w:val="22"/>
          <w:szCs w:val="22"/>
        </w:rPr>
        <w:t>Ley del Presupuesto General de Ingresos y Egresos del Estado para el Ejercicio Fiscal Dos Mil Veinticuatro</w:t>
      </w:r>
      <w:r>
        <w:rPr>
          <w:rFonts w:ascii="Times New Roman" w:eastAsia="Times New Roman" w:hAnsi="Times New Roman" w:cs="Calibri"/>
          <w:sz w:val="22"/>
          <w:szCs w:val="22"/>
        </w:rPr>
        <w:t xml:space="preserve">” se considera positivo que </w:t>
      </w:r>
      <w:r w:rsidR="00C613B1">
        <w:rPr>
          <w:rFonts w:ascii="Times New Roman" w:eastAsia="Times New Roman" w:hAnsi="Times New Roman" w:cs="Calibri"/>
          <w:sz w:val="22"/>
          <w:szCs w:val="22"/>
        </w:rPr>
        <w:t>é</w:t>
      </w:r>
      <w:r>
        <w:rPr>
          <w:rFonts w:ascii="Times New Roman" w:eastAsia="Times New Roman" w:hAnsi="Times New Roman" w:cs="Calibri"/>
          <w:sz w:val="22"/>
          <w:szCs w:val="22"/>
        </w:rPr>
        <w:t>ste se encuentre en suspenso</w:t>
      </w:r>
      <w:r w:rsidR="00A645ED">
        <w:rPr>
          <w:rFonts w:ascii="Times New Roman" w:eastAsia="Times New Roman" w:hAnsi="Times New Roman" w:cs="Calibri"/>
          <w:sz w:val="22"/>
          <w:szCs w:val="22"/>
        </w:rPr>
        <w:t xml:space="preserve"> y haya sido adoptado el presupuesto 2023.</w:t>
      </w:r>
    </w:p>
    <w:p w14:paraId="262755FC" w14:textId="4E1A5972" w:rsidR="00A645ED" w:rsidRDefault="00A645ED" w:rsidP="006029AA">
      <w:pPr>
        <w:contextualSpacing/>
        <w:jc w:val="both"/>
        <w:rPr>
          <w:rFonts w:ascii="Times New Roman" w:eastAsia="Times New Roman" w:hAnsi="Times New Roman" w:cs="Calibri"/>
          <w:sz w:val="22"/>
          <w:szCs w:val="22"/>
        </w:rPr>
      </w:pPr>
    </w:p>
    <w:p w14:paraId="1FA447B5" w14:textId="72530B8B" w:rsidR="00EE5DC5" w:rsidRPr="00A645ED" w:rsidRDefault="00A645ED" w:rsidP="006029AA">
      <w:pPr>
        <w:contextualSpacing/>
        <w:jc w:val="both"/>
        <w:rPr>
          <w:rFonts w:ascii="Times New Roman" w:eastAsia="Times New Roman" w:hAnsi="Times New Roman" w:cs="Calibri"/>
          <w:sz w:val="22"/>
          <w:szCs w:val="22"/>
        </w:rPr>
      </w:pPr>
      <w:r w:rsidRPr="00A645ED">
        <w:rPr>
          <w:rFonts w:ascii="Times New Roman" w:eastAsia="Times New Roman" w:hAnsi="Times New Roman" w:cs="Calibri"/>
          <w:sz w:val="22"/>
          <w:szCs w:val="22"/>
        </w:rPr>
        <w:t xml:space="preserve">Será un reto para la nueva administración pública hacer las reprogramaciones y readecuaciones presupuestarias necesarias para adaptar </w:t>
      </w:r>
      <w:r w:rsidR="002A37D2">
        <w:rPr>
          <w:rFonts w:ascii="Times New Roman" w:eastAsia="Times New Roman" w:hAnsi="Times New Roman" w:cs="Calibri"/>
          <w:sz w:val="22"/>
          <w:szCs w:val="22"/>
        </w:rPr>
        <w:t xml:space="preserve">el presupuesto </w:t>
      </w:r>
      <w:r w:rsidRPr="00A645ED">
        <w:rPr>
          <w:rFonts w:ascii="Times New Roman" w:eastAsia="Times New Roman" w:hAnsi="Times New Roman" w:cs="Calibri"/>
          <w:sz w:val="22"/>
          <w:szCs w:val="22"/>
        </w:rPr>
        <w:t xml:space="preserve">a los objetivos establecidos por las nuevas autoridades en beneficio de las necesidades de la población guatemalteca. </w:t>
      </w:r>
    </w:p>
    <w:p w14:paraId="7D6B1667" w14:textId="77777777" w:rsidR="00EE5DC5" w:rsidRPr="00A645ED" w:rsidRDefault="00EE5DC5" w:rsidP="006029AA">
      <w:pPr>
        <w:contextualSpacing/>
        <w:jc w:val="both"/>
        <w:rPr>
          <w:rFonts w:ascii="Times New Roman" w:eastAsia="Times New Roman" w:hAnsi="Times New Roman" w:cs="Calibri"/>
          <w:sz w:val="22"/>
          <w:szCs w:val="22"/>
        </w:rPr>
      </w:pPr>
    </w:p>
    <w:p w14:paraId="1FD02AD7" w14:textId="1F6DD3A2" w:rsidR="00143E77" w:rsidRDefault="006029AA" w:rsidP="006029AA">
      <w:pPr>
        <w:pStyle w:val="Descripcin"/>
        <w:keepNext/>
        <w:spacing w:after="0"/>
        <w:jc w:val="center"/>
        <w:rPr>
          <w:rFonts w:eastAsia="Times New Roman" w:cs="Calibri"/>
          <w:sz w:val="22"/>
          <w:szCs w:val="22"/>
        </w:rPr>
      </w:pPr>
      <w:bookmarkStart w:id="185" w:name="_Toc125534815"/>
      <w:bookmarkStart w:id="186" w:name="_Toc160196929"/>
      <w:r w:rsidRPr="006029AA">
        <w:rPr>
          <w:sz w:val="22"/>
          <w:szCs w:val="22"/>
        </w:rPr>
        <w:t xml:space="preserve">Tabla </w:t>
      </w:r>
      <w:r w:rsidRPr="006029AA">
        <w:rPr>
          <w:sz w:val="22"/>
          <w:szCs w:val="22"/>
        </w:rPr>
        <w:fldChar w:fldCharType="begin"/>
      </w:r>
      <w:r w:rsidRPr="006029AA">
        <w:rPr>
          <w:sz w:val="22"/>
          <w:szCs w:val="22"/>
        </w:rPr>
        <w:instrText xml:space="preserve"> SEQ Tabla \* ARABIC </w:instrText>
      </w:r>
      <w:r w:rsidRPr="006029AA">
        <w:rPr>
          <w:sz w:val="22"/>
          <w:szCs w:val="22"/>
        </w:rPr>
        <w:fldChar w:fldCharType="separate"/>
      </w:r>
      <w:r w:rsidR="00C015DC">
        <w:rPr>
          <w:noProof/>
          <w:sz w:val="22"/>
          <w:szCs w:val="22"/>
        </w:rPr>
        <w:t>14</w:t>
      </w:r>
      <w:r w:rsidRPr="006029AA">
        <w:rPr>
          <w:sz w:val="22"/>
          <w:szCs w:val="22"/>
        </w:rPr>
        <w:fldChar w:fldCharType="end"/>
      </w:r>
      <w:r w:rsidRPr="006029AA">
        <w:rPr>
          <w:sz w:val="22"/>
          <w:szCs w:val="22"/>
        </w:rPr>
        <w:t xml:space="preserve">.  </w:t>
      </w:r>
      <w:r w:rsidR="00143E77" w:rsidRPr="006029AA">
        <w:rPr>
          <w:rFonts w:eastAsia="Times New Roman" w:cs="Calibri"/>
          <w:sz w:val="22"/>
          <w:szCs w:val="22"/>
        </w:rPr>
        <w:t>Proyectos de presupuesto 2004-202</w:t>
      </w:r>
      <w:bookmarkEnd w:id="185"/>
      <w:r w:rsidR="00EF785A" w:rsidRPr="006029AA">
        <w:rPr>
          <w:rFonts w:eastAsia="Times New Roman" w:cs="Calibri"/>
          <w:sz w:val="22"/>
          <w:szCs w:val="22"/>
        </w:rPr>
        <w:t>4</w:t>
      </w:r>
      <w:bookmarkEnd w:id="186"/>
    </w:p>
    <w:p w14:paraId="7AC1052C" w14:textId="77777777" w:rsidR="006029AA" w:rsidRPr="006029AA" w:rsidRDefault="006029AA" w:rsidP="006029AA"/>
    <w:tbl>
      <w:tblPr>
        <w:tblW w:w="8233" w:type="dxa"/>
        <w:jc w:val="center"/>
        <w:tblCellMar>
          <w:left w:w="70" w:type="dxa"/>
          <w:right w:w="70" w:type="dxa"/>
        </w:tblCellMar>
        <w:tblLook w:val="04A0" w:firstRow="1" w:lastRow="0" w:firstColumn="1" w:lastColumn="0" w:noHBand="0" w:noVBand="1"/>
      </w:tblPr>
      <w:tblGrid>
        <w:gridCol w:w="858"/>
        <w:gridCol w:w="2049"/>
        <w:gridCol w:w="3424"/>
        <w:gridCol w:w="1902"/>
      </w:tblGrid>
      <w:tr w:rsidR="00143E77" w:rsidRPr="00143E77" w14:paraId="45676221" w14:textId="77777777" w:rsidTr="00BC10AA">
        <w:trPr>
          <w:trHeight w:val="301"/>
          <w:jc w:val="center"/>
        </w:trPr>
        <w:tc>
          <w:tcPr>
            <w:tcW w:w="858" w:type="dxa"/>
            <w:tcBorders>
              <w:top w:val="single" w:sz="8" w:space="0" w:color="auto"/>
              <w:left w:val="single" w:sz="8" w:space="0" w:color="auto"/>
              <w:bottom w:val="single" w:sz="8" w:space="0" w:color="auto"/>
              <w:right w:val="single" w:sz="4" w:space="0" w:color="auto"/>
            </w:tcBorders>
            <w:shd w:val="clear" w:color="000000" w:fill="203764"/>
            <w:noWrap/>
            <w:vAlign w:val="center"/>
            <w:hideMark/>
          </w:tcPr>
          <w:p w14:paraId="26534D16" w14:textId="77777777" w:rsidR="00143E77" w:rsidRPr="00143E77" w:rsidRDefault="00143E77" w:rsidP="00143E77">
            <w:pPr>
              <w:spacing w:line="276" w:lineRule="auto"/>
              <w:contextualSpacing/>
              <w:jc w:val="center"/>
              <w:rPr>
                <w:rFonts w:ascii="Times New Roman" w:eastAsia="Times New Roman" w:hAnsi="Times New Roman" w:cs="Calibri"/>
                <w:b/>
                <w:bCs/>
                <w:sz w:val="22"/>
                <w:szCs w:val="22"/>
                <w:lang w:eastAsia="es-GT"/>
              </w:rPr>
            </w:pPr>
            <w:r w:rsidRPr="00143E77">
              <w:rPr>
                <w:rFonts w:ascii="Times New Roman" w:eastAsia="Times New Roman" w:hAnsi="Times New Roman" w:cs="Calibri"/>
                <w:b/>
                <w:bCs/>
                <w:sz w:val="22"/>
                <w:szCs w:val="22"/>
                <w:lang w:eastAsia="es-GT"/>
              </w:rPr>
              <w:t>Año</w:t>
            </w:r>
          </w:p>
        </w:tc>
        <w:tc>
          <w:tcPr>
            <w:tcW w:w="2049" w:type="dxa"/>
            <w:tcBorders>
              <w:top w:val="single" w:sz="8" w:space="0" w:color="auto"/>
              <w:left w:val="nil"/>
              <w:bottom w:val="single" w:sz="8" w:space="0" w:color="auto"/>
              <w:right w:val="nil"/>
            </w:tcBorders>
            <w:shd w:val="clear" w:color="000000" w:fill="203764"/>
            <w:noWrap/>
            <w:vAlign w:val="center"/>
            <w:hideMark/>
          </w:tcPr>
          <w:p w14:paraId="64C102E2" w14:textId="77777777" w:rsidR="00143E77" w:rsidRPr="00143E77" w:rsidRDefault="00143E77" w:rsidP="00143E77">
            <w:pPr>
              <w:spacing w:line="276" w:lineRule="auto"/>
              <w:contextualSpacing/>
              <w:jc w:val="center"/>
              <w:rPr>
                <w:rFonts w:ascii="Times New Roman" w:eastAsia="Times New Roman" w:hAnsi="Times New Roman" w:cs="Calibri"/>
                <w:b/>
                <w:bCs/>
                <w:sz w:val="22"/>
                <w:szCs w:val="22"/>
                <w:lang w:eastAsia="es-GT"/>
              </w:rPr>
            </w:pPr>
            <w:r w:rsidRPr="00143E77">
              <w:rPr>
                <w:rFonts w:ascii="Times New Roman" w:eastAsia="Times New Roman" w:hAnsi="Times New Roman" w:cs="Calibri"/>
                <w:b/>
                <w:bCs/>
                <w:sz w:val="22"/>
                <w:szCs w:val="22"/>
                <w:lang w:eastAsia="es-GT"/>
              </w:rPr>
              <w:t>Proyecto de presupuesto</w:t>
            </w:r>
          </w:p>
        </w:tc>
        <w:tc>
          <w:tcPr>
            <w:tcW w:w="3424" w:type="dxa"/>
            <w:tcBorders>
              <w:top w:val="single" w:sz="8" w:space="0" w:color="auto"/>
              <w:left w:val="single" w:sz="4" w:space="0" w:color="auto"/>
              <w:bottom w:val="single" w:sz="8" w:space="0" w:color="auto"/>
              <w:right w:val="single" w:sz="4" w:space="0" w:color="auto"/>
            </w:tcBorders>
            <w:shd w:val="clear" w:color="000000" w:fill="203764"/>
            <w:noWrap/>
            <w:vAlign w:val="center"/>
            <w:hideMark/>
          </w:tcPr>
          <w:p w14:paraId="5B98734A" w14:textId="77777777" w:rsidR="00143E77" w:rsidRPr="00143E77" w:rsidRDefault="00143E77" w:rsidP="00143E77">
            <w:pPr>
              <w:spacing w:line="276" w:lineRule="auto"/>
              <w:contextualSpacing/>
              <w:jc w:val="center"/>
              <w:rPr>
                <w:rFonts w:ascii="Times New Roman" w:eastAsia="Times New Roman" w:hAnsi="Times New Roman" w:cs="Calibri"/>
                <w:b/>
                <w:bCs/>
                <w:sz w:val="22"/>
                <w:szCs w:val="22"/>
                <w:lang w:eastAsia="es-GT"/>
              </w:rPr>
            </w:pPr>
            <w:r w:rsidRPr="00143E77">
              <w:rPr>
                <w:rFonts w:ascii="Times New Roman" w:eastAsia="Times New Roman" w:hAnsi="Times New Roman" w:cs="Calibri"/>
                <w:b/>
                <w:bCs/>
                <w:sz w:val="22"/>
                <w:szCs w:val="22"/>
                <w:lang w:eastAsia="es-GT"/>
              </w:rPr>
              <w:t>Administración</w:t>
            </w:r>
          </w:p>
        </w:tc>
        <w:tc>
          <w:tcPr>
            <w:tcW w:w="1902" w:type="dxa"/>
            <w:tcBorders>
              <w:top w:val="single" w:sz="8" w:space="0" w:color="auto"/>
              <w:left w:val="nil"/>
              <w:bottom w:val="nil"/>
              <w:right w:val="single" w:sz="8" w:space="0" w:color="auto"/>
            </w:tcBorders>
            <w:shd w:val="clear" w:color="000000" w:fill="203764"/>
            <w:noWrap/>
            <w:vAlign w:val="center"/>
            <w:hideMark/>
          </w:tcPr>
          <w:p w14:paraId="028BB9E6" w14:textId="77777777" w:rsidR="00143E77" w:rsidRPr="00143E77" w:rsidRDefault="00143E77" w:rsidP="00143E77">
            <w:pPr>
              <w:spacing w:line="276" w:lineRule="auto"/>
              <w:contextualSpacing/>
              <w:jc w:val="center"/>
              <w:rPr>
                <w:rFonts w:ascii="Times New Roman" w:eastAsia="Times New Roman" w:hAnsi="Times New Roman" w:cs="Calibri"/>
                <w:b/>
                <w:bCs/>
                <w:sz w:val="22"/>
                <w:szCs w:val="22"/>
                <w:lang w:eastAsia="es-GT"/>
              </w:rPr>
            </w:pPr>
            <w:r w:rsidRPr="00143E77">
              <w:rPr>
                <w:rFonts w:ascii="Times New Roman" w:eastAsia="Times New Roman" w:hAnsi="Times New Roman" w:cs="Calibri"/>
                <w:b/>
                <w:bCs/>
                <w:sz w:val="22"/>
                <w:szCs w:val="22"/>
                <w:lang w:eastAsia="es-GT"/>
              </w:rPr>
              <w:t>Presupuesto Asignado</w:t>
            </w:r>
          </w:p>
        </w:tc>
      </w:tr>
      <w:tr w:rsidR="00143E77" w:rsidRPr="00143E77" w14:paraId="35B93C0B" w14:textId="77777777" w:rsidTr="00BC10AA">
        <w:trPr>
          <w:trHeight w:val="286"/>
          <w:jc w:val="center"/>
        </w:trPr>
        <w:tc>
          <w:tcPr>
            <w:tcW w:w="858" w:type="dxa"/>
            <w:tcBorders>
              <w:top w:val="nil"/>
              <w:left w:val="single" w:sz="8" w:space="0" w:color="auto"/>
              <w:bottom w:val="nil"/>
              <w:right w:val="single" w:sz="4" w:space="0" w:color="auto"/>
            </w:tcBorders>
            <w:noWrap/>
            <w:vAlign w:val="center"/>
            <w:hideMark/>
          </w:tcPr>
          <w:p w14:paraId="2A2C60F6"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2004</w:t>
            </w:r>
          </w:p>
        </w:tc>
        <w:tc>
          <w:tcPr>
            <w:tcW w:w="2049" w:type="dxa"/>
            <w:tcBorders>
              <w:top w:val="nil"/>
              <w:left w:val="nil"/>
              <w:bottom w:val="nil"/>
              <w:right w:val="single" w:sz="4" w:space="0" w:color="auto"/>
            </w:tcBorders>
            <w:noWrap/>
            <w:vAlign w:val="center"/>
            <w:hideMark/>
          </w:tcPr>
          <w:p w14:paraId="0390871A"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NO APROBADO</w:t>
            </w:r>
          </w:p>
        </w:tc>
        <w:tc>
          <w:tcPr>
            <w:tcW w:w="3424" w:type="dxa"/>
            <w:tcBorders>
              <w:top w:val="nil"/>
              <w:left w:val="nil"/>
              <w:bottom w:val="nil"/>
              <w:right w:val="single" w:sz="4" w:space="0" w:color="auto"/>
            </w:tcBorders>
            <w:noWrap/>
            <w:vAlign w:val="center"/>
            <w:hideMark/>
          </w:tcPr>
          <w:p w14:paraId="5A9B99BB"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Gran Alianza Nacional (GANA)</w:t>
            </w:r>
          </w:p>
        </w:tc>
        <w:tc>
          <w:tcPr>
            <w:tcW w:w="1902" w:type="dxa"/>
            <w:tcBorders>
              <w:top w:val="nil"/>
              <w:left w:val="nil"/>
              <w:bottom w:val="nil"/>
              <w:right w:val="single" w:sz="8" w:space="0" w:color="auto"/>
            </w:tcBorders>
            <w:noWrap/>
            <w:vAlign w:val="center"/>
            <w:hideMark/>
          </w:tcPr>
          <w:p w14:paraId="1E6577FF"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30,809.28</w:t>
            </w:r>
          </w:p>
        </w:tc>
      </w:tr>
      <w:tr w:rsidR="00143E77" w:rsidRPr="00143E77" w14:paraId="31F6964D" w14:textId="77777777" w:rsidTr="00BC10AA">
        <w:trPr>
          <w:trHeight w:val="286"/>
          <w:jc w:val="center"/>
        </w:trPr>
        <w:tc>
          <w:tcPr>
            <w:tcW w:w="858" w:type="dxa"/>
            <w:tcBorders>
              <w:top w:val="nil"/>
              <w:left w:val="single" w:sz="8" w:space="0" w:color="auto"/>
              <w:bottom w:val="nil"/>
              <w:right w:val="single" w:sz="4" w:space="0" w:color="auto"/>
            </w:tcBorders>
            <w:noWrap/>
            <w:vAlign w:val="center"/>
            <w:hideMark/>
          </w:tcPr>
          <w:p w14:paraId="1E4133A3"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2005</w:t>
            </w:r>
          </w:p>
        </w:tc>
        <w:tc>
          <w:tcPr>
            <w:tcW w:w="2049" w:type="dxa"/>
            <w:tcBorders>
              <w:top w:val="nil"/>
              <w:left w:val="nil"/>
              <w:bottom w:val="nil"/>
              <w:right w:val="single" w:sz="4" w:space="0" w:color="auto"/>
            </w:tcBorders>
            <w:noWrap/>
            <w:vAlign w:val="center"/>
            <w:hideMark/>
          </w:tcPr>
          <w:p w14:paraId="4666AC30"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APROBADO</w:t>
            </w:r>
          </w:p>
        </w:tc>
        <w:tc>
          <w:tcPr>
            <w:tcW w:w="3424" w:type="dxa"/>
            <w:tcBorders>
              <w:top w:val="nil"/>
              <w:left w:val="nil"/>
              <w:bottom w:val="nil"/>
              <w:right w:val="single" w:sz="4" w:space="0" w:color="auto"/>
            </w:tcBorders>
            <w:noWrap/>
            <w:vAlign w:val="center"/>
            <w:hideMark/>
          </w:tcPr>
          <w:p w14:paraId="6BE87B36"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Gran Alianza Nacional (GANA)</w:t>
            </w:r>
          </w:p>
        </w:tc>
        <w:tc>
          <w:tcPr>
            <w:tcW w:w="1902" w:type="dxa"/>
            <w:tcBorders>
              <w:top w:val="nil"/>
              <w:left w:val="nil"/>
              <w:bottom w:val="nil"/>
              <w:right w:val="single" w:sz="8" w:space="0" w:color="auto"/>
            </w:tcBorders>
            <w:noWrap/>
            <w:vAlign w:val="center"/>
            <w:hideMark/>
          </w:tcPr>
          <w:p w14:paraId="50CBB549"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32,385.16</w:t>
            </w:r>
          </w:p>
        </w:tc>
      </w:tr>
      <w:tr w:rsidR="00143E77" w:rsidRPr="00143E77" w14:paraId="0BCCB198" w14:textId="77777777" w:rsidTr="00BC10AA">
        <w:trPr>
          <w:trHeight w:val="286"/>
          <w:jc w:val="center"/>
        </w:trPr>
        <w:tc>
          <w:tcPr>
            <w:tcW w:w="858" w:type="dxa"/>
            <w:tcBorders>
              <w:top w:val="nil"/>
              <w:left w:val="single" w:sz="8" w:space="0" w:color="auto"/>
              <w:bottom w:val="nil"/>
              <w:right w:val="single" w:sz="4" w:space="0" w:color="auto"/>
            </w:tcBorders>
            <w:noWrap/>
            <w:vAlign w:val="center"/>
            <w:hideMark/>
          </w:tcPr>
          <w:p w14:paraId="5BF0C736"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2006</w:t>
            </w:r>
          </w:p>
        </w:tc>
        <w:tc>
          <w:tcPr>
            <w:tcW w:w="2049" w:type="dxa"/>
            <w:tcBorders>
              <w:top w:val="nil"/>
              <w:left w:val="nil"/>
              <w:bottom w:val="nil"/>
              <w:right w:val="single" w:sz="4" w:space="0" w:color="auto"/>
            </w:tcBorders>
            <w:noWrap/>
            <w:vAlign w:val="center"/>
            <w:hideMark/>
          </w:tcPr>
          <w:p w14:paraId="3F174825"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APROBADO</w:t>
            </w:r>
          </w:p>
        </w:tc>
        <w:tc>
          <w:tcPr>
            <w:tcW w:w="3424" w:type="dxa"/>
            <w:tcBorders>
              <w:top w:val="nil"/>
              <w:left w:val="nil"/>
              <w:bottom w:val="nil"/>
              <w:right w:val="single" w:sz="4" w:space="0" w:color="auto"/>
            </w:tcBorders>
            <w:noWrap/>
            <w:vAlign w:val="center"/>
            <w:hideMark/>
          </w:tcPr>
          <w:p w14:paraId="7B3791FF"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Gran Alianza Nacional (GANA)</w:t>
            </w:r>
          </w:p>
        </w:tc>
        <w:tc>
          <w:tcPr>
            <w:tcW w:w="1902" w:type="dxa"/>
            <w:tcBorders>
              <w:top w:val="nil"/>
              <w:left w:val="nil"/>
              <w:bottom w:val="nil"/>
              <w:right w:val="single" w:sz="8" w:space="0" w:color="auto"/>
            </w:tcBorders>
            <w:noWrap/>
            <w:vAlign w:val="center"/>
            <w:hideMark/>
          </w:tcPr>
          <w:p w14:paraId="1DE8ECAF"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37,703.95</w:t>
            </w:r>
          </w:p>
        </w:tc>
      </w:tr>
      <w:tr w:rsidR="00143E77" w:rsidRPr="00143E77" w14:paraId="0759CD61" w14:textId="77777777" w:rsidTr="00BC10AA">
        <w:trPr>
          <w:trHeight w:val="286"/>
          <w:jc w:val="center"/>
        </w:trPr>
        <w:tc>
          <w:tcPr>
            <w:tcW w:w="858" w:type="dxa"/>
            <w:tcBorders>
              <w:top w:val="nil"/>
              <w:left w:val="single" w:sz="8" w:space="0" w:color="auto"/>
              <w:bottom w:val="nil"/>
              <w:right w:val="single" w:sz="4" w:space="0" w:color="auto"/>
            </w:tcBorders>
            <w:noWrap/>
            <w:vAlign w:val="center"/>
            <w:hideMark/>
          </w:tcPr>
          <w:p w14:paraId="46C5DAA7"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2007</w:t>
            </w:r>
          </w:p>
        </w:tc>
        <w:tc>
          <w:tcPr>
            <w:tcW w:w="2049" w:type="dxa"/>
            <w:tcBorders>
              <w:top w:val="nil"/>
              <w:left w:val="nil"/>
              <w:bottom w:val="nil"/>
              <w:right w:val="single" w:sz="4" w:space="0" w:color="auto"/>
            </w:tcBorders>
            <w:noWrap/>
            <w:vAlign w:val="center"/>
            <w:hideMark/>
          </w:tcPr>
          <w:p w14:paraId="2F62089E"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NO APROBADO</w:t>
            </w:r>
          </w:p>
        </w:tc>
        <w:tc>
          <w:tcPr>
            <w:tcW w:w="3424" w:type="dxa"/>
            <w:tcBorders>
              <w:top w:val="nil"/>
              <w:left w:val="nil"/>
              <w:bottom w:val="nil"/>
              <w:right w:val="single" w:sz="4" w:space="0" w:color="auto"/>
            </w:tcBorders>
            <w:noWrap/>
            <w:vAlign w:val="center"/>
            <w:hideMark/>
          </w:tcPr>
          <w:p w14:paraId="5EF167F8"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Gran Alianza Nacional (GANA)</w:t>
            </w:r>
          </w:p>
        </w:tc>
        <w:tc>
          <w:tcPr>
            <w:tcW w:w="1902" w:type="dxa"/>
            <w:tcBorders>
              <w:top w:val="nil"/>
              <w:left w:val="nil"/>
              <w:bottom w:val="nil"/>
              <w:right w:val="single" w:sz="8" w:space="0" w:color="auto"/>
            </w:tcBorders>
            <w:noWrap/>
            <w:vAlign w:val="center"/>
            <w:hideMark/>
          </w:tcPr>
          <w:p w14:paraId="6E2E7560"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37,703.95</w:t>
            </w:r>
          </w:p>
        </w:tc>
      </w:tr>
      <w:tr w:rsidR="00143E77" w:rsidRPr="00143E77" w14:paraId="17A1B1E0" w14:textId="77777777" w:rsidTr="00BC10AA">
        <w:trPr>
          <w:trHeight w:val="286"/>
          <w:jc w:val="center"/>
        </w:trPr>
        <w:tc>
          <w:tcPr>
            <w:tcW w:w="858" w:type="dxa"/>
            <w:tcBorders>
              <w:top w:val="nil"/>
              <w:left w:val="single" w:sz="8" w:space="0" w:color="auto"/>
              <w:bottom w:val="nil"/>
              <w:right w:val="single" w:sz="4" w:space="0" w:color="auto"/>
            </w:tcBorders>
            <w:noWrap/>
            <w:vAlign w:val="center"/>
            <w:hideMark/>
          </w:tcPr>
          <w:p w14:paraId="1B28AC20"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2008</w:t>
            </w:r>
          </w:p>
        </w:tc>
        <w:tc>
          <w:tcPr>
            <w:tcW w:w="2049" w:type="dxa"/>
            <w:tcBorders>
              <w:top w:val="nil"/>
              <w:left w:val="nil"/>
              <w:bottom w:val="nil"/>
              <w:right w:val="single" w:sz="4" w:space="0" w:color="auto"/>
            </w:tcBorders>
            <w:noWrap/>
            <w:vAlign w:val="center"/>
            <w:hideMark/>
          </w:tcPr>
          <w:p w14:paraId="02600FB6"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APROBADO</w:t>
            </w:r>
          </w:p>
        </w:tc>
        <w:tc>
          <w:tcPr>
            <w:tcW w:w="3424" w:type="dxa"/>
            <w:tcBorders>
              <w:top w:val="nil"/>
              <w:left w:val="nil"/>
              <w:bottom w:val="nil"/>
              <w:right w:val="single" w:sz="4" w:space="0" w:color="auto"/>
            </w:tcBorders>
            <w:noWrap/>
            <w:vAlign w:val="center"/>
            <w:hideMark/>
          </w:tcPr>
          <w:p w14:paraId="3A47628E"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Unidad Nacional de la Esperanza (UNE)</w:t>
            </w:r>
          </w:p>
        </w:tc>
        <w:tc>
          <w:tcPr>
            <w:tcW w:w="1902" w:type="dxa"/>
            <w:tcBorders>
              <w:top w:val="nil"/>
              <w:left w:val="nil"/>
              <w:bottom w:val="nil"/>
              <w:right w:val="single" w:sz="8" w:space="0" w:color="auto"/>
            </w:tcBorders>
            <w:noWrap/>
            <w:vAlign w:val="center"/>
            <w:hideMark/>
          </w:tcPr>
          <w:p w14:paraId="5F9CA639"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42,535.46</w:t>
            </w:r>
          </w:p>
        </w:tc>
      </w:tr>
      <w:tr w:rsidR="00143E77" w:rsidRPr="00143E77" w14:paraId="58BCB674" w14:textId="77777777" w:rsidTr="00BC10AA">
        <w:trPr>
          <w:trHeight w:val="286"/>
          <w:jc w:val="center"/>
        </w:trPr>
        <w:tc>
          <w:tcPr>
            <w:tcW w:w="858" w:type="dxa"/>
            <w:tcBorders>
              <w:top w:val="nil"/>
              <w:left w:val="single" w:sz="8" w:space="0" w:color="auto"/>
              <w:bottom w:val="nil"/>
              <w:right w:val="single" w:sz="4" w:space="0" w:color="auto"/>
            </w:tcBorders>
            <w:noWrap/>
            <w:vAlign w:val="center"/>
            <w:hideMark/>
          </w:tcPr>
          <w:p w14:paraId="313197B2"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2009</w:t>
            </w:r>
          </w:p>
        </w:tc>
        <w:tc>
          <w:tcPr>
            <w:tcW w:w="2049" w:type="dxa"/>
            <w:tcBorders>
              <w:top w:val="nil"/>
              <w:left w:val="nil"/>
              <w:bottom w:val="nil"/>
              <w:right w:val="single" w:sz="4" w:space="0" w:color="auto"/>
            </w:tcBorders>
            <w:noWrap/>
            <w:vAlign w:val="center"/>
            <w:hideMark/>
          </w:tcPr>
          <w:p w14:paraId="56955FC7"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APROBADO</w:t>
            </w:r>
          </w:p>
        </w:tc>
        <w:tc>
          <w:tcPr>
            <w:tcW w:w="3424" w:type="dxa"/>
            <w:tcBorders>
              <w:top w:val="nil"/>
              <w:left w:val="nil"/>
              <w:bottom w:val="nil"/>
              <w:right w:val="single" w:sz="4" w:space="0" w:color="auto"/>
            </w:tcBorders>
            <w:noWrap/>
            <w:vAlign w:val="center"/>
            <w:hideMark/>
          </w:tcPr>
          <w:p w14:paraId="3B884683"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Unidad Nacional de la Esperanza (UNE)</w:t>
            </w:r>
          </w:p>
        </w:tc>
        <w:tc>
          <w:tcPr>
            <w:tcW w:w="1902" w:type="dxa"/>
            <w:tcBorders>
              <w:top w:val="nil"/>
              <w:left w:val="nil"/>
              <w:bottom w:val="nil"/>
              <w:right w:val="single" w:sz="8" w:space="0" w:color="auto"/>
            </w:tcBorders>
            <w:noWrap/>
            <w:vAlign w:val="center"/>
            <w:hideMark/>
          </w:tcPr>
          <w:p w14:paraId="7605D4AC"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49,723.11</w:t>
            </w:r>
          </w:p>
        </w:tc>
      </w:tr>
      <w:tr w:rsidR="00143E77" w:rsidRPr="00143E77" w14:paraId="47632092" w14:textId="77777777" w:rsidTr="00BC10AA">
        <w:trPr>
          <w:trHeight w:val="286"/>
          <w:jc w:val="center"/>
        </w:trPr>
        <w:tc>
          <w:tcPr>
            <w:tcW w:w="858" w:type="dxa"/>
            <w:tcBorders>
              <w:top w:val="nil"/>
              <w:left w:val="single" w:sz="8" w:space="0" w:color="auto"/>
              <w:bottom w:val="nil"/>
              <w:right w:val="single" w:sz="4" w:space="0" w:color="auto"/>
            </w:tcBorders>
            <w:noWrap/>
            <w:vAlign w:val="center"/>
            <w:hideMark/>
          </w:tcPr>
          <w:p w14:paraId="5AB0769A"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2010</w:t>
            </w:r>
          </w:p>
        </w:tc>
        <w:tc>
          <w:tcPr>
            <w:tcW w:w="2049" w:type="dxa"/>
            <w:tcBorders>
              <w:top w:val="nil"/>
              <w:left w:val="nil"/>
              <w:bottom w:val="nil"/>
              <w:right w:val="single" w:sz="4" w:space="0" w:color="auto"/>
            </w:tcBorders>
            <w:noWrap/>
            <w:vAlign w:val="center"/>
            <w:hideMark/>
          </w:tcPr>
          <w:p w14:paraId="3EC2D274"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NO APROBADO</w:t>
            </w:r>
          </w:p>
        </w:tc>
        <w:tc>
          <w:tcPr>
            <w:tcW w:w="3424" w:type="dxa"/>
            <w:tcBorders>
              <w:top w:val="nil"/>
              <w:left w:val="nil"/>
              <w:bottom w:val="nil"/>
              <w:right w:val="single" w:sz="4" w:space="0" w:color="auto"/>
            </w:tcBorders>
            <w:noWrap/>
            <w:vAlign w:val="center"/>
            <w:hideMark/>
          </w:tcPr>
          <w:p w14:paraId="5310842E"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Unidad Nacional de la Esperanza (UNE)</w:t>
            </w:r>
          </w:p>
        </w:tc>
        <w:tc>
          <w:tcPr>
            <w:tcW w:w="1902" w:type="dxa"/>
            <w:tcBorders>
              <w:top w:val="nil"/>
              <w:left w:val="nil"/>
              <w:bottom w:val="nil"/>
              <w:right w:val="single" w:sz="8" w:space="0" w:color="auto"/>
            </w:tcBorders>
            <w:noWrap/>
            <w:vAlign w:val="center"/>
            <w:hideMark/>
          </w:tcPr>
          <w:p w14:paraId="3BABC2F6"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50,031.91</w:t>
            </w:r>
          </w:p>
        </w:tc>
      </w:tr>
      <w:tr w:rsidR="00143E77" w:rsidRPr="00143E77" w14:paraId="6AAB69D7" w14:textId="77777777" w:rsidTr="00BC10AA">
        <w:trPr>
          <w:trHeight w:val="286"/>
          <w:jc w:val="center"/>
        </w:trPr>
        <w:tc>
          <w:tcPr>
            <w:tcW w:w="858" w:type="dxa"/>
            <w:tcBorders>
              <w:top w:val="nil"/>
              <w:left w:val="single" w:sz="8" w:space="0" w:color="auto"/>
              <w:bottom w:val="nil"/>
              <w:right w:val="single" w:sz="4" w:space="0" w:color="auto"/>
            </w:tcBorders>
            <w:noWrap/>
            <w:vAlign w:val="center"/>
            <w:hideMark/>
          </w:tcPr>
          <w:p w14:paraId="40E56CA3"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2011</w:t>
            </w:r>
          </w:p>
        </w:tc>
        <w:tc>
          <w:tcPr>
            <w:tcW w:w="2049" w:type="dxa"/>
            <w:tcBorders>
              <w:top w:val="nil"/>
              <w:left w:val="nil"/>
              <w:bottom w:val="nil"/>
              <w:right w:val="single" w:sz="4" w:space="0" w:color="auto"/>
            </w:tcBorders>
            <w:noWrap/>
            <w:vAlign w:val="center"/>
            <w:hideMark/>
          </w:tcPr>
          <w:p w14:paraId="3C857CC3"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APROBADO</w:t>
            </w:r>
          </w:p>
        </w:tc>
        <w:tc>
          <w:tcPr>
            <w:tcW w:w="3424" w:type="dxa"/>
            <w:tcBorders>
              <w:top w:val="nil"/>
              <w:left w:val="nil"/>
              <w:bottom w:val="nil"/>
              <w:right w:val="single" w:sz="4" w:space="0" w:color="auto"/>
            </w:tcBorders>
            <w:noWrap/>
            <w:vAlign w:val="center"/>
            <w:hideMark/>
          </w:tcPr>
          <w:p w14:paraId="68100C9E"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Unidad Nacional de la Esperanza (UNE)</w:t>
            </w:r>
          </w:p>
        </w:tc>
        <w:tc>
          <w:tcPr>
            <w:tcW w:w="1902" w:type="dxa"/>
            <w:tcBorders>
              <w:top w:val="nil"/>
              <w:left w:val="nil"/>
              <w:bottom w:val="nil"/>
              <w:right w:val="single" w:sz="8" w:space="0" w:color="auto"/>
            </w:tcBorders>
            <w:noWrap/>
            <w:vAlign w:val="center"/>
            <w:hideMark/>
          </w:tcPr>
          <w:p w14:paraId="4AC10A0D"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54,390.90</w:t>
            </w:r>
          </w:p>
        </w:tc>
      </w:tr>
      <w:tr w:rsidR="00143E77" w:rsidRPr="00143E77" w14:paraId="67F89936" w14:textId="77777777" w:rsidTr="00BC10AA">
        <w:trPr>
          <w:trHeight w:val="286"/>
          <w:jc w:val="center"/>
        </w:trPr>
        <w:tc>
          <w:tcPr>
            <w:tcW w:w="858" w:type="dxa"/>
            <w:tcBorders>
              <w:top w:val="nil"/>
              <w:left w:val="single" w:sz="8" w:space="0" w:color="auto"/>
              <w:bottom w:val="nil"/>
              <w:right w:val="single" w:sz="4" w:space="0" w:color="auto"/>
            </w:tcBorders>
            <w:noWrap/>
            <w:vAlign w:val="center"/>
            <w:hideMark/>
          </w:tcPr>
          <w:p w14:paraId="4D084422"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2012</w:t>
            </w:r>
          </w:p>
        </w:tc>
        <w:tc>
          <w:tcPr>
            <w:tcW w:w="2049" w:type="dxa"/>
            <w:tcBorders>
              <w:top w:val="nil"/>
              <w:left w:val="nil"/>
              <w:bottom w:val="nil"/>
              <w:right w:val="single" w:sz="4" w:space="0" w:color="auto"/>
            </w:tcBorders>
            <w:noWrap/>
            <w:vAlign w:val="center"/>
            <w:hideMark/>
          </w:tcPr>
          <w:p w14:paraId="512A9CD3"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APROBADO</w:t>
            </w:r>
          </w:p>
        </w:tc>
        <w:tc>
          <w:tcPr>
            <w:tcW w:w="3424" w:type="dxa"/>
            <w:tcBorders>
              <w:top w:val="nil"/>
              <w:left w:val="nil"/>
              <w:bottom w:val="nil"/>
              <w:right w:val="single" w:sz="4" w:space="0" w:color="auto"/>
            </w:tcBorders>
            <w:noWrap/>
            <w:vAlign w:val="center"/>
            <w:hideMark/>
          </w:tcPr>
          <w:p w14:paraId="6ACF27A3"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Partido Patriota (PP)</w:t>
            </w:r>
          </w:p>
        </w:tc>
        <w:tc>
          <w:tcPr>
            <w:tcW w:w="1902" w:type="dxa"/>
            <w:tcBorders>
              <w:top w:val="nil"/>
              <w:left w:val="nil"/>
              <w:bottom w:val="nil"/>
              <w:right w:val="single" w:sz="8" w:space="0" w:color="auto"/>
            </w:tcBorders>
            <w:noWrap/>
            <w:vAlign w:val="center"/>
            <w:hideMark/>
          </w:tcPr>
          <w:p w14:paraId="28308204"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59,547.38</w:t>
            </w:r>
          </w:p>
        </w:tc>
      </w:tr>
      <w:tr w:rsidR="00143E77" w:rsidRPr="00143E77" w14:paraId="46C36C83" w14:textId="77777777" w:rsidTr="00BC10AA">
        <w:trPr>
          <w:trHeight w:val="286"/>
          <w:jc w:val="center"/>
        </w:trPr>
        <w:tc>
          <w:tcPr>
            <w:tcW w:w="858" w:type="dxa"/>
            <w:tcBorders>
              <w:top w:val="nil"/>
              <w:left w:val="single" w:sz="8" w:space="0" w:color="auto"/>
              <w:bottom w:val="nil"/>
              <w:right w:val="single" w:sz="4" w:space="0" w:color="auto"/>
            </w:tcBorders>
            <w:noWrap/>
            <w:vAlign w:val="center"/>
            <w:hideMark/>
          </w:tcPr>
          <w:p w14:paraId="471A8A94"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2013</w:t>
            </w:r>
          </w:p>
        </w:tc>
        <w:tc>
          <w:tcPr>
            <w:tcW w:w="2049" w:type="dxa"/>
            <w:tcBorders>
              <w:top w:val="nil"/>
              <w:left w:val="nil"/>
              <w:bottom w:val="nil"/>
              <w:right w:val="single" w:sz="4" w:space="0" w:color="auto"/>
            </w:tcBorders>
            <w:noWrap/>
            <w:vAlign w:val="center"/>
            <w:hideMark/>
          </w:tcPr>
          <w:p w14:paraId="60432110"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APROBADO</w:t>
            </w:r>
          </w:p>
        </w:tc>
        <w:tc>
          <w:tcPr>
            <w:tcW w:w="3424" w:type="dxa"/>
            <w:tcBorders>
              <w:top w:val="nil"/>
              <w:left w:val="nil"/>
              <w:bottom w:val="nil"/>
              <w:right w:val="single" w:sz="4" w:space="0" w:color="auto"/>
            </w:tcBorders>
            <w:noWrap/>
            <w:vAlign w:val="center"/>
            <w:hideMark/>
          </w:tcPr>
          <w:p w14:paraId="0A583FBA"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Partido Patriota (PP)</w:t>
            </w:r>
          </w:p>
        </w:tc>
        <w:tc>
          <w:tcPr>
            <w:tcW w:w="1902" w:type="dxa"/>
            <w:tcBorders>
              <w:top w:val="nil"/>
              <w:left w:val="nil"/>
              <w:bottom w:val="nil"/>
              <w:right w:val="single" w:sz="8" w:space="0" w:color="auto"/>
            </w:tcBorders>
            <w:noWrap/>
            <w:vAlign w:val="center"/>
            <w:hideMark/>
          </w:tcPr>
          <w:p w14:paraId="76917F09"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66,985.44</w:t>
            </w:r>
          </w:p>
        </w:tc>
      </w:tr>
      <w:tr w:rsidR="00143E77" w:rsidRPr="00143E77" w14:paraId="132910B1" w14:textId="77777777" w:rsidTr="00BC10AA">
        <w:trPr>
          <w:trHeight w:val="286"/>
          <w:jc w:val="center"/>
        </w:trPr>
        <w:tc>
          <w:tcPr>
            <w:tcW w:w="858" w:type="dxa"/>
            <w:tcBorders>
              <w:top w:val="nil"/>
              <w:left w:val="single" w:sz="8" w:space="0" w:color="auto"/>
              <w:bottom w:val="nil"/>
              <w:right w:val="single" w:sz="4" w:space="0" w:color="auto"/>
            </w:tcBorders>
            <w:noWrap/>
            <w:vAlign w:val="center"/>
            <w:hideMark/>
          </w:tcPr>
          <w:p w14:paraId="5226BB53"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2014</w:t>
            </w:r>
          </w:p>
        </w:tc>
        <w:tc>
          <w:tcPr>
            <w:tcW w:w="2049" w:type="dxa"/>
            <w:tcBorders>
              <w:top w:val="nil"/>
              <w:left w:val="nil"/>
              <w:bottom w:val="nil"/>
              <w:right w:val="nil"/>
            </w:tcBorders>
            <w:noWrap/>
            <w:vAlign w:val="center"/>
            <w:hideMark/>
          </w:tcPr>
          <w:p w14:paraId="32ED41E9"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NO APROBADO</w:t>
            </w:r>
          </w:p>
        </w:tc>
        <w:tc>
          <w:tcPr>
            <w:tcW w:w="3424" w:type="dxa"/>
            <w:tcBorders>
              <w:top w:val="nil"/>
              <w:left w:val="single" w:sz="4" w:space="0" w:color="auto"/>
              <w:bottom w:val="nil"/>
              <w:right w:val="single" w:sz="4" w:space="0" w:color="auto"/>
            </w:tcBorders>
            <w:noWrap/>
            <w:vAlign w:val="center"/>
            <w:hideMark/>
          </w:tcPr>
          <w:p w14:paraId="53064A8E"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Partido Patriota (PP)</w:t>
            </w:r>
          </w:p>
        </w:tc>
        <w:tc>
          <w:tcPr>
            <w:tcW w:w="1902" w:type="dxa"/>
            <w:tcBorders>
              <w:top w:val="nil"/>
              <w:left w:val="nil"/>
              <w:bottom w:val="nil"/>
              <w:right w:val="single" w:sz="8" w:space="0" w:color="auto"/>
            </w:tcBorders>
            <w:noWrap/>
            <w:vAlign w:val="center"/>
            <w:hideMark/>
          </w:tcPr>
          <w:p w14:paraId="33670B4B"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66,985.44</w:t>
            </w:r>
          </w:p>
        </w:tc>
      </w:tr>
      <w:tr w:rsidR="00143E77" w:rsidRPr="00143E77" w14:paraId="02CEBE1D" w14:textId="77777777" w:rsidTr="00BC10AA">
        <w:trPr>
          <w:trHeight w:val="286"/>
          <w:jc w:val="center"/>
        </w:trPr>
        <w:tc>
          <w:tcPr>
            <w:tcW w:w="858" w:type="dxa"/>
            <w:tcBorders>
              <w:top w:val="nil"/>
              <w:left w:val="single" w:sz="8" w:space="0" w:color="auto"/>
              <w:bottom w:val="nil"/>
              <w:right w:val="single" w:sz="4" w:space="0" w:color="auto"/>
            </w:tcBorders>
            <w:noWrap/>
            <w:vAlign w:val="center"/>
            <w:hideMark/>
          </w:tcPr>
          <w:p w14:paraId="297224FA"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2015</w:t>
            </w:r>
          </w:p>
        </w:tc>
        <w:tc>
          <w:tcPr>
            <w:tcW w:w="2049" w:type="dxa"/>
            <w:tcBorders>
              <w:top w:val="nil"/>
              <w:left w:val="nil"/>
              <w:bottom w:val="nil"/>
              <w:right w:val="single" w:sz="4" w:space="0" w:color="auto"/>
            </w:tcBorders>
            <w:noWrap/>
            <w:vAlign w:val="center"/>
            <w:hideMark/>
          </w:tcPr>
          <w:p w14:paraId="1B015A06"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APROBADO</w:t>
            </w:r>
          </w:p>
        </w:tc>
        <w:tc>
          <w:tcPr>
            <w:tcW w:w="3424" w:type="dxa"/>
            <w:tcBorders>
              <w:top w:val="nil"/>
              <w:left w:val="nil"/>
              <w:bottom w:val="nil"/>
              <w:right w:val="single" w:sz="4" w:space="0" w:color="auto"/>
            </w:tcBorders>
            <w:noWrap/>
            <w:vAlign w:val="center"/>
            <w:hideMark/>
          </w:tcPr>
          <w:p w14:paraId="1DE74B6F"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Partido Patriota (PP)</w:t>
            </w:r>
          </w:p>
        </w:tc>
        <w:tc>
          <w:tcPr>
            <w:tcW w:w="1902" w:type="dxa"/>
            <w:tcBorders>
              <w:top w:val="nil"/>
              <w:left w:val="nil"/>
              <w:bottom w:val="nil"/>
              <w:right w:val="single" w:sz="8" w:space="0" w:color="auto"/>
            </w:tcBorders>
            <w:noWrap/>
            <w:vAlign w:val="center"/>
            <w:hideMark/>
          </w:tcPr>
          <w:p w14:paraId="4D459E17"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70,600.00</w:t>
            </w:r>
          </w:p>
        </w:tc>
      </w:tr>
      <w:tr w:rsidR="00143E77" w:rsidRPr="00143E77" w14:paraId="47842FDA" w14:textId="77777777" w:rsidTr="00BC10AA">
        <w:trPr>
          <w:trHeight w:val="286"/>
          <w:jc w:val="center"/>
        </w:trPr>
        <w:tc>
          <w:tcPr>
            <w:tcW w:w="858" w:type="dxa"/>
            <w:tcBorders>
              <w:top w:val="nil"/>
              <w:left w:val="single" w:sz="8" w:space="0" w:color="auto"/>
              <w:bottom w:val="nil"/>
              <w:right w:val="single" w:sz="4" w:space="0" w:color="auto"/>
            </w:tcBorders>
            <w:noWrap/>
            <w:vAlign w:val="center"/>
            <w:hideMark/>
          </w:tcPr>
          <w:p w14:paraId="50600546"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2016</w:t>
            </w:r>
          </w:p>
        </w:tc>
        <w:tc>
          <w:tcPr>
            <w:tcW w:w="2049" w:type="dxa"/>
            <w:tcBorders>
              <w:top w:val="nil"/>
              <w:left w:val="nil"/>
              <w:bottom w:val="nil"/>
              <w:right w:val="nil"/>
            </w:tcBorders>
            <w:noWrap/>
            <w:vAlign w:val="center"/>
            <w:hideMark/>
          </w:tcPr>
          <w:p w14:paraId="0EB724C1"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APROBADO</w:t>
            </w:r>
          </w:p>
        </w:tc>
        <w:tc>
          <w:tcPr>
            <w:tcW w:w="3424" w:type="dxa"/>
            <w:tcBorders>
              <w:top w:val="nil"/>
              <w:left w:val="single" w:sz="4" w:space="0" w:color="auto"/>
              <w:bottom w:val="nil"/>
              <w:right w:val="single" w:sz="4" w:space="0" w:color="auto"/>
            </w:tcBorders>
            <w:noWrap/>
            <w:vAlign w:val="center"/>
            <w:hideMark/>
          </w:tcPr>
          <w:p w14:paraId="2309ADD2"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Frente de Convergencia Nacional (FCN)</w:t>
            </w:r>
          </w:p>
        </w:tc>
        <w:tc>
          <w:tcPr>
            <w:tcW w:w="1902" w:type="dxa"/>
            <w:tcBorders>
              <w:top w:val="nil"/>
              <w:left w:val="nil"/>
              <w:bottom w:val="nil"/>
              <w:right w:val="single" w:sz="8" w:space="0" w:color="auto"/>
            </w:tcBorders>
            <w:noWrap/>
            <w:vAlign w:val="center"/>
            <w:hideMark/>
          </w:tcPr>
          <w:p w14:paraId="455E237C"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70,796.31</w:t>
            </w:r>
          </w:p>
        </w:tc>
      </w:tr>
      <w:tr w:rsidR="00143E77" w:rsidRPr="00143E77" w14:paraId="1EF07EB7" w14:textId="77777777" w:rsidTr="00BC10AA">
        <w:trPr>
          <w:trHeight w:val="286"/>
          <w:jc w:val="center"/>
        </w:trPr>
        <w:tc>
          <w:tcPr>
            <w:tcW w:w="858" w:type="dxa"/>
            <w:tcBorders>
              <w:top w:val="nil"/>
              <w:left w:val="single" w:sz="8" w:space="0" w:color="auto"/>
              <w:bottom w:val="nil"/>
              <w:right w:val="single" w:sz="4" w:space="0" w:color="auto"/>
            </w:tcBorders>
            <w:noWrap/>
            <w:vAlign w:val="center"/>
            <w:hideMark/>
          </w:tcPr>
          <w:p w14:paraId="352C95F0"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2017</w:t>
            </w:r>
          </w:p>
        </w:tc>
        <w:tc>
          <w:tcPr>
            <w:tcW w:w="2049" w:type="dxa"/>
            <w:tcBorders>
              <w:top w:val="nil"/>
              <w:left w:val="nil"/>
              <w:bottom w:val="nil"/>
              <w:right w:val="nil"/>
            </w:tcBorders>
            <w:noWrap/>
            <w:vAlign w:val="center"/>
            <w:hideMark/>
          </w:tcPr>
          <w:p w14:paraId="0A80E691"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APROBADO</w:t>
            </w:r>
          </w:p>
        </w:tc>
        <w:tc>
          <w:tcPr>
            <w:tcW w:w="3424" w:type="dxa"/>
            <w:tcBorders>
              <w:top w:val="nil"/>
              <w:left w:val="single" w:sz="4" w:space="0" w:color="auto"/>
              <w:bottom w:val="nil"/>
              <w:right w:val="single" w:sz="4" w:space="0" w:color="auto"/>
            </w:tcBorders>
            <w:noWrap/>
            <w:vAlign w:val="center"/>
            <w:hideMark/>
          </w:tcPr>
          <w:p w14:paraId="0E19FC01"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Frente de Convergencia Nacional (FCN)</w:t>
            </w:r>
          </w:p>
        </w:tc>
        <w:tc>
          <w:tcPr>
            <w:tcW w:w="1902" w:type="dxa"/>
            <w:tcBorders>
              <w:top w:val="nil"/>
              <w:left w:val="nil"/>
              <w:bottom w:val="nil"/>
              <w:right w:val="single" w:sz="8" w:space="0" w:color="auto"/>
            </w:tcBorders>
            <w:noWrap/>
            <w:vAlign w:val="center"/>
            <w:hideMark/>
          </w:tcPr>
          <w:p w14:paraId="15E5761A"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76,989.45</w:t>
            </w:r>
          </w:p>
        </w:tc>
      </w:tr>
      <w:tr w:rsidR="00143E77" w:rsidRPr="00143E77" w14:paraId="43428BC2" w14:textId="77777777" w:rsidTr="00BC10AA">
        <w:trPr>
          <w:trHeight w:val="286"/>
          <w:jc w:val="center"/>
        </w:trPr>
        <w:tc>
          <w:tcPr>
            <w:tcW w:w="858" w:type="dxa"/>
            <w:tcBorders>
              <w:top w:val="nil"/>
              <w:left w:val="single" w:sz="8" w:space="0" w:color="auto"/>
              <w:bottom w:val="nil"/>
              <w:right w:val="single" w:sz="4" w:space="0" w:color="auto"/>
            </w:tcBorders>
            <w:noWrap/>
            <w:vAlign w:val="center"/>
            <w:hideMark/>
          </w:tcPr>
          <w:p w14:paraId="0B39FFF6"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2018</w:t>
            </w:r>
          </w:p>
        </w:tc>
        <w:tc>
          <w:tcPr>
            <w:tcW w:w="2049" w:type="dxa"/>
            <w:tcBorders>
              <w:top w:val="nil"/>
              <w:left w:val="nil"/>
              <w:bottom w:val="nil"/>
              <w:right w:val="nil"/>
            </w:tcBorders>
            <w:noWrap/>
            <w:vAlign w:val="center"/>
            <w:hideMark/>
          </w:tcPr>
          <w:p w14:paraId="4B1D2CCD"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NO APROBADO</w:t>
            </w:r>
          </w:p>
        </w:tc>
        <w:tc>
          <w:tcPr>
            <w:tcW w:w="3424" w:type="dxa"/>
            <w:tcBorders>
              <w:top w:val="nil"/>
              <w:left w:val="single" w:sz="4" w:space="0" w:color="auto"/>
              <w:bottom w:val="nil"/>
              <w:right w:val="single" w:sz="4" w:space="0" w:color="auto"/>
            </w:tcBorders>
            <w:noWrap/>
            <w:vAlign w:val="center"/>
            <w:hideMark/>
          </w:tcPr>
          <w:p w14:paraId="394C834C"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Frente de Convergencia Nacional (FCN)</w:t>
            </w:r>
          </w:p>
        </w:tc>
        <w:tc>
          <w:tcPr>
            <w:tcW w:w="1902" w:type="dxa"/>
            <w:tcBorders>
              <w:top w:val="nil"/>
              <w:left w:val="nil"/>
              <w:bottom w:val="nil"/>
              <w:right w:val="single" w:sz="8" w:space="0" w:color="auto"/>
            </w:tcBorders>
            <w:noWrap/>
            <w:vAlign w:val="center"/>
            <w:hideMark/>
          </w:tcPr>
          <w:p w14:paraId="4755D7BF"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76,989.45</w:t>
            </w:r>
          </w:p>
        </w:tc>
      </w:tr>
      <w:tr w:rsidR="00143E77" w:rsidRPr="00143E77" w14:paraId="0B223E47" w14:textId="77777777" w:rsidTr="00BC10AA">
        <w:trPr>
          <w:trHeight w:val="286"/>
          <w:jc w:val="center"/>
        </w:trPr>
        <w:tc>
          <w:tcPr>
            <w:tcW w:w="858" w:type="dxa"/>
            <w:tcBorders>
              <w:top w:val="nil"/>
              <w:left w:val="single" w:sz="8" w:space="0" w:color="auto"/>
              <w:bottom w:val="nil"/>
              <w:right w:val="single" w:sz="4" w:space="0" w:color="auto"/>
            </w:tcBorders>
            <w:noWrap/>
            <w:vAlign w:val="center"/>
            <w:hideMark/>
          </w:tcPr>
          <w:p w14:paraId="6AF8755B"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2019</w:t>
            </w:r>
          </w:p>
        </w:tc>
        <w:tc>
          <w:tcPr>
            <w:tcW w:w="2049" w:type="dxa"/>
            <w:tcBorders>
              <w:top w:val="nil"/>
              <w:left w:val="nil"/>
              <w:bottom w:val="nil"/>
              <w:right w:val="single" w:sz="4" w:space="0" w:color="auto"/>
            </w:tcBorders>
            <w:noWrap/>
            <w:vAlign w:val="center"/>
            <w:hideMark/>
          </w:tcPr>
          <w:p w14:paraId="58BB02C4"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APROBADO</w:t>
            </w:r>
          </w:p>
        </w:tc>
        <w:tc>
          <w:tcPr>
            <w:tcW w:w="3424" w:type="dxa"/>
            <w:tcBorders>
              <w:top w:val="nil"/>
              <w:left w:val="nil"/>
              <w:bottom w:val="nil"/>
              <w:right w:val="single" w:sz="4" w:space="0" w:color="auto"/>
            </w:tcBorders>
            <w:noWrap/>
            <w:vAlign w:val="center"/>
            <w:hideMark/>
          </w:tcPr>
          <w:p w14:paraId="196609D3"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Frente de Convergencia Nacional (FCN)</w:t>
            </w:r>
          </w:p>
        </w:tc>
        <w:tc>
          <w:tcPr>
            <w:tcW w:w="1902" w:type="dxa"/>
            <w:tcBorders>
              <w:top w:val="nil"/>
              <w:left w:val="nil"/>
              <w:bottom w:val="nil"/>
              <w:right w:val="single" w:sz="8" w:space="0" w:color="auto"/>
            </w:tcBorders>
            <w:noWrap/>
            <w:vAlign w:val="center"/>
            <w:hideMark/>
          </w:tcPr>
          <w:p w14:paraId="7A93975A"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87,715.06</w:t>
            </w:r>
          </w:p>
        </w:tc>
      </w:tr>
      <w:tr w:rsidR="00143E77" w:rsidRPr="00143E77" w14:paraId="570BB24D" w14:textId="77777777" w:rsidTr="00EF785A">
        <w:trPr>
          <w:trHeight w:val="286"/>
          <w:jc w:val="center"/>
        </w:trPr>
        <w:tc>
          <w:tcPr>
            <w:tcW w:w="858" w:type="dxa"/>
            <w:tcBorders>
              <w:top w:val="nil"/>
              <w:left w:val="single" w:sz="8" w:space="0" w:color="auto"/>
              <w:bottom w:val="nil"/>
              <w:right w:val="single" w:sz="4" w:space="0" w:color="auto"/>
            </w:tcBorders>
            <w:noWrap/>
            <w:vAlign w:val="center"/>
            <w:hideMark/>
          </w:tcPr>
          <w:p w14:paraId="3BBBD088"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2020</w:t>
            </w:r>
          </w:p>
        </w:tc>
        <w:tc>
          <w:tcPr>
            <w:tcW w:w="2049" w:type="dxa"/>
            <w:tcBorders>
              <w:top w:val="nil"/>
              <w:left w:val="nil"/>
              <w:bottom w:val="nil"/>
              <w:right w:val="single" w:sz="4" w:space="0" w:color="auto"/>
            </w:tcBorders>
            <w:noWrap/>
            <w:vAlign w:val="center"/>
            <w:hideMark/>
          </w:tcPr>
          <w:p w14:paraId="2F3BC7BA"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NO APROBADO</w:t>
            </w:r>
          </w:p>
        </w:tc>
        <w:tc>
          <w:tcPr>
            <w:tcW w:w="3424" w:type="dxa"/>
            <w:tcBorders>
              <w:top w:val="nil"/>
              <w:left w:val="nil"/>
              <w:right w:val="single" w:sz="4" w:space="0" w:color="auto"/>
            </w:tcBorders>
            <w:noWrap/>
            <w:vAlign w:val="center"/>
            <w:hideMark/>
          </w:tcPr>
          <w:p w14:paraId="2369E7A4"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Partido VAMOS</w:t>
            </w:r>
          </w:p>
        </w:tc>
        <w:tc>
          <w:tcPr>
            <w:tcW w:w="1902" w:type="dxa"/>
            <w:tcBorders>
              <w:top w:val="nil"/>
              <w:left w:val="nil"/>
              <w:bottom w:val="nil"/>
              <w:right w:val="single" w:sz="8" w:space="0" w:color="auto"/>
            </w:tcBorders>
            <w:noWrap/>
            <w:vAlign w:val="center"/>
            <w:hideMark/>
          </w:tcPr>
          <w:p w14:paraId="30E8337B"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87,715.06</w:t>
            </w:r>
          </w:p>
        </w:tc>
      </w:tr>
      <w:tr w:rsidR="00143E77" w:rsidRPr="00143E77" w14:paraId="5541F870" w14:textId="77777777" w:rsidTr="00EF785A">
        <w:trPr>
          <w:trHeight w:val="301"/>
          <w:jc w:val="center"/>
        </w:trPr>
        <w:tc>
          <w:tcPr>
            <w:tcW w:w="858" w:type="dxa"/>
            <w:tcBorders>
              <w:top w:val="nil"/>
              <w:left w:val="single" w:sz="8" w:space="0" w:color="auto"/>
              <w:bottom w:val="single" w:sz="4" w:space="0" w:color="FFFFFF" w:themeColor="background1"/>
              <w:right w:val="nil"/>
            </w:tcBorders>
            <w:noWrap/>
            <w:vAlign w:val="center"/>
            <w:hideMark/>
          </w:tcPr>
          <w:p w14:paraId="76C40BC9"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2021</w:t>
            </w:r>
          </w:p>
        </w:tc>
        <w:tc>
          <w:tcPr>
            <w:tcW w:w="2049" w:type="dxa"/>
            <w:tcBorders>
              <w:top w:val="nil"/>
              <w:left w:val="single" w:sz="4" w:space="0" w:color="auto"/>
              <w:bottom w:val="single" w:sz="4" w:space="0" w:color="FFFFFF" w:themeColor="background1"/>
              <w:right w:val="single" w:sz="4" w:space="0" w:color="auto"/>
            </w:tcBorders>
            <w:noWrap/>
            <w:vAlign w:val="center"/>
            <w:hideMark/>
          </w:tcPr>
          <w:p w14:paraId="5A0519BA"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NO APROBADO</w:t>
            </w:r>
          </w:p>
        </w:tc>
        <w:tc>
          <w:tcPr>
            <w:tcW w:w="3424" w:type="dxa"/>
            <w:tcBorders>
              <w:top w:val="nil"/>
              <w:left w:val="nil"/>
              <w:right w:val="single" w:sz="4" w:space="0" w:color="auto"/>
            </w:tcBorders>
            <w:noWrap/>
            <w:vAlign w:val="center"/>
            <w:hideMark/>
          </w:tcPr>
          <w:p w14:paraId="10B8CA37"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Partido VAMOS</w:t>
            </w:r>
          </w:p>
        </w:tc>
        <w:tc>
          <w:tcPr>
            <w:tcW w:w="1902" w:type="dxa"/>
            <w:tcBorders>
              <w:top w:val="nil"/>
              <w:left w:val="nil"/>
              <w:bottom w:val="single" w:sz="4" w:space="0" w:color="FFFFFF" w:themeColor="background1"/>
              <w:right w:val="single" w:sz="8" w:space="0" w:color="auto"/>
            </w:tcBorders>
            <w:noWrap/>
            <w:vAlign w:val="center"/>
            <w:hideMark/>
          </w:tcPr>
          <w:p w14:paraId="1C326B10"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107,521.46</w:t>
            </w:r>
          </w:p>
        </w:tc>
      </w:tr>
      <w:tr w:rsidR="00143E77" w:rsidRPr="00143E77" w14:paraId="5ADDAF53" w14:textId="77777777" w:rsidTr="00EF785A">
        <w:trPr>
          <w:trHeight w:val="301"/>
          <w:jc w:val="center"/>
        </w:trPr>
        <w:tc>
          <w:tcPr>
            <w:tcW w:w="858" w:type="dxa"/>
            <w:tcBorders>
              <w:top w:val="single" w:sz="4" w:space="0" w:color="FFFFFF" w:themeColor="background1"/>
              <w:left w:val="single" w:sz="8" w:space="0" w:color="auto"/>
              <w:bottom w:val="nil"/>
              <w:right w:val="nil"/>
            </w:tcBorders>
            <w:shd w:val="clear" w:color="auto" w:fill="auto"/>
            <w:noWrap/>
            <w:vAlign w:val="center"/>
            <w:hideMark/>
          </w:tcPr>
          <w:p w14:paraId="5EE4C04B"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2022</w:t>
            </w:r>
          </w:p>
        </w:tc>
        <w:tc>
          <w:tcPr>
            <w:tcW w:w="2049" w:type="dxa"/>
            <w:tcBorders>
              <w:top w:val="single" w:sz="4" w:space="0" w:color="FFFFFF" w:themeColor="background1"/>
              <w:left w:val="single" w:sz="4" w:space="0" w:color="auto"/>
              <w:bottom w:val="nil"/>
              <w:right w:val="single" w:sz="4" w:space="0" w:color="auto"/>
            </w:tcBorders>
            <w:shd w:val="clear" w:color="auto" w:fill="auto"/>
            <w:noWrap/>
            <w:vAlign w:val="center"/>
            <w:hideMark/>
          </w:tcPr>
          <w:p w14:paraId="08B1F4C3"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APROBADO</w:t>
            </w:r>
          </w:p>
        </w:tc>
        <w:tc>
          <w:tcPr>
            <w:tcW w:w="3424" w:type="dxa"/>
            <w:tcBorders>
              <w:left w:val="nil"/>
              <w:bottom w:val="nil"/>
              <w:right w:val="single" w:sz="4" w:space="0" w:color="auto"/>
            </w:tcBorders>
            <w:shd w:val="clear" w:color="auto" w:fill="auto"/>
            <w:noWrap/>
            <w:vAlign w:val="center"/>
            <w:hideMark/>
          </w:tcPr>
          <w:p w14:paraId="2E078574"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Partido VAMOS</w:t>
            </w:r>
          </w:p>
        </w:tc>
        <w:tc>
          <w:tcPr>
            <w:tcW w:w="1902" w:type="dxa"/>
            <w:tcBorders>
              <w:top w:val="single" w:sz="4" w:space="0" w:color="FFFFFF" w:themeColor="background1"/>
              <w:left w:val="nil"/>
              <w:bottom w:val="nil"/>
              <w:right w:val="single" w:sz="8" w:space="0" w:color="auto"/>
            </w:tcBorders>
            <w:shd w:val="clear" w:color="auto" w:fill="auto"/>
            <w:noWrap/>
            <w:vAlign w:val="center"/>
            <w:hideMark/>
          </w:tcPr>
          <w:p w14:paraId="719777D9"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106,229.47</w:t>
            </w:r>
          </w:p>
        </w:tc>
      </w:tr>
      <w:tr w:rsidR="00143E77" w:rsidRPr="00143E77" w14:paraId="13B71134" w14:textId="77777777" w:rsidTr="00EF785A">
        <w:trPr>
          <w:trHeight w:val="301"/>
          <w:jc w:val="center"/>
        </w:trPr>
        <w:tc>
          <w:tcPr>
            <w:tcW w:w="858" w:type="dxa"/>
            <w:tcBorders>
              <w:top w:val="nil"/>
              <w:left w:val="single" w:sz="8" w:space="0" w:color="auto"/>
              <w:bottom w:val="nil"/>
              <w:right w:val="nil"/>
            </w:tcBorders>
            <w:shd w:val="clear" w:color="auto" w:fill="auto"/>
            <w:noWrap/>
            <w:vAlign w:val="center"/>
          </w:tcPr>
          <w:p w14:paraId="059BE7C9"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2023</w:t>
            </w:r>
          </w:p>
        </w:tc>
        <w:tc>
          <w:tcPr>
            <w:tcW w:w="2049" w:type="dxa"/>
            <w:tcBorders>
              <w:top w:val="nil"/>
              <w:left w:val="single" w:sz="4" w:space="0" w:color="auto"/>
              <w:bottom w:val="nil"/>
              <w:right w:val="single" w:sz="4" w:space="0" w:color="auto"/>
            </w:tcBorders>
            <w:shd w:val="clear" w:color="auto" w:fill="auto"/>
            <w:noWrap/>
            <w:vAlign w:val="center"/>
          </w:tcPr>
          <w:p w14:paraId="4917BB52"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APROBADO</w:t>
            </w:r>
          </w:p>
        </w:tc>
        <w:tc>
          <w:tcPr>
            <w:tcW w:w="3424" w:type="dxa"/>
            <w:tcBorders>
              <w:top w:val="nil"/>
              <w:left w:val="nil"/>
              <w:bottom w:val="nil"/>
              <w:right w:val="single" w:sz="4" w:space="0" w:color="auto"/>
            </w:tcBorders>
            <w:shd w:val="clear" w:color="auto" w:fill="auto"/>
            <w:noWrap/>
            <w:vAlign w:val="center"/>
          </w:tcPr>
          <w:p w14:paraId="2E7A268F"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Partido VAMOS</w:t>
            </w:r>
          </w:p>
        </w:tc>
        <w:tc>
          <w:tcPr>
            <w:tcW w:w="1902" w:type="dxa"/>
            <w:tcBorders>
              <w:top w:val="nil"/>
              <w:left w:val="nil"/>
              <w:bottom w:val="nil"/>
              <w:right w:val="single" w:sz="8" w:space="0" w:color="auto"/>
            </w:tcBorders>
            <w:shd w:val="clear" w:color="auto" w:fill="auto"/>
            <w:noWrap/>
            <w:vAlign w:val="center"/>
          </w:tcPr>
          <w:p w14:paraId="1F2619C3" w14:textId="77777777" w:rsidR="00143E77" w:rsidRPr="00143E77" w:rsidRDefault="00143E77" w:rsidP="00143E77">
            <w:pPr>
              <w:spacing w:line="276" w:lineRule="auto"/>
              <w:contextualSpacing/>
              <w:jc w:val="center"/>
              <w:rPr>
                <w:rFonts w:ascii="Times New Roman" w:eastAsia="Times New Roman" w:hAnsi="Times New Roman" w:cs="Calibri"/>
                <w:sz w:val="20"/>
                <w:szCs w:val="20"/>
                <w:lang w:eastAsia="es-GT"/>
              </w:rPr>
            </w:pPr>
            <w:r w:rsidRPr="00143E77">
              <w:rPr>
                <w:rFonts w:ascii="Times New Roman" w:eastAsia="Times New Roman" w:hAnsi="Times New Roman" w:cs="Calibri"/>
                <w:sz w:val="20"/>
                <w:szCs w:val="20"/>
                <w:lang w:eastAsia="es-GT"/>
              </w:rPr>
              <w:t>115,443.74</w:t>
            </w:r>
          </w:p>
        </w:tc>
      </w:tr>
      <w:tr w:rsidR="00EF785A" w:rsidRPr="00143E77" w14:paraId="512825B1" w14:textId="77777777" w:rsidTr="00EF785A">
        <w:trPr>
          <w:trHeight w:val="301"/>
          <w:jc w:val="center"/>
        </w:trPr>
        <w:tc>
          <w:tcPr>
            <w:tcW w:w="858" w:type="dxa"/>
            <w:tcBorders>
              <w:top w:val="nil"/>
              <w:left w:val="single" w:sz="8" w:space="0" w:color="auto"/>
              <w:bottom w:val="single" w:sz="8" w:space="0" w:color="auto"/>
              <w:right w:val="nil"/>
            </w:tcBorders>
            <w:shd w:val="clear" w:color="auto" w:fill="C00000"/>
            <w:noWrap/>
            <w:vAlign w:val="center"/>
          </w:tcPr>
          <w:p w14:paraId="4D89C1E8" w14:textId="6CCFE591" w:rsidR="00EF785A" w:rsidRPr="00143E77" w:rsidRDefault="00EF785A" w:rsidP="00143E77">
            <w:pPr>
              <w:spacing w:line="276" w:lineRule="auto"/>
              <w:contextualSpacing/>
              <w:jc w:val="center"/>
              <w:rPr>
                <w:rFonts w:ascii="Times New Roman" w:eastAsia="Times New Roman" w:hAnsi="Times New Roman" w:cs="Calibri"/>
                <w:b/>
                <w:bCs/>
                <w:sz w:val="20"/>
                <w:szCs w:val="20"/>
                <w:lang w:eastAsia="es-GT"/>
              </w:rPr>
            </w:pPr>
            <w:r>
              <w:rPr>
                <w:rFonts w:ascii="Times New Roman" w:eastAsia="Times New Roman" w:hAnsi="Times New Roman" w:cs="Calibri"/>
                <w:b/>
                <w:bCs/>
                <w:sz w:val="20"/>
                <w:szCs w:val="20"/>
                <w:lang w:eastAsia="es-GT"/>
              </w:rPr>
              <w:t>2024</w:t>
            </w:r>
          </w:p>
        </w:tc>
        <w:tc>
          <w:tcPr>
            <w:tcW w:w="2049" w:type="dxa"/>
            <w:tcBorders>
              <w:top w:val="nil"/>
              <w:left w:val="single" w:sz="4" w:space="0" w:color="auto"/>
              <w:bottom w:val="single" w:sz="8" w:space="0" w:color="auto"/>
              <w:right w:val="single" w:sz="4" w:space="0" w:color="auto"/>
            </w:tcBorders>
            <w:shd w:val="clear" w:color="auto" w:fill="C00000"/>
            <w:noWrap/>
            <w:vAlign w:val="center"/>
          </w:tcPr>
          <w:p w14:paraId="38E0AD42" w14:textId="6A95F596" w:rsidR="00EF785A" w:rsidRPr="00143E77" w:rsidRDefault="0010424C" w:rsidP="00143E77">
            <w:pPr>
              <w:spacing w:line="276" w:lineRule="auto"/>
              <w:contextualSpacing/>
              <w:jc w:val="center"/>
              <w:rPr>
                <w:rFonts w:ascii="Times New Roman" w:eastAsia="Times New Roman" w:hAnsi="Times New Roman" w:cs="Calibri"/>
                <w:b/>
                <w:bCs/>
                <w:sz w:val="20"/>
                <w:szCs w:val="20"/>
                <w:lang w:eastAsia="es-GT"/>
              </w:rPr>
            </w:pPr>
            <w:r>
              <w:rPr>
                <w:rFonts w:ascii="Times New Roman" w:eastAsia="Times New Roman" w:hAnsi="Times New Roman" w:cs="Calibri"/>
                <w:b/>
                <w:bCs/>
                <w:sz w:val="20"/>
                <w:szCs w:val="20"/>
                <w:lang w:eastAsia="es-GT"/>
              </w:rPr>
              <w:t>SUSPENDIDO por la C</w:t>
            </w:r>
            <w:r w:rsidR="0040378F">
              <w:rPr>
                <w:rFonts w:ascii="Times New Roman" w:eastAsia="Times New Roman" w:hAnsi="Times New Roman" w:cs="Calibri"/>
                <w:b/>
                <w:bCs/>
                <w:sz w:val="20"/>
                <w:szCs w:val="20"/>
                <w:lang w:eastAsia="es-GT"/>
              </w:rPr>
              <w:t>.C.</w:t>
            </w:r>
          </w:p>
        </w:tc>
        <w:tc>
          <w:tcPr>
            <w:tcW w:w="3424" w:type="dxa"/>
            <w:tcBorders>
              <w:top w:val="nil"/>
              <w:left w:val="nil"/>
              <w:bottom w:val="single" w:sz="8" w:space="0" w:color="auto"/>
              <w:right w:val="single" w:sz="4" w:space="0" w:color="auto"/>
            </w:tcBorders>
            <w:shd w:val="clear" w:color="auto" w:fill="C00000"/>
            <w:noWrap/>
            <w:vAlign w:val="center"/>
          </w:tcPr>
          <w:p w14:paraId="1E639DDC" w14:textId="41A9C6DC" w:rsidR="00EF785A" w:rsidRPr="00143E77" w:rsidRDefault="00EF785A" w:rsidP="00143E77">
            <w:pPr>
              <w:spacing w:line="276" w:lineRule="auto"/>
              <w:contextualSpacing/>
              <w:jc w:val="center"/>
              <w:rPr>
                <w:rFonts w:ascii="Times New Roman" w:eastAsia="Times New Roman" w:hAnsi="Times New Roman" w:cs="Calibri"/>
                <w:b/>
                <w:bCs/>
                <w:sz w:val="20"/>
                <w:szCs w:val="20"/>
                <w:lang w:eastAsia="es-GT"/>
              </w:rPr>
            </w:pPr>
            <w:r>
              <w:rPr>
                <w:rFonts w:ascii="Times New Roman" w:eastAsia="Times New Roman" w:hAnsi="Times New Roman" w:cs="Calibri"/>
                <w:b/>
                <w:bCs/>
                <w:sz w:val="20"/>
                <w:szCs w:val="20"/>
                <w:lang w:eastAsia="es-GT"/>
              </w:rPr>
              <w:t>Movimiento Semilla</w:t>
            </w:r>
          </w:p>
        </w:tc>
        <w:tc>
          <w:tcPr>
            <w:tcW w:w="1902" w:type="dxa"/>
            <w:tcBorders>
              <w:top w:val="nil"/>
              <w:left w:val="nil"/>
              <w:bottom w:val="single" w:sz="8" w:space="0" w:color="auto"/>
              <w:right w:val="single" w:sz="8" w:space="0" w:color="auto"/>
            </w:tcBorders>
            <w:shd w:val="clear" w:color="auto" w:fill="C00000"/>
            <w:noWrap/>
            <w:vAlign w:val="center"/>
          </w:tcPr>
          <w:p w14:paraId="6EABD570" w14:textId="1C4FAC34" w:rsidR="00EF785A" w:rsidRPr="00143E77" w:rsidRDefault="00EF785A" w:rsidP="00143E77">
            <w:pPr>
              <w:spacing w:line="276" w:lineRule="auto"/>
              <w:contextualSpacing/>
              <w:jc w:val="center"/>
              <w:rPr>
                <w:rFonts w:ascii="Times New Roman" w:eastAsia="Times New Roman" w:hAnsi="Times New Roman" w:cs="Calibri"/>
                <w:b/>
                <w:bCs/>
                <w:sz w:val="20"/>
                <w:szCs w:val="20"/>
                <w:lang w:eastAsia="es-GT"/>
              </w:rPr>
            </w:pPr>
            <w:r>
              <w:rPr>
                <w:rFonts w:ascii="Times New Roman" w:eastAsia="Times New Roman" w:hAnsi="Times New Roman" w:cs="Calibri"/>
                <w:b/>
                <w:bCs/>
                <w:sz w:val="20"/>
                <w:szCs w:val="20"/>
                <w:lang w:eastAsia="es-GT"/>
              </w:rPr>
              <w:t>116,</w:t>
            </w:r>
            <w:r w:rsidR="00B725AA">
              <w:rPr>
                <w:rFonts w:ascii="Times New Roman" w:eastAsia="Times New Roman" w:hAnsi="Times New Roman" w:cs="Calibri"/>
                <w:b/>
                <w:bCs/>
                <w:sz w:val="20"/>
                <w:szCs w:val="20"/>
                <w:lang w:eastAsia="es-GT"/>
              </w:rPr>
              <w:t>1</w:t>
            </w:r>
            <w:r w:rsidR="00180F0C">
              <w:rPr>
                <w:rFonts w:ascii="Times New Roman" w:eastAsia="Times New Roman" w:hAnsi="Times New Roman" w:cs="Calibri"/>
                <w:b/>
                <w:bCs/>
                <w:sz w:val="20"/>
                <w:szCs w:val="20"/>
                <w:lang w:eastAsia="es-GT"/>
              </w:rPr>
              <w:t>3</w:t>
            </w:r>
            <w:r>
              <w:rPr>
                <w:rFonts w:ascii="Times New Roman" w:eastAsia="Times New Roman" w:hAnsi="Times New Roman" w:cs="Calibri"/>
                <w:b/>
                <w:bCs/>
                <w:sz w:val="20"/>
                <w:szCs w:val="20"/>
                <w:lang w:eastAsia="es-GT"/>
              </w:rPr>
              <w:t>0.64</w:t>
            </w:r>
          </w:p>
        </w:tc>
      </w:tr>
    </w:tbl>
    <w:p w14:paraId="711BB6AE" w14:textId="77777777" w:rsidR="00143E77" w:rsidRPr="00143E77" w:rsidRDefault="00143E77" w:rsidP="00143E77">
      <w:pPr>
        <w:spacing w:line="276" w:lineRule="auto"/>
        <w:contextualSpacing/>
        <w:rPr>
          <w:rFonts w:ascii="Times New Roman" w:eastAsia="Times New Roman" w:hAnsi="Times New Roman" w:cs="Calibri"/>
          <w:sz w:val="18"/>
          <w:szCs w:val="18"/>
        </w:rPr>
      </w:pPr>
      <w:r w:rsidRPr="00143E77">
        <w:rPr>
          <w:rFonts w:ascii="Times New Roman" w:eastAsia="Times New Roman" w:hAnsi="Times New Roman" w:cs="Calibri"/>
          <w:sz w:val="18"/>
          <w:szCs w:val="18"/>
        </w:rPr>
        <w:t xml:space="preserve">  Fuente: Dirección de Análisis y Política Fiscal. </w:t>
      </w:r>
    </w:p>
    <w:p w14:paraId="4F3C134B" w14:textId="77777777" w:rsidR="00143E77" w:rsidRPr="00143E77" w:rsidRDefault="00143E77" w:rsidP="006029AA">
      <w:pPr>
        <w:contextualSpacing/>
        <w:jc w:val="both"/>
        <w:rPr>
          <w:rFonts w:ascii="Times New Roman" w:eastAsia="Times New Roman" w:hAnsi="Times New Roman" w:cs="Calibri"/>
          <w:sz w:val="22"/>
          <w:szCs w:val="22"/>
        </w:rPr>
      </w:pPr>
    </w:p>
    <w:p w14:paraId="54A09A55" w14:textId="203FFCEB" w:rsidR="002A37D2" w:rsidRPr="00D0565D" w:rsidRDefault="002A37D2" w:rsidP="006029AA">
      <w:pPr>
        <w:contextualSpacing/>
        <w:jc w:val="both"/>
        <w:rPr>
          <w:rFonts w:ascii="Times New Roman" w:eastAsia="Times New Roman" w:hAnsi="Times New Roman" w:cs="Calibri"/>
          <w:sz w:val="22"/>
          <w:szCs w:val="22"/>
        </w:rPr>
      </w:pPr>
      <w:r w:rsidRPr="00D0565D">
        <w:rPr>
          <w:rFonts w:ascii="Times New Roman" w:eastAsia="Times New Roman" w:hAnsi="Times New Roman" w:cs="Calibri"/>
          <w:sz w:val="22"/>
          <w:szCs w:val="22"/>
        </w:rPr>
        <w:t xml:space="preserve">Un tema importante a considerar es la recaudación tributaria que está consignada en el presupuesto 2024 por Q86,247.6 millones (igual a la de 2023), mientras que para el proyecto de presupuesto 2024 se habían planteado Q98,533.3 millones, por lo que </w:t>
      </w:r>
      <w:r w:rsidR="005A055C" w:rsidRPr="00D0565D">
        <w:rPr>
          <w:rFonts w:ascii="Times New Roman" w:eastAsia="Times New Roman" w:hAnsi="Times New Roman" w:cs="Calibri"/>
          <w:sz w:val="22"/>
          <w:szCs w:val="22"/>
        </w:rPr>
        <w:t xml:space="preserve">se deberá evaluar la conveniencia de </w:t>
      </w:r>
      <w:r w:rsidRPr="00D0565D">
        <w:rPr>
          <w:rFonts w:ascii="Times New Roman" w:eastAsia="Times New Roman" w:hAnsi="Times New Roman" w:cs="Calibri"/>
          <w:sz w:val="22"/>
          <w:szCs w:val="22"/>
        </w:rPr>
        <w:t xml:space="preserve">acudir al Congreso de la República para </w:t>
      </w:r>
      <w:r w:rsidR="009236ED" w:rsidRPr="00D0565D">
        <w:rPr>
          <w:rFonts w:ascii="Times New Roman" w:eastAsia="Times New Roman" w:hAnsi="Times New Roman" w:cs="Calibri"/>
          <w:sz w:val="22"/>
          <w:szCs w:val="22"/>
        </w:rPr>
        <w:t>aumentar</w:t>
      </w:r>
      <w:r w:rsidRPr="00D0565D">
        <w:rPr>
          <w:rFonts w:ascii="Times New Roman" w:eastAsia="Times New Roman" w:hAnsi="Times New Roman" w:cs="Calibri"/>
          <w:sz w:val="22"/>
          <w:szCs w:val="22"/>
        </w:rPr>
        <w:t xml:space="preserve"> el techo </w:t>
      </w:r>
      <w:r w:rsidR="00E9501F">
        <w:rPr>
          <w:rFonts w:ascii="Times New Roman" w:eastAsia="Times New Roman" w:hAnsi="Times New Roman" w:cs="Calibri"/>
          <w:sz w:val="22"/>
          <w:szCs w:val="22"/>
        </w:rPr>
        <w:t xml:space="preserve">de </w:t>
      </w:r>
      <w:r w:rsidR="009236ED" w:rsidRPr="00D0565D">
        <w:rPr>
          <w:rFonts w:ascii="Times New Roman" w:eastAsia="Times New Roman" w:hAnsi="Times New Roman" w:cs="Calibri"/>
          <w:sz w:val="22"/>
          <w:szCs w:val="22"/>
        </w:rPr>
        <w:t>gasto de la</w:t>
      </w:r>
      <w:r w:rsidR="0067328C" w:rsidRPr="00D0565D">
        <w:rPr>
          <w:rFonts w:ascii="Times New Roman" w:eastAsia="Times New Roman" w:hAnsi="Times New Roman" w:cs="Calibri"/>
          <w:sz w:val="22"/>
          <w:szCs w:val="22"/>
        </w:rPr>
        <w:t>s</w:t>
      </w:r>
      <w:r w:rsidR="009236ED" w:rsidRPr="00D0565D">
        <w:rPr>
          <w:rFonts w:ascii="Times New Roman" w:eastAsia="Times New Roman" w:hAnsi="Times New Roman" w:cs="Calibri"/>
          <w:sz w:val="22"/>
          <w:szCs w:val="22"/>
        </w:rPr>
        <w:t xml:space="preserve"> fuentes</w:t>
      </w:r>
      <w:r w:rsidRPr="00D0565D">
        <w:rPr>
          <w:rFonts w:ascii="Times New Roman" w:eastAsia="Times New Roman" w:hAnsi="Times New Roman" w:cs="Calibri"/>
          <w:sz w:val="22"/>
          <w:szCs w:val="22"/>
        </w:rPr>
        <w:t xml:space="preserve"> </w:t>
      </w:r>
      <w:r w:rsidR="009236ED" w:rsidRPr="00D0565D">
        <w:rPr>
          <w:rFonts w:ascii="Times New Roman" w:eastAsia="Times New Roman" w:hAnsi="Times New Roman" w:cs="Calibri"/>
          <w:sz w:val="22"/>
          <w:szCs w:val="22"/>
        </w:rPr>
        <w:t>de financiamiento de origen</w:t>
      </w:r>
      <w:r w:rsidRPr="00D0565D">
        <w:rPr>
          <w:rFonts w:ascii="Times New Roman" w:eastAsia="Times New Roman" w:hAnsi="Times New Roman" w:cs="Calibri"/>
          <w:sz w:val="22"/>
          <w:szCs w:val="22"/>
        </w:rPr>
        <w:t xml:space="preserve"> tributario. </w:t>
      </w:r>
    </w:p>
    <w:p w14:paraId="421932ED" w14:textId="77777777" w:rsidR="00143E77" w:rsidRPr="00D0565D" w:rsidRDefault="00143E77" w:rsidP="006029AA">
      <w:pPr>
        <w:contextualSpacing/>
        <w:jc w:val="both"/>
        <w:rPr>
          <w:rFonts w:ascii="Times New Roman" w:eastAsiaTheme="majorEastAsia" w:hAnsi="Times New Roman" w:cs="Calibri"/>
          <w:sz w:val="22"/>
          <w:szCs w:val="28"/>
        </w:rPr>
      </w:pPr>
    </w:p>
    <w:p w14:paraId="389A060A" w14:textId="51D68E26" w:rsidR="00143E77" w:rsidRPr="00143E77" w:rsidRDefault="00143E77" w:rsidP="006029AA">
      <w:pPr>
        <w:contextualSpacing/>
        <w:jc w:val="both"/>
        <w:rPr>
          <w:rFonts w:ascii="Times New Roman" w:eastAsiaTheme="majorEastAsia" w:hAnsi="Times New Roman" w:cs="Calibri"/>
          <w:sz w:val="22"/>
          <w:szCs w:val="28"/>
        </w:rPr>
      </w:pPr>
      <w:r w:rsidRPr="00D0565D">
        <w:rPr>
          <w:rFonts w:ascii="Times New Roman" w:eastAsiaTheme="majorEastAsia" w:hAnsi="Times New Roman" w:cs="Calibri"/>
          <w:sz w:val="22"/>
          <w:szCs w:val="28"/>
        </w:rPr>
        <w:t>A nivel de carga tributaria</w:t>
      </w:r>
      <w:r w:rsidR="002A37D2" w:rsidRPr="00D0565D">
        <w:rPr>
          <w:rFonts w:ascii="Times New Roman" w:eastAsiaTheme="majorEastAsia" w:hAnsi="Times New Roman" w:cs="Calibri"/>
          <w:sz w:val="22"/>
          <w:szCs w:val="28"/>
        </w:rPr>
        <w:t xml:space="preserve">, </w:t>
      </w:r>
      <w:r w:rsidRPr="00D0565D">
        <w:rPr>
          <w:rFonts w:ascii="Times New Roman" w:eastAsiaTheme="majorEastAsia" w:hAnsi="Times New Roman" w:cs="Calibri"/>
          <w:sz w:val="22"/>
          <w:szCs w:val="28"/>
        </w:rPr>
        <w:t>para el ejercicio fiscal 202</w:t>
      </w:r>
      <w:r w:rsidR="002A37D2" w:rsidRPr="00D0565D">
        <w:rPr>
          <w:rFonts w:ascii="Times New Roman" w:eastAsiaTheme="majorEastAsia" w:hAnsi="Times New Roman" w:cs="Calibri"/>
          <w:sz w:val="22"/>
          <w:szCs w:val="28"/>
        </w:rPr>
        <w:t>4</w:t>
      </w:r>
      <w:r w:rsidRPr="00D0565D">
        <w:rPr>
          <w:rFonts w:ascii="Times New Roman" w:eastAsiaTheme="majorEastAsia" w:hAnsi="Times New Roman" w:cs="Calibri"/>
          <w:sz w:val="22"/>
          <w:szCs w:val="28"/>
        </w:rPr>
        <w:t xml:space="preserve"> se espera que por lo menos </w:t>
      </w:r>
      <w:r w:rsidR="00B550F0">
        <w:rPr>
          <w:rFonts w:ascii="Times New Roman" w:eastAsiaTheme="majorEastAsia" w:hAnsi="Times New Roman" w:cs="Calibri"/>
          <w:sz w:val="22"/>
          <w:szCs w:val="28"/>
        </w:rPr>
        <w:t>é</w:t>
      </w:r>
      <w:r w:rsidRPr="00D0565D">
        <w:rPr>
          <w:rFonts w:ascii="Times New Roman" w:eastAsiaTheme="majorEastAsia" w:hAnsi="Times New Roman" w:cs="Calibri"/>
          <w:sz w:val="22"/>
          <w:szCs w:val="28"/>
        </w:rPr>
        <w:t>sta se ubique en 1</w:t>
      </w:r>
      <w:r w:rsidR="0066608C" w:rsidRPr="00D0565D">
        <w:rPr>
          <w:rFonts w:ascii="Times New Roman" w:eastAsiaTheme="majorEastAsia" w:hAnsi="Times New Roman" w:cs="Calibri"/>
          <w:sz w:val="22"/>
          <w:szCs w:val="28"/>
        </w:rPr>
        <w:t>1.8</w:t>
      </w:r>
      <w:r w:rsidRPr="00D0565D">
        <w:rPr>
          <w:rFonts w:ascii="Times New Roman" w:eastAsiaTheme="majorEastAsia" w:hAnsi="Times New Roman" w:cs="Calibri"/>
          <w:sz w:val="22"/>
          <w:szCs w:val="28"/>
        </w:rPr>
        <w:t>%</w:t>
      </w:r>
      <w:r w:rsidR="002A37D2" w:rsidRPr="00D0565D">
        <w:rPr>
          <w:rFonts w:ascii="Times New Roman" w:eastAsiaTheme="majorEastAsia" w:hAnsi="Times New Roman" w:cs="Calibri"/>
          <w:sz w:val="22"/>
          <w:szCs w:val="28"/>
        </w:rPr>
        <w:t xml:space="preserve"> con una </w:t>
      </w:r>
      <w:r w:rsidR="0066608C" w:rsidRPr="00D0565D">
        <w:rPr>
          <w:rFonts w:ascii="Times New Roman" w:eastAsiaTheme="majorEastAsia" w:hAnsi="Times New Roman" w:cs="Calibri"/>
          <w:sz w:val="22"/>
          <w:szCs w:val="28"/>
        </w:rPr>
        <w:t>estimación conservado</w:t>
      </w:r>
      <w:r w:rsidR="00E410F0" w:rsidRPr="00D0565D">
        <w:rPr>
          <w:rFonts w:ascii="Times New Roman" w:eastAsiaTheme="majorEastAsia" w:hAnsi="Times New Roman" w:cs="Calibri"/>
          <w:sz w:val="22"/>
          <w:szCs w:val="28"/>
        </w:rPr>
        <w:t>ra</w:t>
      </w:r>
      <w:r w:rsidR="0066608C" w:rsidRPr="00D0565D">
        <w:rPr>
          <w:rFonts w:ascii="Times New Roman" w:eastAsiaTheme="majorEastAsia" w:hAnsi="Times New Roman" w:cs="Calibri"/>
          <w:sz w:val="22"/>
          <w:szCs w:val="28"/>
        </w:rPr>
        <w:t xml:space="preserve"> considerando la revisión de las proyecciones de las variables </w:t>
      </w:r>
      <w:r w:rsidR="0066608C" w:rsidRPr="00D0565D">
        <w:rPr>
          <w:rFonts w:ascii="Times New Roman" w:eastAsiaTheme="majorEastAsia" w:hAnsi="Times New Roman" w:cs="Calibri"/>
          <w:sz w:val="22"/>
          <w:szCs w:val="28"/>
        </w:rPr>
        <w:lastRenderedPageBreak/>
        <w:t xml:space="preserve">macroeconómicas </w:t>
      </w:r>
      <w:r w:rsidR="00E410F0" w:rsidRPr="00D0565D">
        <w:rPr>
          <w:rFonts w:ascii="Times New Roman" w:eastAsiaTheme="majorEastAsia" w:hAnsi="Times New Roman" w:cs="Calibri"/>
          <w:sz w:val="22"/>
          <w:szCs w:val="28"/>
        </w:rPr>
        <w:t>realizadas por el Banco de Guatemala en diciembre de 2023</w:t>
      </w:r>
      <w:r w:rsidR="00573B09" w:rsidRPr="00D0565D">
        <w:rPr>
          <w:rFonts w:ascii="Times New Roman" w:eastAsiaTheme="majorEastAsia" w:hAnsi="Times New Roman" w:cs="Calibri"/>
          <w:sz w:val="22"/>
          <w:szCs w:val="28"/>
        </w:rPr>
        <w:t xml:space="preserve">; </w:t>
      </w:r>
      <w:r w:rsidR="002A37D2" w:rsidRPr="00D0565D">
        <w:rPr>
          <w:rFonts w:ascii="Times New Roman" w:eastAsiaTheme="majorEastAsia" w:hAnsi="Times New Roman" w:cs="Calibri"/>
          <w:sz w:val="22"/>
          <w:szCs w:val="28"/>
        </w:rPr>
        <w:t xml:space="preserve">aunque si se mantienen </w:t>
      </w:r>
      <w:r w:rsidRPr="00D0565D">
        <w:rPr>
          <w:rFonts w:ascii="Times New Roman" w:eastAsiaTheme="majorEastAsia" w:hAnsi="Times New Roman" w:cs="Calibri"/>
          <w:sz w:val="22"/>
          <w:szCs w:val="28"/>
        </w:rPr>
        <w:t xml:space="preserve">las condiciones establecidas en el Presupuesto, </w:t>
      </w:r>
      <w:r w:rsidR="002A37D2" w:rsidRPr="00D0565D">
        <w:rPr>
          <w:rFonts w:ascii="Times New Roman" w:eastAsiaTheme="majorEastAsia" w:hAnsi="Times New Roman" w:cs="Calibri"/>
          <w:sz w:val="22"/>
          <w:szCs w:val="28"/>
        </w:rPr>
        <w:t>la carga tributaria descendería a 10.1%. V</w:t>
      </w:r>
      <w:r w:rsidRPr="00D0565D">
        <w:rPr>
          <w:rFonts w:ascii="Times New Roman" w:eastAsiaTheme="majorEastAsia" w:hAnsi="Times New Roman" w:cs="Calibri"/>
          <w:sz w:val="22"/>
          <w:szCs w:val="28"/>
        </w:rPr>
        <w:t>ale indicar que dicho monto puede variar de conformidad a las acciones que siga implementando la Superintendencia de Administración Tributaria en pro del combate al contrabando, defraudación y percepción de riesgo de los contribuyentes.</w:t>
      </w:r>
    </w:p>
    <w:p w14:paraId="07E6842E" w14:textId="77777777" w:rsidR="00143E77" w:rsidRPr="00143E77" w:rsidRDefault="00143E77" w:rsidP="006029AA">
      <w:pPr>
        <w:contextualSpacing/>
        <w:jc w:val="both"/>
        <w:rPr>
          <w:rFonts w:ascii="Times New Roman" w:eastAsiaTheme="majorEastAsia" w:hAnsi="Times New Roman" w:cs="Calibri"/>
          <w:sz w:val="22"/>
          <w:szCs w:val="28"/>
        </w:rPr>
      </w:pPr>
    </w:p>
    <w:p w14:paraId="4BA83B56" w14:textId="2F182C49" w:rsidR="00AC4663" w:rsidRDefault="00143E77" w:rsidP="006029AA">
      <w:pPr>
        <w:contextualSpacing/>
        <w:jc w:val="both"/>
        <w:rPr>
          <w:rFonts w:ascii="Times New Roman" w:eastAsia="Times New Roman" w:hAnsi="Times New Roman" w:cs="Calibri"/>
          <w:sz w:val="22"/>
          <w:szCs w:val="22"/>
        </w:rPr>
      </w:pPr>
      <w:r w:rsidRPr="00143E77">
        <w:rPr>
          <w:rFonts w:ascii="Times New Roman" w:eastAsia="Times New Roman" w:hAnsi="Times New Roman" w:cs="Calibri"/>
          <w:sz w:val="22"/>
          <w:szCs w:val="22"/>
        </w:rPr>
        <w:t>Por</w:t>
      </w:r>
      <w:r w:rsidR="00AC4663">
        <w:rPr>
          <w:rFonts w:ascii="Times New Roman" w:eastAsia="Times New Roman" w:hAnsi="Times New Roman" w:cs="Calibri"/>
          <w:sz w:val="22"/>
          <w:szCs w:val="22"/>
        </w:rPr>
        <w:t xml:space="preserve"> su parte, </w:t>
      </w:r>
      <w:r w:rsidR="007444A1">
        <w:rPr>
          <w:rFonts w:ascii="Times New Roman" w:eastAsia="Times New Roman" w:hAnsi="Times New Roman" w:cs="Calibri"/>
          <w:sz w:val="22"/>
          <w:szCs w:val="22"/>
        </w:rPr>
        <w:t>el gasto público</w:t>
      </w:r>
      <w:r w:rsidR="00AC4663" w:rsidRPr="00AC4663">
        <w:rPr>
          <w:rFonts w:ascii="Times New Roman" w:eastAsia="Times New Roman" w:hAnsi="Times New Roman" w:cs="Calibri"/>
          <w:sz w:val="22"/>
          <w:szCs w:val="22"/>
        </w:rPr>
        <w:t xml:space="preserve"> que está consignad</w:t>
      </w:r>
      <w:r w:rsidR="006B62C9">
        <w:rPr>
          <w:rFonts w:ascii="Times New Roman" w:eastAsia="Times New Roman" w:hAnsi="Times New Roman" w:cs="Calibri"/>
          <w:sz w:val="22"/>
          <w:szCs w:val="22"/>
        </w:rPr>
        <w:t>o</w:t>
      </w:r>
      <w:r w:rsidR="00AC4663" w:rsidRPr="00AC4663">
        <w:rPr>
          <w:rFonts w:ascii="Times New Roman" w:eastAsia="Times New Roman" w:hAnsi="Times New Roman" w:cs="Calibri"/>
          <w:sz w:val="22"/>
          <w:szCs w:val="22"/>
        </w:rPr>
        <w:t xml:space="preserve"> en el presupuesto 202</w:t>
      </w:r>
      <w:r w:rsidR="004D2369">
        <w:rPr>
          <w:rFonts w:ascii="Times New Roman" w:eastAsia="Times New Roman" w:hAnsi="Times New Roman" w:cs="Calibri"/>
          <w:sz w:val="22"/>
          <w:szCs w:val="22"/>
        </w:rPr>
        <w:t>4</w:t>
      </w:r>
      <w:r w:rsidR="007444A1">
        <w:rPr>
          <w:rFonts w:ascii="Times New Roman" w:eastAsia="Times New Roman" w:hAnsi="Times New Roman" w:cs="Calibri"/>
          <w:sz w:val="22"/>
          <w:szCs w:val="22"/>
        </w:rPr>
        <w:t xml:space="preserve">, no responde a las necesidades de la nueva administración, se puede mencionar dos casos concretos: por una parte, existen aportes extraordinarios que se dieron al TSE que respondieron a las necesidades del ejercicio fiscal 2023 en el contexto de las Elecciones Generales, y el caso de la asignación de los subsidios temporales al gas propano y ampliación de la tarifa social eléctrica no estaría siendo considerado como un gasto necesario en 2024, dado que la inflación ha descendido y cerró en 2023 dentro del rango meta establecido por el </w:t>
      </w:r>
      <w:r w:rsidR="00C775FF">
        <w:rPr>
          <w:rFonts w:ascii="Times New Roman" w:eastAsia="Times New Roman" w:hAnsi="Times New Roman" w:cs="Calibri"/>
          <w:sz w:val="22"/>
          <w:szCs w:val="22"/>
        </w:rPr>
        <w:t>Banco de Guatemala</w:t>
      </w:r>
      <w:r w:rsidR="007444A1">
        <w:rPr>
          <w:rFonts w:ascii="Times New Roman" w:eastAsia="Times New Roman" w:hAnsi="Times New Roman" w:cs="Calibri"/>
          <w:sz w:val="22"/>
          <w:szCs w:val="22"/>
        </w:rPr>
        <w:t>.</w:t>
      </w:r>
    </w:p>
    <w:p w14:paraId="7565D082" w14:textId="5DFCFFD0" w:rsidR="007444A1" w:rsidRDefault="007444A1" w:rsidP="006029AA">
      <w:pPr>
        <w:contextualSpacing/>
        <w:jc w:val="both"/>
        <w:rPr>
          <w:rFonts w:ascii="Times New Roman" w:eastAsia="Times New Roman" w:hAnsi="Times New Roman" w:cs="Calibri"/>
          <w:sz w:val="22"/>
          <w:szCs w:val="22"/>
        </w:rPr>
      </w:pPr>
    </w:p>
    <w:p w14:paraId="31716350" w14:textId="4D67B640" w:rsidR="007444A1" w:rsidRDefault="007444A1" w:rsidP="006029AA">
      <w:pPr>
        <w:contextualSpacing/>
        <w:jc w:val="both"/>
        <w:rPr>
          <w:rFonts w:ascii="Times New Roman" w:eastAsia="Times New Roman" w:hAnsi="Times New Roman" w:cs="Calibri"/>
          <w:sz w:val="22"/>
          <w:szCs w:val="22"/>
        </w:rPr>
      </w:pPr>
      <w:r>
        <w:rPr>
          <w:rFonts w:ascii="Times New Roman" w:eastAsia="Times New Roman" w:hAnsi="Times New Roman" w:cs="Calibri"/>
          <w:sz w:val="22"/>
          <w:szCs w:val="22"/>
        </w:rPr>
        <w:t xml:space="preserve">Al analizar el </w:t>
      </w:r>
      <w:r w:rsidR="00007301">
        <w:rPr>
          <w:rFonts w:ascii="Times New Roman" w:eastAsia="Times New Roman" w:hAnsi="Times New Roman" w:cs="Calibri"/>
          <w:sz w:val="22"/>
          <w:szCs w:val="22"/>
        </w:rPr>
        <w:t>presupuesto 2024</w:t>
      </w:r>
      <w:r>
        <w:rPr>
          <w:rFonts w:ascii="Times New Roman" w:eastAsia="Times New Roman" w:hAnsi="Times New Roman" w:cs="Calibri"/>
          <w:sz w:val="22"/>
          <w:szCs w:val="22"/>
        </w:rPr>
        <w:t xml:space="preserve"> por ti</w:t>
      </w:r>
      <w:r w:rsidR="00143E77" w:rsidRPr="00143E77">
        <w:rPr>
          <w:rFonts w:ascii="Times New Roman" w:eastAsia="Times New Roman" w:hAnsi="Times New Roman" w:cs="Calibri"/>
          <w:sz w:val="22"/>
          <w:szCs w:val="22"/>
        </w:rPr>
        <w:t xml:space="preserve">po de gasto, el gasto de funcionamiento </w:t>
      </w:r>
      <w:r>
        <w:rPr>
          <w:rFonts w:ascii="Times New Roman" w:eastAsia="Times New Roman" w:hAnsi="Times New Roman" w:cs="Calibri"/>
          <w:sz w:val="22"/>
          <w:szCs w:val="22"/>
        </w:rPr>
        <w:t>es menor en</w:t>
      </w:r>
      <w:r w:rsidR="00143E77" w:rsidRPr="00143E77">
        <w:rPr>
          <w:rFonts w:ascii="Times New Roman" w:eastAsia="Times New Roman" w:hAnsi="Times New Roman" w:cs="Calibri"/>
          <w:sz w:val="22"/>
          <w:szCs w:val="22"/>
        </w:rPr>
        <w:t xml:space="preserve"> Q</w:t>
      </w:r>
      <w:r>
        <w:rPr>
          <w:rFonts w:ascii="Times New Roman" w:eastAsia="Times New Roman" w:hAnsi="Times New Roman" w:cs="Calibri"/>
          <w:sz w:val="22"/>
          <w:szCs w:val="22"/>
        </w:rPr>
        <w:t>1</w:t>
      </w:r>
      <w:r w:rsidR="00143E77" w:rsidRPr="00143E77">
        <w:rPr>
          <w:rFonts w:ascii="Times New Roman" w:eastAsia="Times New Roman" w:hAnsi="Times New Roman" w:cs="Calibri"/>
          <w:sz w:val="22"/>
          <w:szCs w:val="22"/>
        </w:rPr>
        <w:t>,</w:t>
      </w:r>
      <w:r>
        <w:rPr>
          <w:rFonts w:ascii="Times New Roman" w:eastAsia="Times New Roman" w:hAnsi="Times New Roman" w:cs="Calibri"/>
          <w:sz w:val="22"/>
          <w:szCs w:val="22"/>
        </w:rPr>
        <w:t>472</w:t>
      </w:r>
      <w:r w:rsidR="00143E77" w:rsidRPr="00143E77">
        <w:rPr>
          <w:rFonts w:ascii="Times New Roman" w:eastAsia="Times New Roman" w:hAnsi="Times New Roman" w:cs="Calibri"/>
          <w:sz w:val="22"/>
          <w:szCs w:val="22"/>
        </w:rPr>
        <w:t>.</w:t>
      </w:r>
      <w:r>
        <w:rPr>
          <w:rFonts w:ascii="Times New Roman" w:eastAsia="Times New Roman" w:hAnsi="Times New Roman" w:cs="Calibri"/>
          <w:sz w:val="22"/>
          <w:szCs w:val="22"/>
        </w:rPr>
        <w:t>6</w:t>
      </w:r>
      <w:r w:rsidR="00143E77" w:rsidRPr="00143E77">
        <w:rPr>
          <w:rFonts w:ascii="Times New Roman" w:eastAsia="Times New Roman" w:hAnsi="Times New Roman" w:cs="Calibri"/>
          <w:sz w:val="22"/>
          <w:szCs w:val="22"/>
        </w:rPr>
        <w:t xml:space="preserve"> millones </w:t>
      </w:r>
      <w:r>
        <w:rPr>
          <w:rFonts w:ascii="Times New Roman" w:eastAsia="Times New Roman" w:hAnsi="Times New Roman" w:cs="Calibri"/>
          <w:sz w:val="22"/>
          <w:szCs w:val="22"/>
        </w:rPr>
        <w:t>y el gasto de inversión</w:t>
      </w:r>
      <w:r w:rsidR="00007301">
        <w:rPr>
          <w:rFonts w:ascii="Times New Roman" w:eastAsia="Times New Roman" w:hAnsi="Times New Roman" w:cs="Calibri"/>
          <w:sz w:val="22"/>
          <w:szCs w:val="22"/>
        </w:rPr>
        <w:t xml:space="preserve"> es menor en Q2,640.1 millones </w:t>
      </w:r>
      <w:r w:rsidR="00007301" w:rsidRPr="00143E77">
        <w:rPr>
          <w:rFonts w:ascii="Times New Roman" w:eastAsia="Times New Roman" w:hAnsi="Times New Roman" w:cs="Calibri"/>
          <w:sz w:val="22"/>
          <w:szCs w:val="22"/>
        </w:rPr>
        <w:t>respecto al proyecto de presupuesto</w:t>
      </w:r>
      <w:r w:rsidR="00007301">
        <w:rPr>
          <w:rFonts w:ascii="Times New Roman" w:eastAsia="Times New Roman" w:hAnsi="Times New Roman" w:cs="Calibri"/>
          <w:sz w:val="22"/>
          <w:szCs w:val="22"/>
        </w:rPr>
        <w:t xml:space="preserve">, pero el gasto que tiene la mayor brecha respecto a lo establecido en el proyecto de presupuesto es la deuda pública, siendo menor en Q4,636.7 millones. </w:t>
      </w:r>
      <w:r w:rsidR="0082124F">
        <w:rPr>
          <w:rFonts w:ascii="Times New Roman" w:eastAsia="Times New Roman" w:hAnsi="Times New Roman" w:cs="Calibri"/>
          <w:sz w:val="22"/>
          <w:szCs w:val="22"/>
        </w:rPr>
        <w:t>Por lo que s</w:t>
      </w:r>
      <w:r w:rsidR="005207E4">
        <w:rPr>
          <w:rFonts w:ascii="Times New Roman" w:eastAsia="Times New Roman" w:hAnsi="Times New Roman" w:cs="Calibri"/>
          <w:sz w:val="22"/>
          <w:szCs w:val="22"/>
        </w:rPr>
        <w:t>í</w:t>
      </w:r>
      <w:r w:rsidR="0082124F">
        <w:rPr>
          <w:rFonts w:ascii="Times New Roman" w:eastAsia="Times New Roman" w:hAnsi="Times New Roman" w:cs="Calibri"/>
          <w:sz w:val="22"/>
          <w:szCs w:val="22"/>
        </w:rPr>
        <w:t xml:space="preserve"> </w:t>
      </w:r>
      <w:r w:rsidR="001F42E6">
        <w:rPr>
          <w:rFonts w:ascii="Times New Roman" w:eastAsia="Times New Roman" w:hAnsi="Times New Roman" w:cs="Calibri"/>
          <w:sz w:val="22"/>
          <w:szCs w:val="22"/>
        </w:rPr>
        <w:t>será necesario realizar readecuaciones presupuestarias y muy probablemente gestionar algunas ampliaciones presupuestarias.</w:t>
      </w:r>
    </w:p>
    <w:p w14:paraId="0420363F" w14:textId="77777777" w:rsidR="007444A1" w:rsidRDefault="007444A1" w:rsidP="006029AA">
      <w:pPr>
        <w:contextualSpacing/>
        <w:jc w:val="both"/>
        <w:rPr>
          <w:rFonts w:ascii="Times New Roman" w:eastAsia="Times New Roman" w:hAnsi="Times New Roman" w:cs="Calibri"/>
          <w:sz w:val="22"/>
          <w:szCs w:val="22"/>
        </w:rPr>
      </w:pPr>
    </w:p>
    <w:p w14:paraId="4975989F" w14:textId="75ECF2DF" w:rsidR="00143E77" w:rsidRPr="006029AA" w:rsidRDefault="006029AA" w:rsidP="006029AA">
      <w:pPr>
        <w:pStyle w:val="Descripcin"/>
        <w:keepNext/>
        <w:spacing w:after="0"/>
        <w:jc w:val="center"/>
        <w:rPr>
          <w:sz w:val="22"/>
          <w:szCs w:val="22"/>
        </w:rPr>
      </w:pPr>
      <w:bookmarkStart w:id="187" w:name="_Toc125733228"/>
      <w:bookmarkStart w:id="188" w:name="_Toc158103879"/>
      <w:r w:rsidRPr="006029AA">
        <w:rPr>
          <w:sz w:val="22"/>
          <w:szCs w:val="22"/>
        </w:rPr>
        <w:t xml:space="preserve">Gráfico </w:t>
      </w:r>
      <w:r w:rsidRPr="006029AA">
        <w:rPr>
          <w:sz w:val="22"/>
          <w:szCs w:val="22"/>
        </w:rPr>
        <w:fldChar w:fldCharType="begin"/>
      </w:r>
      <w:r w:rsidRPr="006029AA">
        <w:rPr>
          <w:sz w:val="22"/>
          <w:szCs w:val="22"/>
        </w:rPr>
        <w:instrText xml:space="preserve"> SEQ Gráfico \* ARABIC </w:instrText>
      </w:r>
      <w:r w:rsidRPr="006029AA">
        <w:rPr>
          <w:sz w:val="22"/>
          <w:szCs w:val="22"/>
        </w:rPr>
        <w:fldChar w:fldCharType="separate"/>
      </w:r>
      <w:r w:rsidR="00C015DC">
        <w:rPr>
          <w:noProof/>
          <w:sz w:val="22"/>
          <w:szCs w:val="22"/>
        </w:rPr>
        <w:t>34</w:t>
      </w:r>
      <w:r w:rsidRPr="006029AA">
        <w:rPr>
          <w:sz w:val="22"/>
          <w:szCs w:val="22"/>
        </w:rPr>
        <w:fldChar w:fldCharType="end"/>
      </w:r>
      <w:r w:rsidRPr="006029AA">
        <w:rPr>
          <w:sz w:val="22"/>
          <w:szCs w:val="22"/>
        </w:rPr>
        <w:t xml:space="preserve">.  </w:t>
      </w:r>
      <w:r w:rsidR="00143E77" w:rsidRPr="006029AA">
        <w:rPr>
          <w:rFonts w:eastAsia="Times New Roman" w:cs="Calibri"/>
          <w:sz w:val="22"/>
          <w:szCs w:val="22"/>
        </w:rPr>
        <w:t>Proyecto de Presupuesto</w:t>
      </w:r>
      <w:r w:rsidR="00AC4663" w:rsidRPr="006029AA">
        <w:rPr>
          <w:rFonts w:eastAsia="Times New Roman" w:cs="Calibri"/>
          <w:sz w:val="22"/>
          <w:szCs w:val="22"/>
        </w:rPr>
        <w:t>, Dictamen de Comisión de Finanzas, Decreto 18-2023 y</w:t>
      </w:r>
      <w:r w:rsidR="00143E77" w:rsidRPr="006029AA">
        <w:rPr>
          <w:rFonts w:eastAsia="Times New Roman" w:cs="Calibri"/>
          <w:sz w:val="22"/>
          <w:szCs w:val="22"/>
        </w:rPr>
        <w:t xml:space="preserve"> Presupuesto </w:t>
      </w:r>
      <w:r w:rsidR="00AC4663" w:rsidRPr="006029AA">
        <w:rPr>
          <w:rFonts w:eastAsia="Times New Roman" w:cs="Calibri"/>
          <w:sz w:val="22"/>
          <w:szCs w:val="22"/>
        </w:rPr>
        <w:t>Inicial</w:t>
      </w:r>
      <w:r w:rsidR="00143E77" w:rsidRPr="006029AA">
        <w:rPr>
          <w:rFonts w:eastAsia="Times New Roman" w:cs="Calibri"/>
          <w:sz w:val="22"/>
          <w:szCs w:val="22"/>
        </w:rPr>
        <w:t xml:space="preserve"> 202</w:t>
      </w:r>
      <w:r w:rsidR="00AC4663" w:rsidRPr="006029AA">
        <w:rPr>
          <w:rFonts w:eastAsia="Times New Roman" w:cs="Calibri"/>
          <w:sz w:val="22"/>
          <w:szCs w:val="22"/>
        </w:rPr>
        <w:t>4</w:t>
      </w:r>
      <w:r w:rsidR="00143E77" w:rsidRPr="006029AA">
        <w:rPr>
          <w:rFonts w:eastAsia="Times New Roman" w:cs="Calibri"/>
          <w:sz w:val="22"/>
          <w:szCs w:val="22"/>
        </w:rPr>
        <w:t xml:space="preserve"> por tipo de gasto</w:t>
      </w:r>
      <w:bookmarkEnd w:id="187"/>
      <w:bookmarkEnd w:id="188"/>
    </w:p>
    <w:p w14:paraId="3B4440B6" w14:textId="77777777" w:rsidR="00AC4663" w:rsidRDefault="00143E77" w:rsidP="00143E77">
      <w:pPr>
        <w:spacing w:line="276" w:lineRule="auto"/>
        <w:contextualSpacing/>
        <w:jc w:val="center"/>
        <w:rPr>
          <w:rFonts w:ascii="Times New Roman" w:eastAsia="Times New Roman" w:hAnsi="Times New Roman" w:cs="Calibri"/>
          <w:sz w:val="22"/>
          <w:szCs w:val="22"/>
        </w:rPr>
      </w:pPr>
      <w:r w:rsidRPr="00143E77">
        <w:rPr>
          <w:rFonts w:ascii="Times New Roman" w:eastAsia="Times New Roman" w:hAnsi="Times New Roman" w:cs="Calibri"/>
          <w:sz w:val="22"/>
          <w:szCs w:val="22"/>
        </w:rPr>
        <w:t>Millones de quetzales</w:t>
      </w:r>
    </w:p>
    <w:p w14:paraId="3E494151" w14:textId="5BB72367" w:rsidR="00143E77" w:rsidRPr="00AC4663" w:rsidRDefault="00143E77" w:rsidP="00D0565D">
      <w:pPr>
        <w:spacing w:line="276" w:lineRule="auto"/>
        <w:contextualSpacing/>
        <w:rPr>
          <w:rFonts w:ascii="Times New Roman" w:eastAsia="Times New Roman" w:hAnsi="Times New Roman" w:cs="Calibri"/>
          <w:sz w:val="22"/>
          <w:szCs w:val="22"/>
        </w:rPr>
      </w:pPr>
      <w:r w:rsidRPr="00AC4663">
        <w:rPr>
          <w:rFonts w:ascii="Times New Roman" w:eastAsia="Times New Roman" w:hAnsi="Times New Roman" w:cs="Calibri"/>
          <w:noProof/>
          <w:sz w:val="22"/>
          <w:szCs w:val="22"/>
          <w:lang w:eastAsia="es-GT"/>
        </w:rPr>
        <w:drawing>
          <wp:inline distT="0" distB="0" distL="0" distR="0" wp14:anchorId="45AC0196" wp14:editId="68E51DA4">
            <wp:extent cx="5486400" cy="2657475"/>
            <wp:effectExtent l="0" t="0" r="0" b="0"/>
            <wp:docPr id="6"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Pr="00143E77">
        <w:rPr>
          <w:rFonts w:ascii="Times New Roman" w:eastAsia="Times New Roman" w:hAnsi="Times New Roman" w:cs="Calibri"/>
          <w:sz w:val="18"/>
          <w:szCs w:val="18"/>
        </w:rPr>
        <w:t xml:space="preserve"> Fuente: Dirección de Análisis y Política Fiscal</w:t>
      </w:r>
    </w:p>
    <w:p w14:paraId="1B5B97CB" w14:textId="77777777" w:rsidR="00143E77" w:rsidRPr="00143E77" w:rsidRDefault="00143E77" w:rsidP="006029AA">
      <w:pPr>
        <w:contextualSpacing/>
        <w:jc w:val="both"/>
        <w:rPr>
          <w:rFonts w:ascii="Times New Roman" w:eastAsia="Times New Roman" w:hAnsi="Times New Roman" w:cs="Calibri"/>
          <w:sz w:val="22"/>
          <w:szCs w:val="22"/>
        </w:rPr>
      </w:pPr>
    </w:p>
    <w:p w14:paraId="23DB18A5" w14:textId="1B47637A" w:rsidR="00143E77" w:rsidRPr="00143E77" w:rsidRDefault="00143E77" w:rsidP="006029AA">
      <w:pPr>
        <w:contextualSpacing/>
        <w:jc w:val="both"/>
        <w:rPr>
          <w:rFonts w:ascii="Times New Roman" w:eastAsia="Times New Roman" w:hAnsi="Times New Roman" w:cs="Calibri"/>
          <w:sz w:val="22"/>
          <w:szCs w:val="22"/>
        </w:rPr>
      </w:pPr>
      <w:r w:rsidRPr="00143E77">
        <w:rPr>
          <w:rFonts w:ascii="Times New Roman" w:eastAsia="Times New Roman" w:hAnsi="Times New Roman" w:cs="Calibri"/>
          <w:sz w:val="22"/>
          <w:szCs w:val="22"/>
        </w:rPr>
        <w:t xml:space="preserve">Entre algunos de los puntos relevantes dentro del Presupuesto </w:t>
      </w:r>
      <w:r w:rsidR="00007301">
        <w:rPr>
          <w:rFonts w:ascii="Times New Roman" w:eastAsia="Times New Roman" w:hAnsi="Times New Roman" w:cs="Calibri"/>
          <w:sz w:val="22"/>
          <w:szCs w:val="22"/>
        </w:rPr>
        <w:t>Inicial</w:t>
      </w:r>
      <w:r w:rsidRPr="00143E77">
        <w:rPr>
          <w:rFonts w:ascii="Times New Roman" w:eastAsia="Times New Roman" w:hAnsi="Times New Roman" w:cs="Calibri"/>
          <w:sz w:val="22"/>
          <w:szCs w:val="22"/>
        </w:rPr>
        <w:t xml:space="preserve"> para el ejercicio fiscal 202</w:t>
      </w:r>
      <w:r w:rsidR="00007301">
        <w:rPr>
          <w:rFonts w:ascii="Times New Roman" w:eastAsia="Times New Roman" w:hAnsi="Times New Roman" w:cs="Calibri"/>
          <w:sz w:val="22"/>
          <w:szCs w:val="22"/>
        </w:rPr>
        <w:t>4</w:t>
      </w:r>
      <w:r w:rsidRPr="00143E77">
        <w:rPr>
          <w:rFonts w:ascii="Times New Roman" w:eastAsia="Times New Roman" w:hAnsi="Times New Roman" w:cs="Calibri"/>
          <w:sz w:val="22"/>
          <w:szCs w:val="22"/>
        </w:rPr>
        <w:t xml:space="preserve"> </w:t>
      </w:r>
      <w:r w:rsidR="00007301">
        <w:rPr>
          <w:rFonts w:ascii="Times New Roman" w:eastAsia="Times New Roman" w:hAnsi="Times New Roman" w:cs="Calibri"/>
          <w:sz w:val="22"/>
          <w:szCs w:val="22"/>
        </w:rPr>
        <w:t>que deben ser revisados</w:t>
      </w:r>
      <w:r w:rsidR="00C719D6">
        <w:rPr>
          <w:rFonts w:ascii="Times New Roman" w:eastAsia="Times New Roman" w:hAnsi="Times New Roman" w:cs="Calibri"/>
          <w:sz w:val="22"/>
          <w:szCs w:val="22"/>
        </w:rPr>
        <w:t xml:space="preserve"> se encuentran</w:t>
      </w:r>
      <w:r w:rsidRPr="00143E77">
        <w:rPr>
          <w:rFonts w:ascii="Times New Roman" w:eastAsia="Times New Roman" w:hAnsi="Times New Roman" w:cs="Calibri"/>
          <w:sz w:val="22"/>
          <w:szCs w:val="22"/>
        </w:rPr>
        <w:t>:</w:t>
      </w:r>
    </w:p>
    <w:p w14:paraId="274D39E0" w14:textId="77777777" w:rsidR="00143E77" w:rsidRPr="00143E77" w:rsidRDefault="00143E77" w:rsidP="006029AA">
      <w:pPr>
        <w:contextualSpacing/>
        <w:jc w:val="both"/>
        <w:rPr>
          <w:rFonts w:ascii="Times New Roman" w:eastAsia="Times New Roman" w:hAnsi="Times New Roman" w:cs="Calibri"/>
          <w:sz w:val="22"/>
          <w:szCs w:val="22"/>
        </w:rPr>
      </w:pPr>
    </w:p>
    <w:p w14:paraId="68C90C36" w14:textId="054C33FF" w:rsidR="00007301" w:rsidRDefault="00046AC5" w:rsidP="006029AA">
      <w:pPr>
        <w:numPr>
          <w:ilvl w:val="0"/>
          <w:numId w:val="27"/>
        </w:numPr>
        <w:ind w:left="567"/>
        <w:contextualSpacing/>
        <w:jc w:val="both"/>
        <w:rPr>
          <w:rFonts w:ascii="Times New Roman" w:eastAsia="Times New Roman" w:hAnsi="Times New Roman" w:cs="Calibri"/>
          <w:sz w:val="22"/>
          <w:szCs w:val="22"/>
        </w:rPr>
      </w:pPr>
      <w:r>
        <w:rPr>
          <w:rFonts w:ascii="Times New Roman" w:eastAsia="Times New Roman" w:hAnsi="Times New Roman" w:cs="Calibri"/>
          <w:sz w:val="22"/>
          <w:szCs w:val="22"/>
        </w:rPr>
        <w:t xml:space="preserve">Probable asignación sobreestimada </w:t>
      </w:r>
      <w:r w:rsidR="00007301">
        <w:rPr>
          <w:rFonts w:ascii="Times New Roman" w:eastAsia="Times New Roman" w:hAnsi="Times New Roman" w:cs="Calibri"/>
          <w:sz w:val="22"/>
          <w:szCs w:val="22"/>
        </w:rPr>
        <w:t xml:space="preserve">para la atención de COVID-19 por </w:t>
      </w:r>
      <w:r w:rsidR="00AE055B">
        <w:rPr>
          <w:rFonts w:ascii="Times New Roman" w:eastAsia="Times New Roman" w:hAnsi="Times New Roman" w:cs="Calibri"/>
          <w:sz w:val="22"/>
          <w:szCs w:val="22"/>
        </w:rPr>
        <w:t xml:space="preserve">el </w:t>
      </w:r>
      <w:r w:rsidR="00007301">
        <w:rPr>
          <w:rFonts w:ascii="Times New Roman" w:eastAsia="Times New Roman" w:hAnsi="Times New Roman" w:cs="Calibri"/>
          <w:sz w:val="22"/>
          <w:szCs w:val="22"/>
        </w:rPr>
        <w:t>monto de Q1,299.5 millones.</w:t>
      </w:r>
    </w:p>
    <w:p w14:paraId="4607AC31" w14:textId="57735F47" w:rsidR="00143E77" w:rsidRPr="00143E77" w:rsidRDefault="00143E77" w:rsidP="006029AA">
      <w:pPr>
        <w:numPr>
          <w:ilvl w:val="0"/>
          <w:numId w:val="27"/>
        </w:numPr>
        <w:ind w:left="567"/>
        <w:contextualSpacing/>
        <w:jc w:val="both"/>
        <w:rPr>
          <w:rFonts w:ascii="Times New Roman" w:eastAsia="Times New Roman" w:hAnsi="Times New Roman" w:cs="Calibri"/>
          <w:sz w:val="22"/>
          <w:szCs w:val="22"/>
        </w:rPr>
      </w:pPr>
      <w:r w:rsidRPr="00143E77">
        <w:rPr>
          <w:rFonts w:ascii="Times New Roman" w:eastAsia="Times New Roman" w:hAnsi="Times New Roman" w:cs="Calibri"/>
          <w:sz w:val="22"/>
          <w:szCs w:val="22"/>
        </w:rPr>
        <w:t>Los</w:t>
      </w:r>
      <w:r w:rsidR="00007301">
        <w:rPr>
          <w:rFonts w:ascii="Times New Roman" w:eastAsia="Times New Roman" w:hAnsi="Times New Roman" w:cs="Calibri"/>
          <w:sz w:val="22"/>
          <w:szCs w:val="22"/>
        </w:rPr>
        <w:t xml:space="preserve"> aportes extraordinarios </w:t>
      </w:r>
      <w:r w:rsidRPr="00143E77">
        <w:rPr>
          <w:rFonts w:ascii="Times New Roman" w:eastAsia="Times New Roman" w:hAnsi="Times New Roman" w:cs="Calibri"/>
          <w:sz w:val="22"/>
          <w:szCs w:val="22"/>
        </w:rPr>
        <w:t>al Tribunal Supremo Electoral destinad</w:t>
      </w:r>
      <w:r w:rsidR="00EB4FD6">
        <w:rPr>
          <w:rFonts w:ascii="Times New Roman" w:eastAsia="Times New Roman" w:hAnsi="Times New Roman" w:cs="Calibri"/>
          <w:sz w:val="22"/>
          <w:szCs w:val="22"/>
        </w:rPr>
        <w:t xml:space="preserve">os </w:t>
      </w:r>
      <w:r w:rsidRPr="00143E77">
        <w:rPr>
          <w:rFonts w:ascii="Times New Roman" w:eastAsia="Times New Roman" w:hAnsi="Times New Roman" w:cs="Calibri"/>
          <w:sz w:val="22"/>
          <w:szCs w:val="22"/>
        </w:rPr>
        <w:t>a las Elecciones Generales de 2023</w:t>
      </w:r>
      <w:r w:rsidR="00884E99">
        <w:rPr>
          <w:rFonts w:ascii="Times New Roman" w:eastAsia="Times New Roman" w:hAnsi="Times New Roman" w:cs="Calibri"/>
          <w:sz w:val="22"/>
          <w:szCs w:val="22"/>
        </w:rPr>
        <w:t xml:space="preserve"> y otros gastos relacionados.</w:t>
      </w:r>
    </w:p>
    <w:p w14:paraId="4AB60D50" w14:textId="2ECA3819" w:rsidR="00007301" w:rsidRPr="00007301" w:rsidRDefault="00007301" w:rsidP="006029AA">
      <w:pPr>
        <w:numPr>
          <w:ilvl w:val="0"/>
          <w:numId w:val="27"/>
        </w:numPr>
        <w:ind w:left="567"/>
        <w:contextualSpacing/>
        <w:jc w:val="both"/>
        <w:rPr>
          <w:rFonts w:ascii="Times New Roman" w:eastAsia="Times New Roman" w:hAnsi="Times New Roman" w:cs="Calibri"/>
          <w:sz w:val="22"/>
          <w:szCs w:val="22"/>
        </w:rPr>
      </w:pPr>
      <w:r>
        <w:rPr>
          <w:rFonts w:ascii="Times New Roman" w:eastAsia="Times New Roman" w:hAnsi="Times New Roman" w:cs="Calibri"/>
          <w:sz w:val="22"/>
          <w:szCs w:val="22"/>
        </w:rPr>
        <w:lastRenderedPageBreak/>
        <w:t>A</w:t>
      </w:r>
      <w:r w:rsidR="00143E77" w:rsidRPr="00143E77">
        <w:rPr>
          <w:rFonts w:ascii="Times New Roman" w:eastAsia="Times New Roman" w:hAnsi="Times New Roman" w:cs="Calibri"/>
          <w:sz w:val="22"/>
          <w:szCs w:val="22"/>
        </w:rPr>
        <w:t>signa</w:t>
      </w:r>
      <w:r>
        <w:rPr>
          <w:rFonts w:ascii="Times New Roman" w:eastAsia="Times New Roman" w:hAnsi="Times New Roman" w:cs="Calibri"/>
          <w:sz w:val="22"/>
          <w:szCs w:val="22"/>
        </w:rPr>
        <w:t>ciones a los CODEDES p</w:t>
      </w:r>
      <w:r w:rsidR="00143E77" w:rsidRPr="00143E77">
        <w:rPr>
          <w:rFonts w:ascii="Times New Roman" w:eastAsia="Times New Roman" w:hAnsi="Times New Roman" w:cs="Calibri"/>
          <w:sz w:val="22"/>
          <w:szCs w:val="22"/>
          <w:lang w:val="es-ES_tradnl"/>
        </w:rPr>
        <w:t xml:space="preserve">ara la Gran Cruzada por la Nutrición, </w:t>
      </w:r>
      <w:r>
        <w:rPr>
          <w:rFonts w:ascii="Times New Roman" w:eastAsia="Times New Roman" w:hAnsi="Times New Roman" w:cs="Calibri"/>
          <w:sz w:val="22"/>
          <w:szCs w:val="22"/>
          <w:lang w:val="es-ES_tradnl"/>
        </w:rPr>
        <w:t xml:space="preserve">programa simbólico de la administración pública anterior </w:t>
      </w:r>
    </w:p>
    <w:p w14:paraId="658CDD76" w14:textId="524470DF" w:rsidR="00007301" w:rsidRDefault="00007301" w:rsidP="006029AA">
      <w:pPr>
        <w:numPr>
          <w:ilvl w:val="0"/>
          <w:numId w:val="27"/>
        </w:numPr>
        <w:ind w:left="567"/>
        <w:contextualSpacing/>
        <w:jc w:val="both"/>
        <w:rPr>
          <w:rFonts w:ascii="Times New Roman" w:eastAsia="Times New Roman" w:hAnsi="Times New Roman" w:cs="Calibri"/>
          <w:sz w:val="22"/>
          <w:szCs w:val="22"/>
        </w:rPr>
      </w:pPr>
      <w:r>
        <w:rPr>
          <w:rFonts w:ascii="Times New Roman" w:eastAsia="Times New Roman" w:hAnsi="Times New Roman" w:cs="Calibri"/>
          <w:sz w:val="22"/>
          <w:szCs w:val="22"/>
        </w:rPr>
        <w:t>Revisar</w:t>
      </w:r>
      <w:r w:rsidR="00143E77" w:rsidRPr="00143E77">
        <w:rPr>
          <w:rFonts w:ascii="Times New Roman" w:eastAsia="Times New Roman" w:hAnsi="Times New Roman" w:cs="Calibri"/>
          <w:sz w:val="22"/>
          <w:szCs w:val="22"/>
        </w:rPr>
        <w:t xml:space="preserve"> meta de recaudación para el 202</w:t>
      </w:r>
      <w:r>
        <w:rPr>
          <w:rFonts w:ascii="Times New Roman" w:eastAsia="Times New Roman" w:hAnsi="Times New Roman" w:cs="Calibri"/>
          <w:sz w:val="22"/>
          <w:szCs w:val="22"/>
        </w:rPr>
        <w:t>4</w:t>
      </w:r>
      <w:r w:rsidR="00E81B3F">
        <w:rPr>
          <w:rFonts w:ascii="Times New Roman" w:eastAsia="Times New Roman" w:hAnsi="Times New Roman" w:cs="Calibri"/>
          <w:sz w:val="22"/>
          <w:szCs w:val="22"/>
        </w:rPr>
        <w:t xml:space="preserve"> y </w:t>
      </w:r>
      <w:r w:rsidR="00785842">
        <w:rPr>
          <w:rFonts w:ascii="Times New Roman" w:eastAsia="Times New Roman" w:hAnsi="Times New Roman" w:cs="Calibri"/>
          <w:sz w:val="22"/>
          <w:szCs w:val="22"/>
        </w:rPr>
        <w:t xml:space="preserve">evaluar la necesidad de solicitar un </w:t>
      </w:r>
      <w:r w:rsidR="00E81B3F">
        <w:rPr>
          <w:rFonts w:ascii="Times New Roman" w:eastAsia="Times New Roman" w:hAnsi="Times New Roman" w:cs="Calibri"/>
          <w:sz w:val="22"/>
          <w:szCs w:val="22"/>
        </w:rPr>
        <w:t>aument</w:t>
      </w:r>
      <w:r w:rsidR="00884E99">
        <w:rPr>
          <w:rFonts w:ascii="Times New Roman" w:eastAsia="Times New Roman" w:hAnsi="Times New Roman" w:cs="Calibri"/>
          <w:sz w:val="22"/>
          <w:szCs w:val="22"/>
        </w:rPr>
        <w:t>o en</w:t>
      </w:r>
      <w:r w:rsidR="00E81B3F">
        <w:rPr>
          <w:rFonts w:ascii="Times New Roman" w:eastAsia="Times New Roman" w:hAnsi="Times New Roman" w:cs="Calibri"/>
          <w:sz w:val="22"/>
          <w:szCs w:val="22"/>
        </w:rPr>
        <w:t xml:space="preserve"> el techo presupuestario de los ingresos tributarios</w:t>
      </w:r>
    </w:p>
    <w:p w14:paraId="459ED6A9" w14:textId="40A46BA4" w:rsidR="00007301" w:rsidRDefault="00007301" w:rsidP="006029AA">
      <w:pPr>
        <w:numPr>
          <w:ilvl w:val="0"/>
          <w:numId w:val="27"/>
        </w:numPr>
        <w:ind w:left="567"/>
        <w:contextualSpacing/>
        <w:jc w:val="both"/>
        <w:rPr>
          <w:rFonts w:ascii="Times New Roman" w:eastAsia="Times New Roman" w:hAnsi="Times New Roman" w:cs="Calibri"/>
          <w:sz w:val="22"/>
          <w:szCs w:val="22"/>
        </w:rPr>
      </w:pPr>
      <w:r>
        <w:rPr>
          <w:rFonts w:ascii="Times New Roman" w:eastAsia="Times New Roman" w:hAnsi="Times New Roman" w:cs="Calibri"/>
          <w:sz w:val="22"/>
          <w:szCs w:val="22"/>
        </w:rPr>
        <w:t xml:space="preserve">Revisar el gasto relacionado al desarrollo de capacidades institucionales en entidades del sector justicia </w:t>
      </w:r>
    </w:p>
    <w:p w14:paraId="16E62CB0" w14:textId="029D0CC5" w:rsidR="00007301" w:rsidRDefault="00007301" w:rsidP="006029AA">
      <w:pPr>
        <w:numPr>
          <w:ilvl w:val="0"/>
          <w:numId w:val="27"/>
        </w:numPr>
        <w:ind w:left="567"/>
        <w:contextualSpacing/>
        <w:jc w:val="both"/>
        <w:rPr>
          <w:rFonts w:ascii="Times New Roman" w:eastAsia="Times New Roman" w:hAnsi="Times New Roman" w:cs="Calibri"/>
          <w:sz w:val="22"/>
          <w:szCs w:val="22"/>
        </w:rPr>
      </w:pPr>
      <w:r w:rsidRPr="00E81B3F">
        <w:rPr>
          <w:rFonts w:ascii="Times New Roman" w:eastAsia="Times New Roman" w:hAnsi="Times New Roman" w:cs="Calibri"/>
          <w:sz w:val="22"/>
          <w:szCs w:val="22"/>
        </w:rPr>
        <w:t>Revisa</w:t>
      </w:r>
      <w:r w:rsidR="00E81B3F">
        <w:rPr>
          <w:rFonts w:ascii="Times New Roman" w:eastAsia="Times New Roman" w:hAnsi="Times New Roman" w:cs="Calibri"/>
          <w:sz w:val="22"/>
          <w:szCs w:val="22"/>
        </w:rPr>
        <w:t>r la asignación correspondiente al costo de la política monetaria</w:t>
      </w:r>
      <w:r w:rsidR="00AE055B">
        <w:rPr>
          <w:rFonts w:ascii="Times New Roman" w:eastAsia="Times New Roman" w:hAnsi="Times New Roman" w:cs="Calibri"/>
          <w:sz w:val="22"/>
          <w:szCs w:val="22"/>
        </w:rPr>
        <w:t>, cambiar</w:t>
      </w:r>
      <w:r w:rsidR="002E5F74">
        <w:rPr>
          <w:rFonts w:ascii="Times New Roman" w:eastAsia="Times New Roman" w:hAnsi="Times New Roman" w:cs="Calibri"/>
          <w:sz w:val="22"/>
          <w:szCs w:val="22"/>
        </w:rPr>
        <w:t>ia</w:t>
      </w:r>
      <w:r w:rsidR="00AE055B">
        <w:rPr>
          <w:rFonts w:ascii="Times New Roman" w:eastAsia="Times New Roman" w:hAnsi="Times New Roman" w:cs="Calibri"/>
          <w:sz w:val="22"/>
          <w:szCs w:val="22"/>
        </w:rPr>
        <w:t xml:space="preserve"> y crediticia</w:t>
      </w:r>
      <w:r w:rsidR="00E81B3F">
        <w:rPr>
          <w:rFonts w:ascii="Times New Roman" w:eastAsia="Times New Roman" w:hAnsi="Times New Roman" w:cs="Calibri"/>
          <w:sz w:val="22"/>
          <w:szCs w:val="22"/>
        </w:rPr>
        <w:t>, dado que es bastante inferior (Q54.5 millones), a la que en realidad correspondería amortizar (Q2,474.0 millones)</w:t>
      </w:r>
    </w:p>
    <w:p w14:paraId="04637339" w14:textId="66A9EDE3" w:rsidR="00153D22" w:rsidRPr="00E81B3F" w:rsidRDefault="00153D22" w:rsidP="006029AA">
      <w:pPr>
        <w:numPr>
          <w:ilvl w:val="0"/>
          <w:numId w:val="27"/>
        </w:numPr>
        <w:ind w:left="567"/>
        <w:contextualSpacing/>
        <w:jc w:val="both"/>
        <w:rPr>
          <w:rFonts w:ascii="Times New Roman" w:eastAsia="Times New Roman" w:hAnsi="Times New Roman" w:cs="Calibri"/>
          <w:sz w:val="22"/>
          <w:szCs w:val="22"/>
        </w:rPr>
      </w:pPr>
      <w:r>
        <w:rPr>
          <w:rFonts w:ascii="Times New Roman" w:eastAsia="Times New Roman" w:hAnsi="Times New Roman" w:cs="Calibri"/>
          <w:sz w:val="22"/>
          <w:szCs w:val="22"/>
        </w:rPr>
        <w:t>Revisar el pago del servicio de la deuda pública ya que</w:t>
      </w:r>
      <w:r w:rsidR="00DD1053">
        <w:rPr>
          <w:rFonts w:ascii="Times New Roman" w:eastAsia="Times New Roman" w:hAnsi="Times New Roman" w:cs="Calibri"/>
          <w:sz w:val="22"/>
          <w:szCs w:val="22"/>
        </w:rPr>
        <w:t>,</w:t>
      </w:r>
      <w:r>
        <w:rPr>
          <w:rFonts w:ascii="Times New Roman" w:eastAsia="Times New Roman" w:hAnsi="Times New Roman" w:cs="Calibri"/>
          <w:sz w:val="22"/>
          <w:szCs w:val="22"/>
        </w:rPr>
        <w:t xml:space="preserve"> con el aumento en el saldo de la deuda y el aumento en las tasas de interés en los mercados, </w:t>
      </w:r>
      <w:r w:rsidR="000824CF">
        <w:rPr>
          <w:rFonts w:ascii="Times New Roman" w:eastAsia="Times New Roman" w:hAnsi="Times New Roman" w:cs="Calibri"/>
          <w:sz w:val="22"/>
          <w:szCs w:val="22"/>
        </w:rPr>
        <w:t>será necesario aumentar el presupuesto en dicho rubro.</w:t>
      </w:r>
    </w:p>
    <w:p w14:paraId="184D9B9C" w14:textId="77777777" w:rsidR="00143E77" w:rsidRPr="00143E77" w:rsidRDefault="00143E77" w:rsidP="006029AA">
      <w:pPr>
        <w:contextualSpacing/>
        <w:jc w:val="both"/>
        <w:rPr>
          <w:rFonts w:ascii="Times New Roman" w:eastAsia="Times New Roman" w:hAnsi="Times New Roman" w:cs="Calibri"/>
          <w:sz w:val="22"/>
          <w:szCs w:val="22"/>
        </w:rPr>
      </w:pPr>
    </w:p>
    <w:p w14:paraId="06CDA967" w14:textId="4EB1A012" w:rsidR="00143E77" w:rsidRPr="006029AA" w:rsidRDefault="006029AA" w:rsidP="006029AA">
      <w:pPr>
        <w:pStyle w:val="Descripcin"/>
        <w:keepNext/>
        <w:spacing w:after="0"/>
        <w:jc w:val="center"/>
        <w:rPr>
          <w:sz w:val="22"/>
          <w:szCs w:val="22"/>
        </w:rPr>
      </w:pPr>
      <w:bookmarkStart w:id="189" w:name="_Toc125534816"/>
      <w:bookmarkStart w:id="190" w:name="_Toc160196930"/>
      <w:r w:rsidRPr="006029AA">
        <w:rPr>
          <w:sz w:val="22"/>
          <w:szCs w:val="22"/>
        </w:rPr>
        <w:t xml:space="preserve">Tabla </w:t>
      </w:r>
      <w:r w:rsidRPr="006029AA">
        <w:rPr>
          <w:sz w:val="22"/>
          <w:szCs w:val="22"/>
        </w:rPr>
        <w:fldChar w:fldCharType="begin"/>
      </w:r>
      <w:r w:rsidRPr="006029AA">
        <w:rPr>
          <w:sz w:val="22"/>
          <w:szCs w:val="22"/>
        </w:rPr>
        <w:instrText xml:space="preserve"> SEQ Tabla \* ARABIC </w:instrText>
      </w:r>
      <w:r w:rsidRPr="006029AA">
        <w:rPr>
          <w:sz w:val="22"/>
          <w:szCs w:val="22"/>
        </w:rPr>
        <w:fldChar w:fldCharType="separate"/>
      </w:r>
      <w:r w:rsidR="00C015DC">
        <w:rPr>
          <w:noProof/>
          <w:sz w:val="22"/>
          <w:szCs w:val="22"/>
        </w:rPr>
        <w:t>15</w:t>
      </w:r>
      <w:r w:rsidRPr="006029AA">
        <w:rPr>
          <w:sz w:val="22"/>
          <w:szCs w:val="22"/>
        </w:rPr>
        <w:fldChar w:fldCharType="end"/>
      </w:r>
      <w:r w:rsidRPr="006029AA">
        <w:rPr>
          <w:sz w:val="22"/>
          <w:szCs w:val="22"/>
        </w:rPr>
        <w:t xml:space="preserve">.  </w:t>
      </w:r>
      <w:r w:rsidR="00143E77" w:rsidRPr="006029AA">
        <w:rPr>
          <w:rFonts w:eastAsia="Times New Roman" w:cs="Calibri"/>
          <w:sz w:val="22"/>
          <w:szCs w:val="22"/>
        </w:rPr>
        <w:t xml:space="preserve">Situación Financiera </w:t>
      </w:r>
      <w:r w:rsidR="00B56C22" w:rsidRPr="006029AA">
        <w:rPr>
          <w:rFonts w:eastAsia="Times New Roman" w:cs="Calibri"/>
          <w:sz w:val="22"/>
          <w:szCs w:val="22"/>
        </w:rPr>
        <w:t xml:space="preserve">Presupuesto Vigente </w:t>
      </w:r>
      <w:r w:rsidR="00143E77" w:rsidRPr="006029AA">
        <w:rPr>
          <w:rFonts w:eastAsia="Times New Roman" w:cs="Calibri"/>
          <w:sz w:val="22"/>
          <w:szCs w:val="22"/>
        </w:rPr>
        <w:t>202</w:t>
      </w:r>
      <w:bookmarkEnd w:id="189"/>
      <w:r w:rsidR="00B56C22" w:rsidRPr="006029AA">
        <w:rPr>
          <w:rFonts w:eastAsia="Times New Roman" w:cs="Calibri"/>
          <w:sz w:val="22"/>
          <w:szCs w:val="22"/>
        </w:rPr>
        <w:t>4</w:t>
      </w:r>
      <w:bookmarkEnd w:id="190"/>
    </w:p>
    <w:p w14:paraId="1AE88559" w14:textId="77777777" w:rsidR="00143E77" w:rsidRPr="00143E77" w:rsidRDefault="00143E77" w:rsidP="00143E77">
      <w:pPr>
        <w:spacing w:line="276" w:lineRule="auto"/>
        <w:contextualSpacing/>
        <w:jc w:val="center"/>
        <w:rPr>
          <w:rFonts w:ascii="Times New Roman" w:eastAsia="Times New Roman" w:hAnsi="Times New Roman" w:cs="Calibri"/>
          <w:sz w:val="22"/>
          <w:szCs w:val="22"/>
        </w:rPr>
      </w:pPr>
      <w:r w:rsidRPr="00143E77">
        <w:rPr>
          <w:rFonts w:ascii="Times New Roman" w:eastAsia="Times New Roman" w:hAnsi="Times New Roman" w:cs="Calibri"/>
          <w:sz w:val="22"/>
          <w:szCs w:val="22"/>
        </w:rPr>
        <w:t>Millones de quetzales y porcentajes</w:t>
      </w:r>
    </w:p>
    <w:tbl>
      <w:tblPr>
        <w:tblW w:w="7220" w:type="dxa"/>
        <w:jc w:val="center"/>
        <w:tblCellMar>
          <w:left w:w="70" w:type="dxa"/>
          <w:right w:w="70" w:type="dxa"/>
        </w:tblCellMar>
        <w:tblLook w:val="04A0" w:firstRow="1" w:lastRow="0" w:firstColumn="1" w:lastColumn="0" w:noHBand="0" w:noVBand="1"/>
      </w:tblPr>
      <w:tblGrid>
        <w:gridCol w:w="3680"/>
        <w:gridCol w:w="1880"/>
        <w:gridCol w:w="1660"/>
      </w:tblGrid>
      <w:tr w:rsidR="00143E77" w:rsidRPr="00143E77" w14:paraId="2C9BC91C" w14:textId="77777777" w:rsidTr="00BC10AA">
        <w:trPr>
          <w:trHeight w:val="585"/>
          <w:jc w:val="center"/>
        </w:trPr>
        <w:tc>
          <w:tcPr>
            <w:tcW w:w="3680" w:type="dxa"/>
            <w:tcBorders>
              <w:top w:val="single" w:sz="4" w:space="0" w:color="auto"/>
              <w:left w:val="single" w:sz="8" w:space="0" w:color="000000"/>
              <w:bottom w:val="single" w:sz="8" w:space="0" w:color="000000"/>
              <w:right w:val="single" w:sz="8" w:space="0" w:color="000000"/>
            </w:tcBorders>
            <w:shd w:val="clear" w:color="000000" w:fill="ACB9CA"/>
            <w:vAlign w:val="center"/>
            <w:hideMark/>
          </w:tcPr>
          <w:p w14:paraId="65507242" w14:textId="77777777" w:rsidR="00143E77" w:rsidRPr="00143E77" w:rsidRDefault="00143E77" w:rsidP="00143E77">
            <w:pPr>
              <w:spacing w:line="276" w:lineRule="auto"/>
              <w:contextualSpacing/>
              <w:jc w:val="center"/>
              <w:rPr>
                <w:rFonts w:ascii="Times New Roman" w:eastAsia="Times New Roman" w:hAnsi="Times New Roman" w:cs="Calibri"/>
                <w:b/>
                <w:bCs/>
                <w:sz w:val="20"/>
                <w:szCs w:val="22"/>
                <w:lang w:eastAsia="es-GT"/>
              </w:rPr>
            </w:pPr>
            <w:r w:rsidRPr="00143E77">
              <w:rPr>
                <w:rFonts w:ascii="Times New Roman" w:eastAsia="Times New Roman" w:hAnsi="Times New Roman" w:cs="Calibri"/>
                <w:b/>
                <w:bCs/>
                <w:sz w:val="20"/>
                <w:szCs w:val="22"/>
                <w:lang w:eastAsia="es-GT"/>
              </w:rPr>
              <w:t>Descripción</w:t>
            </w:r>
          </w:p>
        </w:tc>
        <w:tc>
          <w:tcPr>
            <w:tcW w:w="1880" w:type="dxa"/>
            <w:tcBorders>
              <w:top w:val="single" w:sz="4" w:space="0" w:color="auto"/>
              <w:left w:val="nil"/>
              <w:bottom w:val="single" w:sz="8" w:space="0" w:color="000000"/>
              <w:right w:val="single" w:sz="8" w:space="0" w:color="000000"/>
            </w:tcBorders>
            <w:shd w:val="clear" w:color="000000" w:fill="ACB9CA"/>
            <w:vAlign w:val="center"/>
            <w:hideMark/>
          </w:tcPr>
          <w:p w14:paraId="5A3C4064" w14:textId="77777777" w:rsidR="00143E77" w:rsidRPr="00143E77" w:rsidRDefault="00143E77" w:rsidP="00143E77">
            <w:pPr>
              <w:spacing w:line="276" w:lineRule="auto"/>
              <w:contextualSpacing/>
              <w:jc w:val="center"/>
              <w:rPr>
                <w:rFonts w:ascii="Times New Roman" w:eastAsia="Times New Roman" w:hAnsi="Times New Roman" w:cs="Calibri"/>
                <w:b/>
                <w:bCs/>
                <w:sz w:val="20"/>
                <w:szCs w:val="22"/>
                <w:lang w:eastAsia="es-GT"/>
              </w:rPr>
            </w:pPr>
            <w:r w:rsidRPr="00143E77">
              <w:rPr>
                <w:rFonts w:ascii="Times New Roman" w:eastAsia="Times New Roman" w:hAnsi="Times New Roman" w:cs="Calibri"/>
                <w:b/>
                <w:bCs/>
                <w:sz w:val="20"/>
                <w:szCs w:val="22"/>
                <w:lang w:eastAsia="es-GT"/>
              </w:rPr>
              <w:t>Millones de Quetzales</w:t>
            </w:r>
          </w:p>
        </w:tc>
        <w:tc>
          <w:tcPr>
            <w:tcW w:w="1660" w:type="dxa"/>
            <w:tcBorders>
              <w:top w:val="single" w:sz="4" w:space="0" w:color="auto"/>
              <w:left w:val="nil"/>
              <w:bottom w:val="single" w:sz="8" w:space="0" w:color="000000"/>
              <w:right w:val="single" w:sz="8" w:space="0" w:color="000000"/>
            </w:tcBorders>
            <w:shd w:val="clear" w:color="000000" w:fill="ACB9CA"/>
            <w:vAlign w:val="center"/>
            <w:hideMark/>
          </w:tcPr>
          <w:p w14:paraId="547F242E" w14:textId="77777777" w:rsidR="00143E77" w:rsidRPr="00143E77" w:rsidRDefault="00143E77" w:rsidP="00143E77">
            <w:pPr>
              <w:spacing w:line="276" w:lineRule="auto"/>
              <w:contextualSpacing/>
              <w:jc w:val="center"/>
              <w:rPr>
                <w:rFonts w:ascii="Times New Roman" w:eastAsia="Times New Roman" w:hAnsi="Times New Roman" w:cs="Calibri"/>
                <w:b/>
                <w:bCs/>
                <w:sz w:val="20"/>
                <w:szCs w:val="22"/>
                <w:lang w:eastAsia="es-GT"/>
              </w:rPr>
            </w:pPr>
            <w:r w:rsidRPr="00143E77">
              <w:rPr>
                <w:rFonts w:ascii="Times New Roman" w:eastAsia="Times New Roman" w:hAnsi="Times New Roman" w:cs="Calibri"/>
                <w:b/>
                <w:bCs/>
                <w:sz w:val="20"/>
                <w:szCs w:val="22"/>
                <w:lang w:eastAsia="es-GT"/>
              </w:rPr>
              <w:t>Porcentajes del PIB</w:t>
            </w:r>
          </w:p>
        </w:tc>
      </w:tr>
      <w:tr w:rsidR="00143E77" w:rsidRPr="00143E77" w14:paraId="4A3ACE43" w14:textId="77777777" w:rsidTr="00BC10AA">
        <w:trPr>
          <w:trHeight w:val="300"/>
          <w:jc w:val="center"/>
        </w:trPr>
        <w:tc>
          <w:tcPr>
            <w:tcW w:w="3680" w:type="dxa"/>
            <w:tcBorders>
              <w:top w:val="nil"/>
              <w:left w:val="single" w:sz="8" w:space="0" w:color="000000"/>
              <w:bottom w:val="nil"/>
              <w:right w:val="single" w:sz="8" w:space="0" w:color="000000"/>
            </w:tcBorders>
            <w:vAlign w:val="center"/>
            <w:hideMark/>
          </w:tcPr>
          <w:p w14:paraId="6F7F0D30" w14:textId="77777777" w:rsidR="00143E77" w:rsidRPr="00143E77" w:rsidRDefault="00143E77" w:rsidP="00143E77">
            <w:pPr>
              <w:spacing w:line="276" w:lineRule="auto"/>
              <w:contextualSpacing/>
              <w:rPr>
                <w:rFonts w:ascii="Times New Roman" w:eastAsia="Times New Roman" w:hAnsi="Times New Roman" w:cs="Calibri"/>
                <w:sz w:val="20"/>
                <w:szCs w:val="22"/>
                <w:lang w:eastAsia="es-GT"/>
              </w:rPr>
            </w:pPr>
            <w:r w:rsidRPr="00143E77">
              <w:rPr>
                <w:rFonts w:ascii="Times New Roman" w:eastAsia="Times New Roman" w:hAnsi="Times New Roman" w:cs="Calibri"/>
                <w:sz w:val="20"/>
                <w:szCs w:val="22"/>
                <w:lang w:eastAsia="es-GT"/>
              </w:rPr>
              <w:t>Ingresos Totales</w:t>
            </w:r>
          </w:p>
        </w:tc>
        <w:tc>
          <w:tcPr>
            <w:tcW w:w="1880" w:type="dxa"/>
            <w:tcBorders>
              <w:top w:val="nil"/>
              <w:left w:val="nil"/>
              <w:bottom w:val="nil"/>
              <w:right w:val="single" w:sz="8" w:space="0" w:color="000000"/>
            </w:tcBorders>
            <w:vAlign w:val="center"/>
            <w:hideMark/>
          </w:tcPr>
          <w:p w14:paraId="7829D85B" w14:textId="77777777" w:rsidR="00143E77" w:rsidRPr="00143E77" w:rsidRDefault="00143E77" w:rsidP="00143E77">
            <w:pPr>
              <w:spacing w:line="276" w:lineRule="auto"/>
              <w:contextualSpacing/>
              <w:jc w:val="center"/>
              <w:rPr>
                <w:rFonts w:ascii="Times New Roman" w:eastAsia="Times New Roman" w:hAnsi="Times New Roman" w:cs="Calibri"/>
                <w:sz w:val="20"/>
                <w:szCs w:val="22"/>
                <w:lang w:eastAsia="es-GT"/>
              </w:rPr>
            </w:pPr>
            <w:r w:rsidRPr="00143E77">
              <w:rPr>
                <w:rFonts w:ascii="Times New Roman" w:eastAsia="Times New Roman" w:hAnsi="Times New Roman" w:cs="Calibri"/>
                <w:sz w:val="20"/>
                <w:szCs w:val="22"/>
                <w:lang w:eastAsia="es-GT"/>
              </w:rPr>
              <w:t>91,094.0</w:t>
            </w:r>
          </w:p>
        </w:tc>
        <w:tc>
          <w:tcPr>
            <w:tcW w:w="1660" w:type="dxa"/>
            <w:tcBorders>
              <w:top w:val="nil"/>
              <w:left w:val="nil"/>
              <w:bottom w:val="nil"/>
              <w:right w:val="single" w:sz="8" w:space="0" w:color="000000"/>
            </w:tcBorders>
            <w:vAlign w:val="center"/>
            <w:hideMark/>
          </w:tcPr>
          <w:p w14:paraId="785E06E1" w14:textId="0152E062" w:rsidR="00143E77" w:rsidRPr="00143E77" w:rsidRDefault="00143E77" w:rsidP="00143E77">
            <w:pPr>
              <w:spacing w:line="276" w:lineRule="auto"/>
              <w:contextualSpacing/>
              <w:jc w:val="center"/>
              <w:rPr>
                <w:rFonts w:ascii="Times New Roman" w:eastAsia="Times New Roman" w:hAnsi="Times New Roman" w:cs="Calibri"/>
                <w:sz w:val="20"/>
                <w:szCs w:val="22"/>
                <w:lang w:eastAsia="es-GT"/>
              </w:rPr>
            </w:pPr>
            <w:r w:rsidRPr="00143E77">
              <w:rPr>
                <w:rFonts w:ascii="Times New Roman" w:eastAsia="Times New Roman" w:hAnsi="Times New Roman" w:cs="Calibri"/>
                <w:sz w:val="20"/>
                <w:szCs w:val="22"/>
                <w:lang w:eastAsia="es-GT"/>
              </w:rPr>
              <w:t>1</w:t>
            </w:r>
            <w:r w:rsidR="001B500D">
              <w:rPr>
                <w:rFonts w:ascii="Times New Roman" w:eastAsia="Times New Roman" w:hAnsi="Times New Roman" w:cs="Calibri"/>
                <w:sz w:val="20"/>
                <w:szCs w:val="22"/>
                <w:lang w:eastAsia="es-GT"/>
              </w:rPr>
              <w:t>0.7</w:t>
            </w:r>
          </w:p>
        </w:tc>
      </w:tr>
      <w:tr w:rsidR="00143E77" w:rsidRPr="00143E77" w14:paraId="1050770E" w14:textId="77777777" w:rsidTr="00BC10AA">
        <w:trPr>
          <w:trHeight w:val="300"/>
          <w:jc w:val="center"/>
        </w:trPr>
        <w:tc>
          <w:tcPr>
            <w:tcW w:w="3680" w:type="dxa"/>
            <w:tcBorders>
              <w:top w:val="nil"/>
              <w:left w:val="single" w:sz="8" w:space="0" w:color="000000"/>
              <w:bottom w:val="nil"/>
              <w:right w:val="single" w:sz="8" w:space="0" w:color="000000"/>
            </w:tcBorders>
            <w:vAlign w:val="center"/>
            <w:hideMark/>
          </w:tcPr>
          <w:p w14:paraId="4D07C92A" w14:textId="77777777" w:rsidR="00143E77" w:rsidRPr="00143E77" w:rsidRDefault="00143E77" w:rsidP="00143E77">
            <w:pPr>
              <w:spacing w:line="276" w:lineRule="auto"/>
              <w:ind w:firstLineChars="200" w:firstLine="400"/>
              <w:contextualSpacing/>
              <w:rPr>
                <w:rFonts w:ascii="Times New Roman" w:eastAsia="Times New Roman" w:hAnsi="Times New Roman" w:cs="Calibri"/>
                <w:sz w:val="20"/>
                <w:szCs w:val="22"/>
                <w:lang w:eastAsia="es-GT"/>
              </w:rPr>
            </w:pPr>
            <w:r w:rsidRPr="00143E77">
              <w:rPr>
                <w:rFonts w:ascii="Times New Roman" w:eastAsia="Times New Roman" w:hAnsi="Times New Roman" w:cs="Calibri"/>
                <w:sz w:val="20"/>
                <w:szCs w:val="22"/>
                <w:lang w:eastAsia="es-GT"/>
              </w:rPr>
              <w:t>Ingresos Corrientes</w:t>
            </w:r>
          </w:p>
        </w:tc>
        <w:tc>
          <w:tcPr>
            <w:tcW w:w="1880" w:type="dxa"/>
            <w:tcBorders>
              <w:top w:val="nil"/>
              <w:left w:val="nil"/>
              <w:bottom w:val="nil"/>
              <w:right w:val="single" w:sz="8" w:space="0" w:color="000000"/>
            </w:tcBorders>
            <w:vAlign w:val="center"/>
            <w:hideMark/>
          </w:tcPr>
          <w:p w14:paraId="3EBD2E85" w14:textId="77777777" w:rsidR="00143E77" w:rsidRPr="00143E77" w:rsidRDefault="00143E77" w:rsidP="00143E77">
            <w:pPr>
              <w:spacing w:line="276" w:lineRule="auto"/>
              <w:contextualSpacing/>
              <w:jc w:val="center"/>
              <w:rPr>
                <w:rFonts w:ascii="Times New Roman" w:eastAsia="Times New Roman" w:hAnsi="Times New Roman" w:cs="Calibri"/>
                <w:sz w:val="20"/>
                <w:szCs w:val="22"/>
                <w:lang w:eastAsia="es-GT"/>
              </w:rPr>
            </w:pPr>
            <w:r w:rsidRPr="00143E77">
              <w:rPr>
                <w:rFonts w:ascii="Times New Roman" w:eastAsia="Times New Roman" w:hAnsi="Times New Roman" w:cs="Calibri"/>
                <w:sz w:val="20"/>
                <w:szCs w:val="22"/>
                <w:lang w:eastAsia="es-GT"/>
              </w:rPr>
              <w:t>90,971.8</w:t>
            </w:r>
          </w:p>
        </w:tc>
        <w:tc>
          <w:tcPr>
            <w:tcW w:w="1660" w:type="dxa"/>
            <w:tcBorders>
              <w:top w:val="nil"/>
              <w:left w:val="nil"/>
              <w:bottom w:val="nil"/>
              <w:right w:val="single" w:sz="8" w:space="0" w:color="000000"/>
            </w:tcBorders>
            <w:vAlign w:val="center"/>
            <w:hideMark/>
          </w:tcPr>
          <w:p w14:paraId="7AAE6B1F" w14:textId="30FF6B19" w:rsidR="00143E77" w:rsidRPr="00143E77" w:rsidRDefault="00143E77" w:rsidP="00143E77">
            <w:pPr>
              <w:spacing w:line="276" w:lineRule="auto"/>
              <w:contextualSpacing/>
              <w:jc w:val="center"/>
              <w:rPr>
                <w:rFonts w:ascii="Times New Roman" w:eastAsia="Times New Roman" w:hAnsi="Times New Roman" w:cs="Calibri"/>
                <w:sz w:val="20"/>
                <w:szCs w:val="22"/>
                <w:lang w:eastAsia="es-GT"/>
              </w:rPr>
            </w:pPr>
            <w:r w:rsidRPr="00143E77">
              <w:rPr>
                <w:rFonts w:ascii="Times New Roman" w:eastAsia="Times New Roman" w:hAnsi="Times New Roman" w:cs="Calibri"/>
                <w:sz w:val="20"/>
                <w:szCs w:val="22"/>
                <w:lang w:eastAsia="es-GT"/>
              </w:rPr>
              <w:t>1</w:t>
            </w:r>
            <w:r w:rsidR="001B500D">
              <w:rPr>
                <w:rFonts w:ascii="Times New Roman" w:eastAsia="Times New Roman" w:hAnsi="Times New Roman" w:cs="Calibri"/>
                <w:sz w:val="20"/>
                <w:szCs w:val="22"/>
                <w:lang w:eastAsia="es-GT"/>
              </w:rPr>
              <w:t>0.7</w:t>
            </w:r>
          </w:p>
        </w:tc>
      </w:tr>
      <w:tr w:rsidR="00143E77" w:rsidRPr="00143E77" w14:paraId="274B7D8B" w14:textId="77777777" w:rsidTr="00BC10AA">
        <w:trPr>
          <w:trHeight w:val="300"/>
          <w:jc w:val="center"/>
        </w:trPr>
        <w:tc>
          <w:tcPr>
            <w:tcW w:w="3680" w:type="dxa"/>
            <w:tcBorders>
              <w:top w:val="nil"/>
              <w:left w:val="single" w:sz="8" w:space="0" w:color="000000"/>
              <w:bottom w:val="nil"/>
              <w:right w:val="single" w:sz="8" w:space="0" w:color="000000"/>
            </w:tcBorders>
            <w:vAlign w:val="center"/>
            <w:hideMark/>
          </w:tcPr>
          <w:p w14:paraId="79F4120C" w14:textId="77777777" w:rsidR="00143E77" w:rsidRPr="00143E77" w:rsidRDefault="00143E77" w:rsidP="00143E77">
            <w:pPr>
              <w:spacing w:line="276" w:lineRule="auto"/>
              <w:contextualSpacing/>
              <w:rPr>
                <w:rFonts w:ascii="Times New Roman" w:eastAsia="Times New Roman" w:hAnsi="Times New Roman" w:cs="Calibri"/>
                <w:sz w:val="20"/>
                <w:szCs w:val="22"/>
                <w:lang w:eastAsia="es-GT"/>
              </w:rPr>
            </w:pPr>
            <w:r w:rsidRPr="00143E77">
              <w:rPr>
                <w:rFonts w:ascii="Times New Roman" w:eastAsia="Times New Roman" w:hAnsi="Times New Roman" w:cs="Calibri"/>
                <w:sz w:val="20"/>
                <w:szCs w:val="22"/>
                <w:lang w:eastAsia="es-GT"/>
              </w:rPr>
              <w:t xml:space="preserve">            Ingresos Tributarios </w:t>
            </w:r>
          </w:p>
        </w:tc>
        <w:tc>
          <w:tcPr>
            <w:tcW w:w="1880" w:type="dxa"/>
            <w:tcBorders>
              <w:top w:val="nil"/>
              <w:left w:val="nil"/>
              <w:bottom w:val="nil"/>
              <w:right w:val="single" w:sz="8" w:space="0" w:color="000000"/>
            </w:tcBorders>
            <w:vAlign w:val="center"/>
            <w:hideMark/>
          </w:tcPr>
          <w:p w14:paraId="23655EE1" w14:textId="77777777" w:rsidR="00143E77" w:rsidRPr="00143E77" w:rsidRDefault="00143E77" w:rsidP="00143E77">
            <w:pPr>
              <w:spacing w:line="276" w:lineRule="auto"/>
              <w:contextualSpacing/>
              <w:jc w:val="center"/>
              <w:rPr>
                <w:rFonts w:ascii="Times New Roman" w:eastAsia="Times New Roman" w:hAnsi="Times New Roman" w:cs="Calibri"/>
                <w:sz w:val="20"/>
                <w:szCs w:val="22"/>
                <w:lang w:eastAsia="es-GT"/>
              </w:rPr>
            </w:pPr>
            <w:r w:rsidRPr="00143E77">
              <w:rPr>
                <w:rFonts w:ascii="Times New Roman" w:eastAsia="Times New Roman" w:hAnsi="Times New Roman" w:cs="Calibri"/>
                <w:sz w:val="20"/>
                <w:szCs w:val="22"/>
                <w:lang w:eastAsia="es-GT"/>
              </w:rPr>
              <w:t>86,247.6</w:t>
            </w:r>
          </w:p>
        </w:tc>
        <w:tc>
          <w:tcPr>
            <w:tcW w:w="1660" w:type="dxa"/>
            <w:tcBorders>
              <w:top w:val="nil"/>
              <w:left w:val="nil"/>
              <w:bottom w:val="nil"/>
              <w:right w:val="single" w:sz="8" w:space="0" w:color="000000"/>
            </w:tcBorders>
            <w:vAlign w:val="center"/>
            <w:hideMark/>
          </w:tcPr>
          <w:p w14:paraId="02F5B5C8" w14:textId="796A52A5" w:rsidR="00143E77" w:rsidRPr="00143E77" w:rsidRDefault="00143E77" w:rsidP="00143E77">
            <w:pPr>
              <w:spacing w:line="276" w:lineRule="auto"/>
              <w:contextualSpacing/>
              <w:jc w:val="center"/>
              <w:rPr>
                <w:rFonts w:ascii="Times New Roman" w:eastAsia="Times New Roman" w:hAnsi="Times New Roman" w:cs="Calibri"/>
                <w:sz w:val="20"/>
                <w:szCs w:val="22"/>
                <w:lang w:eastAsia="es-GT"/>
              </w:rPr>
            </w:pPr>
            <w:r w:rsidRPr="00143E77">
              <w:rPr>
                <w:rFonts w:ascii="Times New Roman" w:eastAsia="Times New Roman" w:hAnsi="Times New Roman" w:cs="Calibri"/>
                <w:sz w:val="20"/>
                <w:szCs w:val="22"/>
                <w:lang w:eastAsia="es-GT"/>
              </w:rPr>
              <w:t>10.</w:t>
            </w:r>
            <w:r w:rsidR="001B500D">
              <w:rPr>
                <w:rFonts w:ascii="Times New Roman" w:eastAsia="Times New Roman" w:hAnsi="Times New Roman" w:cs="Calibri"/>
                <w:sz w:val="20"/>
                <w:szCs w:val="22"/>
                <w:lang w:eastAsia="es-GT"/>
              </w:rPr>
              <w:t>1</w:t>
            </w:r>
          </w:p>
        </w:tc>
      </w:tr>
      <w:tr w:rsidR="00143E77" w:rsidRPr="00143E77" w14:paraId="5D1A4FB3" w14:textId="77777777" w:rsidTr="00BC10AA">
        <w:trPr>
          <w:trHeight w:val="300"/>
          <w:jc w:val="center"/>
        </w:trPr>
        <w:tc>
          <w:tcPr>
            <w:tcW w:w="3680" w:type="dxa"/>
            <w:tcBorders>
              <w:top w:val="nil"/>
              <w:left w:val="single" w:sz="8" w:space="0" w:color="000000"/>
              <w:bottom w:val="nil"/>
              <w:right w:val="single" w:sz="8" w:space="0" w:color="000000"/>
            </w:tcBorders>
            <w:vAlign w:val="center"/>
            <w:hideMark/>
          </w:tcPr>
          <w:p w14:paraId="161C06B5" w14:textId="77777777" w:rsidR="00143E77" w:rsidRPr="00143E77" w:rsidRDefault="00143E77" w:rsidP="00143E77">
            <w:pPr>
              <w:spacing w:line="276" w:lineRule="auto"/>
              <w:ind w:firstLineChars="100" w:firstLine="200"/>
              <w:contextualSpacing/>
              <w:rPr>
                <w:rFonts w:ascii="Times New Roman" w:eastAsia="Times New Roman" w:hAnsi="Times New Roman" w:cs="Calibri"/>
                <w:sz w:val="20"/>
                <w:szCs w:val="22"/>
                <w:lang w:eastAsia="es-GT"/>
              </w:rPr>
            </w:pPr>
            <w:r w:rsidRPr="00143E77">
              <w:rPr>
                <w:rFonts w:ascii="Times New Roman" w:eastAsia="Times New Roman" w:hAnsi="Times New Roman" w:cs="Calibri"/>
                <w:sz w:val="20"/>
                <w:szCs w:val="22"/>
                <w:lang w:eastAsia="es-GT"/>
              </w:rPr>
              <w:t>Gastos Totales</w:t>
            </w:r>
          </w:p>
        </w:tc>
        <w:tc>
          <w:tcPr>
            <w:tcW w:w="1880" w:type="dxa"/>
            <w:tcBorders>
              <w:top w:val="nil"/>
              <w:left w:val="nil"/>
              <w:bottom w:val="nil"/>
              <w:right w:val="single" w:sz="8" w:space="0" w:color="000000"/>
            </w:tcBorders>
            <w:vAlign w:val="center"/>
            <w:hideMark/>
          </w:tcPr>
          <w:p w14:paraId="4C3A03A0" w14:textId="1AA25D55" w:rsidR="00143E77" w:rsidRPr="00143E77" w:rsidRDefault="00143E77" w:rsidP="00143E77">
            <w:pPr>
              <w:spacing w:line="276" w:lineRule="auto"/>
              <w:contextualSpacing/>
              <w:jc w:val="center"/>
              <w:rPr>
                <w:rFonts w:ascii="Times New Roman" w:eastAsia="Times New Roman" w:hAnsi="Times New Roman" w:cs="Calibri"/>
                <w:sz w:val="20"/>
                <w:szCs w:val="22"/>
                <w:lang w:eastAsia="es-GT"/>
              </w:rPr>
            </w:pPr>
            <w:r w:rsidRPr="00143E77">
              <w:rPr>
                <w:rFonts w:ascii="Times New Roman" w:eastAsia="Times New Roman" w:hAnsi="Times New Roman" w:cs="Calibri"/>
                <w:sz w:val="20"/>
                <w:szCs w:val="22"/>
                <w:lang w:eastAsia="es-GT"/>
              </w:rPr>
              <w:t>111,</w:t>
            </w:r>
            <w:r w:rsidR="00E81B3F">
              <w:rPr>
                <w:rFonts w:ascii="Times New Roman" w:eastAsia="Times New Roman" w:hAnsi="Times New Roman" w:cs="Calibri"/>
                <w:sz w:val="20"/>
                <w:szCs w:val="22"/>
                <w:lang w:eastAsia="es-GT"/>
              </w:rPr>
              <w:t>701.8</w:t>
            </w:r>
          </w:p>
        </w:tc>
        <w:tc>
          <w:tcPr>
            <w:tcW w:w="1660" w:type="dxa"/>
            <w:tcBorders>
              <w:top w:val="nil"/>
              <w:left w:val="nil"/>
              <w:bottom w:val="nil"/>
              <w:right w:val="single" w:sz="8" w:space="0" w:color="000000"/>
            </w:tcBorders>
            <w:vAlign w:val="center"/>
            <w:hideMark/>
          </w:tcPr>
          <w:p w14:paraId="68AA01F7" w14:textId="638E97C9" w:rsidR="00143E77" w:rsidRPr="00143E77" w:rsidRDefault="00143E77" w:rsidP="00143E77">
            <w:pPr>
              <w:spacing w:line="276" w:lineRule="auto"/>
              <w:contextualSpacing/>
              <w:jc w:val="center"/>
              <w:rPr>
                <w:rFonts w:ascii="Times New Roman" w:eastAsia="Times New Roman" w:hAnsi="Times New Roman" w:cs="Calibri"/>
                <w:sz w:val="20"/>
                <w:szCs w:val="22"/>
                <w:lang w:eastAsia="es-GT"/>
              </w:rPr>
            </w:pPr>
            <w:r w:rsidRPr="00143E77">
              <w:rPr>
                <w:rFonts w:ascii="Times New Roman" w:eastAsia="Times New Roman" w:hAnsi="Times New Roman" w:cs="Calibri"/>
                <w:sz w:val="20"/>
                <w:szCs w:val="22"/>
                <w:lang w:eastAsia="es-GT"/>
              </w:rPr>
              <w:t>1</w:t>
            </w:r>
            <w:r w:rsidR="001B500D">
              <w:rPr>
                <w:rFonts w:ascii="Times New Roman" w:eastAsia="Times New Roman" w:hAnsi="Times New Roman" w:cs="Calibri"/>
                <w:sz w:val="20"/>
                <w:szCs w:val="22"/>
                <w:lang w:eastAsia="es-GT"/>
              </w:rPr>
              <w:t>3</w:t>
            </w:r>
            <w:r w:rsidRPr="00143E77">
              <w:rPr>
                <w:rFonts w:ascii="Times New Roman" w:eastAsia="Times New Roman" w:hAnsi="Times New Roman" w:cs="Calibri"/>
                <w:sz w:val="20"/>
                <w:szCs w:val="22"/>
                <w:lang w:eastAsia="es-GT"/>
              </w:rPr>
              <w:t>.</w:t>
            </w:r>
            <w:r w:rsidR="001B500D">
              <w:rPr>
                <w:rFonts w:ascii="Times New Roman" w:eastAsia="Times New Roman" w:hAnsi="Times New Roman" w:cs="Calibri"/>
                <w:sz w:val="20"/>
                <w:szCs w:val="22"/>
                <w:lang w:eastAsia="es-GT"/>
              </w:rPr>
              <w:t>1</w:t>
            </w:r>
          </w:p>
        </w:tc>
      </w:tr>
      <w:tr w:rsidR="00143E77" w:rsidRPr="00143E77" w14:paraId="48BC1BF3" w14:textId="77777777" w:rsidTr="00BC10AA">
        <w:trPr>
          <w:trHeight w:val="300"/>
          <w:jc w:val="center"/>
        </w:trPr>
        <w:tc>
          <w:tcPr>
            <w:tcW w:w="3680" w:type="dxa"/>
            <w:tcBorders>
              <w:top w:val="nil"/>
              <w:left w:val="single" w:sz="8" w:space="0" w:color="000000"/>
              <w:bottom w:val="nil"/>
              <w:right w:val="single" w:sz="8" w:space="0" w:color="000000"/>
            </w:tcBorders>
            <w:vAlign w:val="center"/>
            <w:hideMark/>
          </w:tcPr>
          <w:p w14:paraId="5570603D" w14:textId="77777777" w:rsidR="00143E77" w:rsidRPr="00143E77" w:rsidRDefault="00143E77" w:rsidP="00143E77">
            <w:pPr>
              <w:spacing w:line="276" w:lineRule="auto"/>
              <w:ind w:firstLineChars="200" w:firstLine="400"/>
              <w:contextualSpacing/>
              <w:rPr>
                <w:rFonts w:ascii="Times New Roman" w:eastAsia="Times New Roman" w:hAnsi="Times New Roman" w:cs="Calibri"/>
                <w:sz w:val="20"/>
                <w:szCs w:val="22"/>
                <w:lang w:eastAsia="es-GT"/>
              </w:rPr>
            </w:pPr>
            <w:r w:rsidRPr="00143E77">
              <w:rPr>
                <w:rFonts w:ascii="Times New Roman" w:eastAsia="Times New Roman" w:hAnsi="Times New Roman" w:cs="Calibri"/>
                <w:sz w:val="20"/>
                <w:szCs w:val="22"/>
                <w:lang w:eastAsia="es-GT"/>
              </w:rPr>
              <w:t>Gastos Corrientes</w:t>
            </w:r>
          </w:p>
        </w:tc>
        <w:tc>
          <w:tcPr>
            <w:tcW w:w="1880" w:type="dxa"/>
            <w:tcBorders>
              <w:top w:val="nil"/>
              <w:left w:val="nil"/>
              <w:bottom w:val="nil"/>
              <w:right w:val="single" w:sz="8" w:space="0" w:color="000000"/>
            </w:tcBorders>
            <w:vAlign w:val="center"/>
            <w:hideMark/>
          </w:tcPr>
          <w:p w14:paraId="5328F8AC" w14:textId="56498CE3" w:rsidR="00143E77" w:rsidRPr="00143E77" w:rsidRDefault="00143E77" w:rsidP="00143E77">
            <w:pPr>
              <w:spacing w:line="276" w:lineRule="auto"/>
              <w:contextualSpacing/>
              <w:jc w:val="center"/>
              <w:rPr>
                <w:rFonts w:ascii="Times New Roman" w:eastAsia="Times New Roman" w:hAnsi="Times New Roman" w:cs="Calibri"/>
                <w:sz w:val="20"/>
                <w:szCs w:val="22"/>
                <w:lang w:eastAsia="es-GT"/>
              </w:rPr>
            </w:pPr>
            <w:r w:rsidRPr="00143E77">
              <w:rPr>
                <w:rFonts w:ascii="Times New Roman" w:eastAsia="Times New Roman" w:hAnsi="Times New Roman" w:cs="Calibri"/>
                <w:sz w:val="20"/>
                <w:szCs w:val="22"/>
                <w:lang w:eastAsia="es-GT"/>
              </w:rPr>
              <w:t>9</w:t>
            </w:r>
            <w:r w:rsidR="00E81B3F">
              <w:rPr>
                <w:rFonts w:ascii="Times New Roman" w:eastAsia="Times New Roman" w:hAnsi="Times New Roman" w:cs="Calibri"/>
                <w:sz w:val="20"/>
                <w:szCs w:val="22"/>
                <w:lang w:eastAsia="es-GT"/>
              </w:rPr>
              <w:t>1</w:t>
            </w:r>
            <w:r w:rsidRPr="00143E77">
              <w:rPr>
                <w:rFonts w:ascii="Times New Roman" w:eastAsia="Times New Roman" w:hAnsi="Times New Roman" w:cs="Calibri"/>
                <w:sz w:val="20"/>
                <w:szCs w:val="22"/>
                <w:lang w:eastAsia="es-GT"/>
              </w:rPr>
              <w:t>,</w:t>
            </w:r>
            <w:r w:rsidR="00E81B3F">
              <w:rPr>
                <w:rFonts w:ascii="Times New Roman" w:eastAsia="Times New Roman" w:hAnsi="Times New Roman" w:cs="Calibri"/>
                <w:sz w:val="20"/>
                <w:szCs w:val="22"/>
                <w:lang w:eastAsia="es-GT"/>
              </w:rPr>
              <w:t>385.1</w:t>
            </w:r>
          </w:p>
        </w:tc>
        <w:tc>
          <w:tcPr>
            <w:tcW w:w="1660" w:type="dxa"/>
            <w:tcBorders>
              <w:top w:val="nil"/>
              <w:left w:val="nil"/>
              <w:bottom w:val="nil"/>
              <w:right w:val="single" w:sz="8" w:space="0" w:color="000000"/>
            </w:tcBorders>
            <w:vAlign w:val="center"/>
            <w:hideMark/>
          </w:tcPr>
          <w:p w14:paraId="65D8C9A1" w14:textId="2FEC1F9F" w:rsidR="00143E77" w:rsidRPr="00143E77" w:rsidRDefault="00143E77" w:rsidP="00143E77">
            <w:pPr>
              <w:spacing w:line="276" w:lineRule="auto"/>
              <w:contextualSpacing/>
              <w:jc w:val="center"/>
              <w:rPr>
                <w:rFonts w:ascii="Times New Roman" w:eastAsia="Times New Roman" w:hAnsi="Times New Roman" w:cs="Calibri"/>
                <w:sz w:val="20"/>
                <w:szCs w:val="22"/>
                <w:lang w:eastAsia="es-GT"/>
              </w:rPr>
            </w:pPr>
            <w:r w:rsidRPr="00143E77">
              <w:rPr>
                <w:rFonts w:ascii="Times New Roman" w:eastAsia="Times New Roman" w:hAnsi="Times New Roman" w:cs="Calibri"/>
                <w:sz w:val="20"/>
                <w:szCs w:val="22"/>
                <w:lang w:eastAsia="es-GT"/>
              </w:rPr>
              <w:t>1</w:t>
            </w:r>
            <w:r w:rsidR="001B500D">
              <w:rPr>
                <w:rFonts w:ascii="Times New Roman" w:eastAsia="Times New Roman" w:hAnsi="Times New Roman" w:cs="Calibri"/>
                <w:sz w:val="20"/>
                <w:szCs w:val="22"/>
                <w:lang w:eastAsia="es-GT"/>
              </w:rPr>
              <w:t>0.7</w:t>
            </w:r>
          </w:p>
        </w:tc>
      </w:tr>
      <w:tr w:rsidR="00143E77" w:rsidRPr="00143E77" w14:paraId="7E0ECD2D" w14:textId="77777777" w:rsidTr="00BC10AA">
        <w:trPr>
          <w:trHeight w:val="300"/>
          <w:jc w:val="center"/>
        </w:trPr>
        <w:tc>
          <w:tcPr>
            <w:tcW w:w="3680" w:type="dxa"/>
            <w:tcBorders>
              <w:top w:val="nil"/>
              <w:left w:val="single" w:sz="8" w:space="0" w:color="000000"/>
              <w:bottom w:val="nil"/>
              <w:right w:val="single" w:sz="8" w:space="0" w:color="000000"/>
            </w:tcBorders>
            <w:vAlign w:val="center"/>
            <w:hideMark/>
          </w:tcPr>
          <w:p w14:paraId="738919C8" w14:textId="77777777" w:rsidR="00143E77" w:rsidRPr="00143E77" w:rsidRDefault="00143E77" w:rsidP="00143E77">
            <w:pPr>
              <w:spacing w:line="276" w:lineRule="auto"/>
              <w:ind w:firstLineChars="200" w:firstLine="400"/>
              <w:contextualSpacing/>
              <w:rPr>
                <w:rFonts w:ascii="Times New Roman" w:eastAsia="Times New Roman" w:hAnsi="Times New Roman" w:cs="Calibri"/>
                <w:sz w:val="20"/>
                <w:szCs w:val="22"/>
                <w:lang w:eastAsia="es-GT"/>
              </w:rPr>
            </w:pPr>
            <w:r w:rsidRPr="00143E77">
              <w:rPr>
                <w:rFonts w:ascii="Times New Roman" w:eastAsia="Times New Roman" w:hAnsi="Times New Roman" w:cs="Calibri"/>
                <w:sz w:val="20"/>
                <w:szCs w:val="22"/>
                <w:lang w:eastAsia="es-GT"/>
              </w:rPr>
              <w:t xml:space="preserve">Gastos de Capital </w:t>
            </w:r>
          </w:p>
        </w:tc>
        <w:tc>
          <w:tcPr>
            <w:tcW w:w="1880" w:type="dxa"/>
            <w:tcBorders>
              <w:top w:val="nil"/>
              <w:left w:val="nil"/>
              <w:bottom w:val="nil"/>
              <w:right w:val="single" w:sz="8" w:space="0" w:color="000000"/>
            </w:tcBorders>
            <w:vAlign w:val="center"/>
            <w:hideMark/>
          </w:tcPr>
          <w:p w14:paraId="6DAF0C0F" w14:textId="711129CA" w:rsidR="00143E77" w:rsidRPr="00143E77" w:rsidRDefault="00143E77" w:rsidP="00143E77">
            <w:pPr>
              <w:spacing w:line="276" w:lineRule="auto"/>
              <w:contextualSpacing/>
              <w:jc w:val="center"/>
              <w:rPr>
                <w:rFonts w:ascii="Times New Roman" w:eastAsia="Times New Roman" w:hAnsi="Times New Roman" w:cs="Calibri"/>
                <w:sz w:val="20"/>
                <w:szCs w:val="22"/>
                <w:lang w:eastAsia="es-GT"/>
              </w:rPr>
            </w:pPr>
            <w:r w:rsidRPr="00143E77">
              <w:rPr>
                <w:rFonts w:ascii="Times New Roman" w:eastAsia="Times New Roman" w:hAnsi="Times New Roman" w:cs="Calibri"/>
                <w:sz w:val="20"/>
                <w:szCs w:val="22"/>
                <w:lang w:eastAsia="es-GT"/>
              </w:rPr>
              <w:t>20,316.</w:t>
            </w:r>
            <w:r w:rsidR="00E81B3F">
              <w:rPr>
                <w:rFonts w:ascii="Times New Roman" w:eastAsia="Times New Roman" w:hAnsi="Times New Roman" w:cs="Calibri"/>
                <w:sz w:val="20"/>
                <w:szCs w:val="22"/>
                <w:lang w:eastAsia="es-GT"/>
              </w:rPr>
              <w:t>7</w:t>
            </w:r>
          </w:p>
        </w:tc>
        <w:tc>
          <w:tcPr>
            <w:tcW w:w="1660" w:type="dxa"/>
            <w:tcBorders>
              <w:top w:val="nil"/>
              <w:left w:val="nil"/>
              <w:bottom w:val="nil"/>
              <w:right w:val="single" w:sz="8" w:space="0" w:color="000000"/>
            </w:tcBorders>
            <w:vAlign w:val="center"/>
            <w:hideMark/>
          </w:tcPr>
          <w:p w14:paraId="6F6E85C5" w14:textId="7E64841B" w:rsidR="00143E77" w:rsidRPr="00143E77" w:rsidRDefault="00143E77" w:rsidP="00143E77">
            <w:pPr>
              <w:spacing w:line="276" w:lineRule="auto"/>
              <w:contextualSpacing/>
              <w:jc w:val="center"/>
              <w:rPr>
                <w:rFonts w:ascii="Times New Roman" w:eastAsia="Times New Roman" w:hAnsi="Times New Roman" w:cs="Calibri"/>
                <w:sz w:val="20"/>
                <w:szCs w:val="22"/>
                <w:lang w:eastAsia="es-GT"/>
              </w:rPr>
            </w:pPr>
            <w:r w:rsidRPr="00143E77">
              <w:rPr>
                <w:rFonts w:ascii="Times New Roman" w:eastAsia="Times New Roman" w:hAnsi="Times New Roman" w:cs="Calibri"/>
                <w:sz w:val="20"/>
                <w:szCs w:val="22"/>
                <w:lang w:eastAsia="es-GT"/>
              </w:rPr>
              <w:t>2.</w:t>
            </w:r>
            <w:r w:rsidR="001B500D">
              <w:rPr>
                <w:rFonts w:ascii="Times New Roman" w:eastAsia="Times New Roman" w:hAnsi="Times New Roman" w:cs="Calibri"/>
                <w:sz w:val="20"/>
                <w:szCs w:val="22"/>
                <w:lang w:eastAsia="es-GT"/>
              </w:rPr>
              <w:t>4</w:t>
            </w:r>
          </w:p>
        </w:tc>
      </w:tr>
      <w:tr w:rsidR="00143E77" w:rsidRPr="00143E77" w14:paraId="5721F364" w14:textId="77777777" w:rsidTr="00BC10AA">
        <w:trPr>
          <w:trHeight w:val="300"/>
          <w:jc w:val="center"/>
        </w:trPr>
        <w:tc>
          <w:tcPr>
            <w:tcW w:w="3680" w:type="dxa"/>
            <w:tcBorders>
              <w:top w:val="nil"/>
              <w:left w:val="single" w:sz="8" w:space="0" w:color="000000"/>
              <w:bottom w:val="nil"/>
              <w:right w:val="single" w:sz="8" w:space="0" w:color="000000"/>
            </w:tcBorders>
            <w:shd w:val="clear" w:color="000000" w:fill="ACB9CA"/>
            <w:vAlign w:val="center"/>
            <w:hideMark/>
          </w:tcPr>
          <w:p w14:paraId="18E225DF" w14:textId="77777777" w:rsidR="00143E77" w:rsidRPr="00143E77" w:rsidRDefault="00143E77" w:rsidP="00143E77">
            <w:pPr>
              <w:spacing w:line="276" w:lineRule="auto"/>
              <w:contextualSpacing/>
              <w:rPr>
                <w:rFonts w:ascii="Times New Roman" w:eastAsia="Times New Roman" w:hAnsi="Times New Roman" w:cs="Calibri"/>
                <w:b/>
                <w:bCs/>
                <w:sz w:val="20"/>
                <w:szCs w:val="22"/>
                <w:lang w:eastAsia="es-GT"/>
              </w:rPr>
            </w:pPr>
            <w:r w:rsidRPr="00143E77">
              <w:rPr>
                <w:rFonts w:ascii="Times New Roman" w:eastAsia="Times New Roman" w:hAnsi="Times New Roman" w:cs="Calibri"/>
                <w:b/>
                <w:bCs/>
                <w:sz w:val="20"/>
                <w:szCs w:val="22"/>
                <w:lang w:eastAsia="es-GT"/>
              </w:rPr>
              <w:t>Balance Presupuestal</w:t>
            </w:r>
          </w:p>
        </w:tc>
        <w:tc>
          <w:tcPr>
            <w:tcW w:w="1880" w:type="dxa"/>
            <w:tcBorders>
              <w:top w:val="nil"/>
              <w:left w:val="nil"/>
              <w:bottom w:val="nil"/>
              <w:right w:val="single" w:sz="8" w:space="0" w:color="000000"/>
            </w:tcBorders>
            <w:shd w:val="clear" w:color="000000" w:fill="ACB9CA"/>
            <w:vAlign w:val="center"/>
            <w:hideMark/>
          </w:tcPr>
          <w:p w14:paraId="36D38C7E" w14:textId="54F8C3B1" w:rsidR="00143E77" w:rsidRPr="00143E77" w:rsidRDefault="00143E77" w:rsidP="00143E77">
            <w:pPr>
              <w:spacing w:line="276" w:lineRule="auto"/>
              <w:contextualSpacing/>
              <w:jc w:val="center"/>
              <w:rPr>
                <w:rFonts w:ascii="Times New Roman" w:eastAsia="Times New Roman" w:hAnsi="Times New Roman" w:cs="Calibri"/>
                <w:b/>
                <w:bCs/>
                <w:sz w:val="20"/>
                <w:szCs w:val="22"/>
                <w:lang w:eastAsia="es-GT"/>
              </w:rPr>
            </w:pPr>
            <w:r w:rsidRPr="00143E77">
              <w:rPr>
                <w:rFonts w:ascii="Times New Roman" w:eastAsia="Times New Roman" w:hAnsi="Times New Roman" w:cs="Calibri"/>
                <w:b/>
                <w:bCs/>
                <w:sz w:val="20"/>
                <w:szCs w:val="22"/>
                <w:lang w:eastAsia="es-GT"/>
              </w:rPr>
              <w:t>-</w:t>
            </w:r>
            <w:r w:rsidR="00E81B3F">
              <w:rPr>
                <w:rFonts w:ascii="Times New Roman" w:eastAsia="Times New Roman" w:hAnsi="Times New Roman" w:cs="Calibri"/>
                <w:b/>
                <w:bCs/>
                <w:sz w:val="20"/>
                <w:szCs w:val="22"/>
                <w:lang w:eastAsia="es-GT"/>
              </w:rPr>
              <w:t>20,607.8</w:t>
            </w:r>
          </w:p>
        </w:tc>
        <w:tc>
          <w:tcPr>
            <w:tcW w:w="1660" w:type="dxa"/>
            <w:tcBorders>
              <w:top w:val="nil"/>
              <w:left w:val="nil"/>
              <w:bottom w:val="nil"/>
              <w:right w:val="single" w:sz="8" w:space="0" w:color="000000"/>
            </w:tcBorders>
            <w:shd w:val="clear" w:color="000000" w:fill="ACB9CA"/>
            <w:vAlign w:val="center"/>
            <w:hideMark/>
          </w:tcPr>
          <w:p w14:paraId="6CC18541" w14:textId="30C22564" w:rsidR="00143E77" w:rsidRPr="00143E77" w:rsidRDefault="00143E77" w:rsidP="00143E77">
            <w:pPr>
              <w:spacing w:line="276" w:lineRule="auto"/>
              <w:contextualSpacing/>
              <w:jc w:val="center"/>
              <w:rPr>
                <w:rFonts w:ascii="Times New Roman" w:eastAsia="Times New Roman" w:hAnsi="Times New Roman" w:cs="Calibri"/>
                <w:b/>
                <w:bCs/>
                <w:sz w:val="20"/>
                <w:szCs w:val="22"/>
                <w:lang w:eastAsia="es-GT"/>
              </w:rPr>
            </w:pPr>
            <w:r w:rsidRPr="00143E77">
              <w:rPr>
                <w:rFonts w:ascii="Times New Roman" w:eastAsia="Times New Roman" w:hAnsi="Times New Roman" w:cs="Calibri"/>
                <w:b/>
                <w:bCs/>
                <w:sz w:val="20"/>
                <w:szCs w:val="22"/>
                <w:lang w:eastAsia="es-GT"/>
              </w:rPr>
              <w:t>-2.</w:t>
            </w:r>
            <w:r w:rsidR="00E81B3F">
              <w:rPr>
                <w:rFonts w:ascii="Times New Roman" w:eastAsia="Times New Roman" w:hAnsi="Times New Roman" w:cs="Calibri"/>
                <w:b/>
                <w:bCs/>
                <w:sz w:val="20"/>
                <w:szCs w:val="22"/>
                <w:lang w:eastAsia="es-GT"/>
              </w:rPr>
              <w:t>4</w:t>
            </w:r>
          </w:p>
        </w:tc>
      </w:tr>
      <w:tr w:rsidR="00143E77" w:rsidRPr="00143E77" w14:paraId="5B10E57A" w14:textId="77777777" w:rsidTr="00BC10AA">
        <w:trPr>
          <w:trHeight w:val="300"/>
          <w:jc w:val="center"/>
        </w:trPr>
        <w:tc>
          <w:tcPr>
            <w:tcW w:w="3680" w:type="dxa"/>
            <w:tcBorders>
              <w:top w:val="nil"/>
              <w:left w:val="single" w:sz="8" w:space="0" w:color="000000"/>
              <w:bottom w:val="nil"/>
              <w:right w:val="single" w:sz="8" w:space="0" w:color="000000"/>
            </w:tcBorders>
            <w:vAlign w:val="center"/>
            <w:hideMark/>
          </w:tcPr>
          <w:p w14:paraId="4C832901" w14:textId="77777777" w:rsidR="00143E77" w:rsidRPr="00143E77" w:rsidRDefault="00143E77" w:rsidP="00143E77">
            <w:pPr>
              <w:spacing w:line="276" w:lineRule="auto"/>
              <w:contextualSpacing/>
              <w:rPr>
                <w:rFonts w:ascii="Times New Roman" w:eastAsia="Times New Roman" w:hAnsi="Times New Roman" w:cs="Calibri"/>
                <w:sz w:val="20"/>
                <w:szCs w:val="22"/>
                <w:lang w:eastAsia="es-GT"/>
              </w:rPr>
            </w:pPr>
            <w:r w:rsidRPr="00143E77">
              <w:rPr>
                <w:rFonts w:ascii="Times New Roman" w:eastAsia="Times New Roman" w:hAnsi="Times New Roman" w:cs="Calibri"/>
                <w:sz w:val="20"/>
                <w:szCs w:val="22"/>
                <w:lang w:eastAsia="es-GT"/>
              </w:rPr>
              <w:t>Financiamiento Externo</w:t>
            </w:r>
          </w:p>
        </w:tc>
        <w:tc>
          <w:tcPr>
            <w:tcW w:w="1880" w:type="dxa"/>
            <w:tcBorders>
              <w:top w:val="nil"/>
              <w:left w:val="nil"/>
              <w:bottom w:val="nil"/>
              <w:right w:val="single" w:sz="8" w:space="0" w:color="000000"/>
            </w:tcBorders>
            <w:vAlign w:val="center"/>
            <w:hideMark/>
          </w:tcPr>
          <w:p w14:paraId="5EC8F7DC" w14:textId="77777777" w:rsidR="00143E77" w:rsidRPr="00143E77" w:rsidRDefault="00143E77" w:rsidP="00143E77">
            <w:pPr>
              <w:spacing w:line="276" w:lineRule="auto"/>
              <w:contextualSpacing/>
              <w:jc w:val="center"/>
              <w:rPr>
                <w:rFonts w:ascii="Times New Roman" w:eastAsia="Times New Roman" w:hAnsi="Times New Roman" w:cs="Calibri"/>
                <w:sz w:val="20"/>
                <w:szCs w:val="22"/>
                <w:lang w:eastAsia="es-GT"/>
              </w:rPr>
            </w:pPr>
            <w:r w:rsidRPr="00143E77">
              <w:rPr>
                <w:rFonts w:ascii="Times New Roman" w:eastAsia="Times New Roman" w:hAnsi="Times New Roman" w:cs="Calibri"/>
                <w:sz w:val="20"/>
                <w:szCs w:val="22"/>
                <w:lang w:eastAsia="es-GT"/>
              </w:rPr>
              <w:t>-1,277.6</w:t>
            </w:r>
          </w:p>
        </w:tc>
        <w:tc>
          <w:tcPr>
            <w:tcW w:w="1660" w:type="dxa"/>
            <w:tcBorders>
              <w:top w:val="nil"/>
              <w:left w:val="nil"/>
              <w:bottom w:val="nil"/>
              <w:right w:val="single" w:sz="8" w:space="0" w:color="000000"/>
            </w:tcBorders>
            <w:vAlign w:val="center"/>
            <w:hideMark/>
          </w:tcPr>
          <w:p w14:paraId="5ED98D5C" w14:textId="2364C090" w:rsidR="00143E77" w:rsidRPr="00143E77" w:rsidRDefault="00143E77" w:rsidP="00143E77">
            <w:pPr>
              <w:spacing w:line="276" w:lineRule="auto"/>
              <w:contextualSpacing/>
              <w:jc w:val="center"/>
              <w:rPr>
                <w:rFonts w:ascii="Times New Roman" w:eastAsia="Times New Roman" w:hAnsi="Times New Roman" w:cs="Calibri"/>
                <w:sz w:val="20"/>
                <w:szCs w:val="22"/>
                <w:lang w:eastAsia="es-GT"/>
              </w:rPr>
            </w:pPr>
            <w:r w:rsidRPr="00143E77">
              <w:rPr>
                <w:rFonts w:ascii="Times New Roman" w:eastAsia="Times New Roman" w:hAnsi="Times New Roman" w:cs="Calibri"/>
                <w:sz w:val="20"/>
                <w:szCs w:val="22"/>
                <w:lang w:eastAsia="es-GT"/>
              </w:rPr>
              <w:t>-0.</w:t>
            </w:r>
            <w:r w:rsidR="001B500D">
              <w:rPr>
                <w:rFonts w:ascii="Times New Roman" w:eastAsia="Times New Roman" w:hAnsi="Times New Roman" w:cs="Calibri"/>
                <w:sz w:val="20"/>
                <w:szCs w:val="22"/>
                <w:lang w:eastAsia="es-GT"/>
              </w:rPr>
              <w:t>1</w:t>
            </w:r>
          </w:p>
        </w:tc>
      </w:tr>
      <w:tr w:rsidR="00143E77" w:rsidRPr="00143E77" w14:paraId="62DE90C8" w14:textId="77777777" w:rsidTr="00BC10AA">
        <w:trPr>
          <w:trHeight w:val="300"/>
          <w:jc w:val="center"/>
        </w:trPr>
        <w:tc>
          <w:tcPr>
            <w:tcW w:w="3680" w:type="dxa"/>
            <w:tcBorders>
              <w:top w:val="nil"/>
              <w:left w:val="single" w:sz="8" w:space="0" w:color="000000"/>
              <w:bottom w:val="nil"/>
              <w:right w:val="single" w:sz="8" w:space="0" w:color="000000"/>
            </w:tcBorders>
            <w:vAlign w:val="center"/>
            <w:hideMark/>
          </w:tcPr>
          <w:p w14:paraId="3240581B" w14:textId="77777777" w:rsidR="00143E77" w:rsidRPr="00143E77" w:rsidRDefault="00143E77" w:rsidP="00143E77">
            <w:pPr>
              <w:spacing w:line="276" w:lineRule="auto"/>
              <w:ind w:firstLineChars="200" w:firstLine="400"/>
              <w:contextualSpacing/>
              <w:rPr>
                <w:rFonts w:ascii="Times New Roman" w:eastAsia="Times New Roman" w:hAnsi="Times New Roman" w:cs="Calibri"/>
                <w:sz w:val="20"/>
                <w:szCs w:val="22"/>
                <w:lang w:eastAsia="es-GT"/>
              </w:rPr>
            </w:pPr>
            <w:r w:rsidRPr="00143E77">
              <w:rPr>
                <w:rFonts w:ascii="Times New Roman" w:eastAsia="Times New Roman" w:hAnsi="Times New Roman" w:cs="Calibri"/>
                <w:sz w:val="20"/>
                <w:szCs w:val="22"/>
                <w:lang w:eastAsia="es-GT"/>
              </w:rPr>
              <w:t xml:space="preserve">Desembolsos de Préstamos </w:t>
            </w:r>
          </w:p>
        </w:tc>
        <w:tc>
          <w:tcPr>
            <w:tcW w:w="1880" w:type="dxa"/>
            <w:tcBorders>
              <w:top w:val="nil"/>
              <w:left w:val="nil"/>
              <w:bottom w:val="nil"/>
              <w:right w:val="single" w:sz="8" w:space="0" w:color="000000"/>
            </w:tcBorders>
            <w:vAlign w:val="center"/>
            <w:hideMark/>
          </w:tcPr>
          <w:p w14:paraId="6980D507" w14:textId="77777777" w:rsidR="00143E77" w:rsidRPr="00143E77" w:rsidRDefault="00143E77" w:rsidP="00143E77">
            <w:pPr>
              <w:spacing w:line="276" w:lineRule="auto"/>
              <w:contextualSpacing/>
              <w:jc w:val="center"/>
              <w:rPr>
                <w:rFonts w:ascii="Times New Roman" w:eastAsia="Times New Roman" w:hAnsi="Times New Roman" w:cs="Calibri"/>
                <w:sz w:val="20"/>
                <w:szCs w:val="22"/>
                <w:lang w:eastAsia="es-GT"/>
              </w:rPr>
            </w:pPr>
            <w:r w:rsidRPr="00143E77">
              <w:rPr>
                <w:rFonts w:ascii="Times New Roman" w:eastAsia="Times New Roman" w:hAnsi="Times New Roman" w:cs="Calibri"/>
                <w:sz w:val="20"/>
                <w:szCs w:val="22"/>
                <w:lang w:eastAsia="es-GT"/>
              </w:rPr>
              <w:t>3,096.7</w:t>
            </w:r>
          </w:p>
        </w:tc>
        <w:tc>
          <w:tcPr>
            <w:tcW w:w="1660" w:type="dxa"/>
            <w:tcBorders>
              <w:top w:val="nil"/>
              <w:left w:val="nil"/>
              <w:bottom w:val="nil"/>
              <w:right w:val="single" w:sz="8" w:space="0" w:color="000000"/>
            </w:tcBorders>
            <w:vAlign w:val="center"/>
            <w:hideMark/>
          </w:tcPr>
          <w:p w14:paraId="0E7969DA" w14:textId="77777777" w:rsidR="00143E77" w:rsidRPr="00143E77" w:rsidRDefault="00143E77" w:rsidP="00143E77">
            <w:pPr>
              <w:spacing w:line="276" w:lineRule="auto"/>
              <w:contextualSpacing/>
              <w:jc w:val="center"/>
              <w:rPr>
                <w:rFonts w:ascii="Times New Roman" w:eastAsia="Times New Roman" w:hAnsi="Times New Roman" w:cs="Calibri"/>
                <w:sz w:val="20"/>
                <w:szCs w:val="22"/>
                <w:lang w:eastAsia="es-GT"/>
              </w:rPr>
            </w:pPr>
            <w:r w:rsidRPr="00143E77">
              <w:rPr>
                <w:rFonts w:ascii="Times New Roman" w:eastAsia="Times New Roman" w:hAnsi="Times New Roman" w:cs="Calibri"/>
                <w:sz w:val="20"/>
                <w:szCs w:val="22"/>
                <w:lang w:eastAsia="es-GT"/>
              </w:rPr>
              <w:t>0.4</w:t>
            </w:r>
          </w:p>
        </w:tc>
      </w:tr>
      <w:tr w:rsidR="00143E77" w:rsidRPr="00143E77" w14:paraId="526B3BB1" w14:textId="77777777" w:rsidTr="00BC10AA">
        <w:trPr>
          <w:trHeight w:val="300"/>
          <w:jc w:val="center"/>
        </w:trPr>
        <w:tc>
          <w:tcPr>
            <w:tcW w:w="3680" w:type="dxa"/>
            <w:tcBorders>
              <w:top w:val="nil"/>
              <w:left w:val="single" w:sz="8" w:space="0" w:color="000000"/>
              <w:bottom w:val="nil"/>
              <w:right w:val="single" w:sz="8" w:space="0" w:color="000000"/>
            </w:tcBorders>
            <w:vAlign w:val="center"/>
            <w:hideMark/>
          </w:tcPr>
          <w:p w14:paraId="0F653887" w14:textId="77777777" w:rsidR="00143E77" w:rsidRPr="00143E77" w:rsidRDefault="00143E77" w:rsidP="00143E77">
            <w:pPr>
              <w:spacing w:line="276" w:lineRule="auto"/>
              <w:ind w:firstLineChars="200" w:firstLine="400"/>
              <w:contextualSpacing/>
              <w:rPr>
                <w:rFonts w:ascii="Times New Roman" w:eastAsia="Times New Roman" w:hAnsi="Times New Roman" w:cs="Calibri"/>
                <w:sz w:val="20"/>
                <w:szCs w:val="22"/>
                <w:lang w:eastAsia="es-GT"/>
              </w:rPr>
            </w:pPr>
            <w:r w:rsidRPr="00143E77">
              <w:rPr>
                <w:rFonts w:ascii="Times New Roman" w:eastAsia="Times New Roman" w:hAnsi="Times New Roman" w:cs="Calibri"/>
                <w:sz w:val="20"/>
                <w:szCs w:val="22"/>
                <w:lang w:eastAsia="es-GT"/>
              </w:rPr>
              <w:t>Amortizaciones de Préstamos</w:t>
            </w:r>
          </w:p>
        </w:tc>
        <w:tc>
          <w:tcPr>
            <w:tcW w:w="1880" w:type="dxa"/>
            <w:tcBorders>
              <w:top w:val="nil"/>
              <w:left w:val="nil"/>
              <w:bottom w:val="nil"/>
              <w:right w:val="single" w:sz="8" w:space="0" w:color="000000"/>
            </w:tcBorders>
            <w:vAlign w:val="center"/>
            <w:hideMark/>
          </w:tcPr>
          <w:p w14:paraId="39364DCA" w14:textId="77777777" w:rsidR="00143E77" w:rsidRPr="00143E77" w:rsidRDefault="00143E77" w:rsidP="00143E77">
            <w:pPr>
              <w:spacing w:line="276" w:lineRule="auto"/>
              <w:contextualSpacing/>
              <w:jc w:val="center"/>
              <w:rPr>
                <w:rFonts w:ascii="Times New Roman" w:eastAsia="Times New Roman" w:hAnsi="Times New Roman" w:cs="Calibri"/>
                <w:sz w:val="20"/>
                <w:szCs w:val="22"/>
                <w:lang w:eastAsia="es-GT"/>
              </w:rPr>
            </w:pPr>
            <w:r w:rsidRPr="00143E77">
              <w:rPr>
                <w:rFonts w:ascii="Times New Roman" w:eastAsia="Times New Roman" w:hAnsi="Times New Roman" w:cs="Calibri"/>
                <w:sz w:val="20"/>
                <w:szCs w:val="22"/>
                <w:lang w:eastAsia="es-GT"/>
              </w:rPr>
              <w:t>4,374.4</w:t>
            </w:r>
          </w:p>
        </w:tc>
        <w:tc>
          <w:tcPr>
            <w:tcW w:w="1660" w:type="dxa"/>
            <w:tcBorders>
              <w:top w:val="nil"/>
              <w:left w:val="nil"/>
              <w:bottom w:val="nil"/>
              <w:right w:val="single" w:sz="8" w:space="0" w:color="000000"/>
            </w:tcBorders>
            <w:vAlign w:val="center"/>
            <w:hideMark/>
          </w:tcPr>
          <w:p w14:paraId="73530171" w14:textId="48201889" w:rsidR="00143E77" w:rsidRPr="00143E77" w:rsidRDefault="00143E77" w:rsidP="00143E77">
            <w:pPr>
              <w:spacing w:line="276" w:lineRule="auto"/>
              <w:contextualSpacing/>
              <w:jc w:val="center"/>
              <w:rPr>
                <w:rFonts w:ascii="Times New Roman" w:eastAsia="Times New Roman" w:hAnsi="Times New Roman" w:cs="Calibri"/>
                <w:sz w:val="20"/>
                <w:szCs w:val="22"/>
                <w:lang w:eastAsia="es-GT"/>
              </w:rPr>
            </w:pPr>
            <w:r w:rsidRPr="00143E77">
              <w:rPr>
                <w:rFonts w:ascii="Times New Roman" w:eastAsia="Times New Roman" w:hAnsi="Times New Roman" w:cs="Calibri"/>
                <w:sz w:val="20"/>
                <w:szCs w:val="22"/>
                <w:lang w:eastAsia="es-GT"/>
              </w:rPr>
              <w:t>0.</w:t>
            </w:r>
            <w:r w:rsidR="001B500D">
              <w:rPr>
                <w:rFonts w:ascii="Times New Roman" w:eastAsia="Times New Roman" w:hAnsi="Times New Roman" w:cs="Calibri"/>
                <w:sz w:val="20"/>
                <w:szCs w:val="22"/>
                <w:lang w:eastAsia="es-GT"/>
              </w:rPr>
              <w:t>5</w:t>
            </w:r>
          </w:p>
        </w:tc>
      </w:tr>
      <w:tr w:rsidR="00143E77" w:rsidRPr="00143E77" w14:paraId="24002A5D" w14:textId="77777777" w:rsidTr="00BC10AA">
        <w:trPr>
          <w:trHeight w:val="300"/>
          <w:jc w:val="center"/>
        </w:trPr>
        <w:tc>
          <w:tcPr>
            <w:tcW w:w="3680" w:type="dxa"/>
            <w:tcBorders>
              <w:top w:val="nil"/>
              <w:left w:val="single" w:sz="8" w:space="0" w:color="000000"/>
              <w:bottom w:val="nil"/>
              <w:right w:val="single" w:sz="8" w:space="0" w:color="000000"/>
            </w:tcBorders>
            <w:hideMark/>
          </w:tcPr>
          <w:p w14:paraId="76DDE803" w14:textId="77777777" w:rsidR="00143E77" w:rsidRPr="00143E77" w:rsidRDefault="00143E77" w:rsidP="00143E77">
            <w:pPr>
              <w:spacing w:line="276" w:lineRule="auto"/>
              <w:contextualSpacing/>
              <w:rPr>
                <w:rFonts w:ascii="Times New Roman" w:eastAsia="Times New Roman" w:hAnsi="Times New Roman" w:cs="Calibri"/>
                <w:sz w:val="20"/>
                <w:szCs w:val="22"/>
                <w:lang w:eastAsia="es-GT"/>
              </w:rPr>
            </w:pPr>
            <w:r w:rsidRPr="00143E77">
              <w:rPr>
                <w:rFonts w:ascii="Times New Roman" w:eastAsia="Times New Roman" w:hAnsi="Times New Roman" w:cs="Calibri"/>
                <w:sz w:val="20"/>
                <w:szCs w:val="22"/>
                <w:lang w:eastAsia="es-GT"/>
              </w:rPr>
              <w:t>Financiamiento Interno</w:t>
            </w:r>
          </w:p>
        </w:tc>
        <w:tc>
          <w:tcPr>
            <w:tcW w:w="1880" w:type="dxa"/>
            <w:tcBorders>
              <w:top w:val="nil"/>
              <w:left w:val="nil"/>
              <w:bottom w:val="nil"/>
              <w:right w:val="single" w:sz="8" w:space="0" w:color="000000"/>
            </w:tcBorders>
            <w:vAlign w:val="center"/>
            <w:hideMark/>
          </w:tcPr>
          <w:p w14:paraId="3A1ABED1" w14:textId="42D17FFC" w:rsidR="00143E77" w:rsidRPr="00143E77" w:rsidRDefault="00143E77" w:rsidP="00143E77">
            <w:pPr>
              <w:spacing w:line="276" w:lineRule="auto"/>
              <w:contextualSpacing/>
              <w:jc w:val="center"/>
              <w:rPr>
                <w:rFonts w:ascii="Times New Roman" w:eastAsia="Times New Roman" w:hAnsi="Times New Roman" w:cs="Calibri"/>
                <w:sz w:val="20"/>
                <w:szCs w:val="22"/>
                <w:lang w:eastAsia="es-GT"/>
              </w:rPr>
            </w:pPr>
            <w:r w:rsidRPr="00143E77">
              <w:rPr>
                <w:rFonts w:ascii="Times New Roman" w:eastAsia="Times New Roman" w:hAnsi="Times New Roman" w:cs="Calibri"/>
                <w:sz w:val="20"/>
                <w:szCs w:val="22"/>
                <w:lang w:eastAsia="es-GT"/>
              </w:rPr>
              <w:t>21,8</w:t>
            </w:r>
            <w:r w:rsidR="00E81B3F">
              <w:rPr>
                <w:rFonts w:ascii="Times New Roman" w:eastAsia="Times New Roman" w:hAnsi="Times New Roman" w:cs="Calibri"/>
                <w:sz w:val="20"/>
                <w:szCs w:val="22"/>
                <w:lang w:eastAsia="es-GT"/>
              </w:rPr>
              <w:t>8</w:t>
            </w:r>
            <w:r w:rsidRPr="00143E77">
              <w:rPr>
                <w:rFonts w:ascii="Times New Roman" w:eastAsia="Times New Roman" w:hAnsi="Times New Roman" w:cs="Calibri"/>
                <w:sz w:val="20"/>
                <w:szCs w:val="22"/>
                <w:lang w:eastAsia="es-GT"/>
              </w:rPr>
              <w:t>5</w:t>
            </w:r>
            <w:r w:rsidR="00E81B3F">
              <w:rPr>
                <w:rFonts w:ascii="Times New Roman" w:eastAsia="Times New Roman" w:hAnsi="Times New Roman" w:cs="Calibri"/>
                <w:sz w:val="20"/>
                <w:szCs w:val="22"/>
                <w:lang w:eastAsia="es-GT"/>
              </w:rPr>
              <w:t>.4</w:t>
            </w:r>
          </w:p>
        </w:tc>
        <w:tc>
          <w:tcPr>
            <w:tcW w:w="1660" w:type="dxa"/>
            <w:tcBorders>
              <w:top w:val="nil"/>
              <w:left w:val="nil"/>
              <w:bottom w:val="nil"/>
              <w:right w:val="single" w:sz="8" w:space="0" w:color="000000"/>
            </w:tcBorders>
            <w:vAlign w:val="center"/>
            <w:hideMark/>
          </w:tcPr>
          <w:p w14:paraId="2F1717FE" w14:textId="6910B467" w:rsidR="00143E77" w:rsidRPr="00143E77" w:rsidRDefault="00143E77" w:rsidP="00143E77">
            <w:pPr>
              <w:spacing w:line="276" w:lineRule="auto"/>
              <w:contextualSpacing/>
              <w:jc w:val="center"/>
              <w:rPr>
                <w:rFonts w:ascii="Times New Roman" w:eastAsia="Times New Roman" w:hAnsi="Times New Roman" w:cs="Calibri"/>
                <w:sz w:val="20"/>
                <w:szCs w:val="22"/>
                <w:lang w:eastAsia="es-GT"/>
              </w:rPr>
            </w:pPr>
            <w:r w:rsidRPr="00143E77">
              <w:rPr>
                <w:rFonts w:ascii="Times New Roman" w:eastAsia="Times New Roman" w:hAnsi="Times New Roman" w:cs="Calibri"/>
                <w:sz w:val="20"/>
                <w:szCs w:val="22"/>
                <w:lang w:eastAsia="es-GT"/>
              </w:rPr>
              <w:t>2.</w:t>
            </w:r>
            <w:r w:rsidR="001B500D">
              <w:rPr>
                <w:rFonts w:ascii="Times New Roman" w:eastAsia="Times New Roman" w:hAnsi="Times New Roman" w:cs="Calibri"/>
                <w:sz w:val="20"/>
                <w:szCs w:val="22"/>
                <w:lang w:eastAsia="es-GT"/>
              </w:rPr>
              <w:t>6</w:t>
            </w:r>
          </w:p>
        </w:tc>
      </w:tr>
      <w:tr w:rsidR="00143E77" w:rsidRPr="00143E77" w14:paraId="4C2F0FA4" w14:textId="77777777" w:rsidTr="00BC10AA">
        <w:trPr>
          <w:trHeight w:val="300"/>
          <w:jc w:val="center"/>
        </w:trPr>
        <w:tc>
          <w:tcPr>
            <w:tcW w:w="3680" w:type="dxa"/>
            <w:tcBorders>
              <w:top w:val="nil"/>
              <w:left w:val="single" w:sz="8" w:space="0" w:color="000000"/>
              <w:bottom w:val="nil"/>
              <w:right w:val="single" w:sz="8" w:space="0" w:color="000000"/>
            </w:tcBorders>
            <w:vAlign w:val="center"/>
            <w:hideMark/>
          </w:tcPr>
          <w:p w14:paraId="35660961" w14:textId="77777777" w:rsidR="00143E77" w:rsidRPr="00143E77" w:rsidRDefault="00143E77" w:rsidP="00143E77">
            <w:pPr>
              <w:spacing w:line="276" w:lineRule="auto"/>
              <w:ind w:firstLineChars="200" w:firstLine="400"/>
              <w:contextualSpacing/>
              <w:rPr>
                <w:rFonts w:ascii="Times New Roman" w:eastAsia="Times New Roman" w:hAnsi="Times New Roman" w:cs="Calibri"/>
                <w:sz w:val="20"/>
                <w:szCs w:val="22"/>
                <w:lang w:eastAsia="es-GT"/>
              </w:rPr>
            </w:pPr>
            <w:r w:rsidRPr="00143E77">
              <w:rPr>
                <w:rFonts w:ascii="Times New Roman" w:eastAsia="Times New Roman" w:hAnsi="Times New Roman" w:cs="Calibri"/>
                <w:sz w:val="20"/>
                <w:szCs w:val="22"/>
                <w:lang w:eastAsia="es-GT"/>
              </w:rPr>
              <w:t>Negociación Neta de Bonos</w:t>
            </w:r>
          </w:p>
        </w:tc>
        <w:tc>
          <w:tcPr>
            <w:tcW w:w="1880" w:type="dxa"/>
            <w:tcBorders>
              <w:top w:val="nil"/>
              <w:left w:val="nil"/>
              <w:bottom w:val="nil"/>
              <w:right w:val="single" w:sz="8" w:space="0" w:color="000000"/>
            </w:tcBorders>
            <w:vAlign w:val="center"/>
            <w:hideMark/>
          </w:tcPr>
          <w:p w14:paraId="26828EAE" w14:textId="77777777" w:rsidR="00143E77" w:rsidRPr="00143E77" w:rsidRDefault="00143E77" w:rsidP="00143E77">
            <w:pPr>
              <w:spacing w:line="276" w:lineRule="auto"/>
              <w:contextualSpacing/>
              <w:jc w:val="center"/>
              <w:rPr>
                <w:rFonts w:ascii="Times New Roman" w:eastAsia="Times New Roman" w:hAnsi="Times New Roman" w:cs="Calibri"/>
                <w:sz w:val="20"/>
                <w:szCs w:val="22"/>
                <w:lang w:eastAsia="es-GT"/>
              </w:rPr>
            </w:pPr>
            <w:r w:rsidRPr="00143E77">
              <w:rPr>
                <w:rFonts w:ascii="Times New Roman" w:eastAsia="Times New Roman" w:hAnsi="Times New Roman" w:cs="Calibri"/>
                <w:sz w:val="20"/>
                <w:szCs w:val="22"/>
                <w:lang w:eastAsia="es-GT"/>
              </w:rPr>
              <w:t>12,775.1</w:t>
            </w:r>
          </w:p>
        </w:tc>
        <w:tc>
          <w:tcPr>
            <w:tcW w:w="1660" w:type="dxa"/>
            <w:tcBorders>
              <w:top w:val="nil"/>
              <w:left w:val="nil"/>
              <w:bottom w:val="nil"/>
              <w:right w:val="single" w:sz="8" w:space="0" w:color="000000"/>
            </w:tcBorders>
            <w:vAlign w:val="center"/>
            <w:hideMark/>
          </w:tcPr>
          <w:p w14:paraId="79A864C7" w14:textId="0F5B4761" w:rsidR="00143E77" w:rsidRPr="00143E77" w:rsidRDefault="00143E77" w:rsidP="00143E77">
            <w:pPr>
              <w:spacing w:line="276" w:lineRule="auto"/>
              <w:contextualSpacing/>
              <w:jc w:val="center"/>
              <w:rPr>
                <w:rFonts w:ascii="Times New Roman" w:eastAsia="Times New Roman" w:hAnsi="Times New Roman" w:cs="Calibri"/>
                <w:sz w:val="20"/>
                <w:szCs w:val="22"/>
                <w:lang w:eastAsia="es-GT"/>
              </w:rPr>
            </w:pPr>
            <w:r w:rsidRPr="00143E77">
              <w:rPr>
                <w:rFonts w:ascii="Times New Roman" w:eastAsia="Times New Roman" w:hAnsi="Times New Roman" w:cs="Calibri"/>
                <w:sz w:val="20"/>
                <w:szCs w:val="22"/>
                <w:lang w:eastAsia="es-GT"/>
              </w:rPr>
              <w:t>1.</w:t>
            </w:r>
            <w:r w:rsidR="001B500D">
              <w:rPr>
                <w:rFonts w:ascii="Times New Roman" w:eastAsia="Times New Roman" w:hAnsi="Times New Roman" w:cs="Calibri"/>
                <w:sz w:val="20"/>
                <w:szCs w:val="22"/>
                <w:lang w:eastAsia="es-GT"/>
              </w:rPr>
              <w:t>5</w:t>
            </w:r>
          </w:p>
        </w:tc>
      </w:tr>
      <w:tr w:rsidR="00143E77" w:rsidRPr="00143E77" w14:paraId="63A7DE3E" w14:textId="77777777" w:rsidTr="00BC10AA">
        <w:trPr>
          <w:trHeight w:val="315"/>
          <w:jc w:val="center"/>
        </w:trPr>
        <w:tc>
          <w:tcPr>
            <w:tcW w:w="3680" w:type="dxa"/>
            <w:tcBorders>
              <w:top w:val="nil"/>
              <w:left w:val="single" w:sz="8" w:space="0" w:color="000000"/>
              <w:bottom w:val="single" w:sz="8" w:space="0" w:color="000000"/>
              <w:right w:val="single" w:sz="8" w:space="0" w:color="000000"/>
            </w:tcBorders>
            <w:shd w:val="clear" w:color="000000" w:fill="ACB9CA"/>
            <w:vAlign w:val="center"/>
            <w:hideMark/>
          </w:tcPr>
          <w:p w14:paraId="4477EF67" w14:textId="77777777" w:rsidR="00143E77" w:rsidRPr="00143E77" w:rsidRDefault="00143E77" w:rsidP="00143E77">
            <w:pPr>
              <w:spacing w:line="276" w:lineRule="auto"/>
              <w:contextualSpacing/>
              <w:rPr>
                <w:rFonts w:ascii="Times New Roman" w:eastAsia="Times New Roman" w:hAnsi="Times New Roman" w:cs="Calibri"/>
                <w:b/>
                <w:bCs/>
                <w:sz w:val="20"/>
                <w:szCs w:val="22"/>
                <w:lang w:eastAsia="es-GT"/>
              </w:rPr>
            </w:pPr>
            <w:r w:rsidRPr="00143E77">
              <w:rPr>
                <w:rFonts w:ascii="Times New Roman" w:eastAsia="Times New Roman" w:hAnsi="Times New Roman" w:cs="Calibri"/>
                <w:b/>
                <w:bCs/>
                <w:sz w:val="20"/>
                <w:szCs w:val="22"/>
                <w:lang w:eastAsia="es-GT"/>
              </w:rPr>
              <w:t>Variación de Caja</w:t>
            </w:r>
          </w:p>
        </w:tc>
        <w:tc>
          <w:tcPr>
            <w:tcW w:w="1880" w:type="dxa"/>
            <w:tcBorders>
              <w:top w:val="nil"/>
              <w:left w:val="nil"/>
              <w:bottom w:val="single" w:sz="8" w:space="0" w:color="000000"/>
              <w:right w:val="single" w:sz="8" w:space="0" w:color="000000"/>
            </w:tcBorders>
            <w:shd w:val="clear" w:color="000000" w:fill="ACB9CA"/>
            <w:vAlign w:val="center"/>
            <w:hideMark/>
          </w:tcPr>
          <w:p w14:paraId="482820AD" w14:textId="3E52E305" w:rsidR="00143E77" w:rsidRPr="00143E77" w:rsidRDefault="00E81B3F" w:rsidP="00143E77">
            <w:pPr>
              <w:spacing w:line="276" w:lineRule="auto"/>
              <w:contextualSpacing/>
              <w:jc w:val="center"/>
              <w:rPr>
                <w:rFonts w:ascii="Times New Roman" w:eastAsia="Times New Roman" w:hAnsi="Times New Roman" w:cs="Calibri"/>
                <w:b/>
                <w:bCs/>
                <w:sz w:val="20"/>
                <w:szCs w:val="22"/>
                <w:lang w:eastAsia="es-GT"/>
              </w:rPr>
            </w:pPr>
            <w:r>
              <w:rPr>
                <w:rFonts w:ascii="Times New Roman" w:eastAsia="Times New Roman" w:hAnsi="Times New Roman" w:cs="Calibri"/>
                <w:b/>
                <w:bCs/>
                <w:sz w:val="20"/>
                <w:szCs w:val="22"/>
                <w:lang w:eastAsia="es-GT"/>
              </w:rPr>
              <w:t>9</w:t>
            </w:r>
            <w:r w:rsidR="00143E77" w:rsidRPr="00143E77">
              <w:rPr>
                <w:rFonts w:ascii="Times New Roman" w:eastAsia="Times New Roman" w:hAnsi="Times New Roman" w:cs="Calibri"/>
                <w:b/>
                <w:bCs/>
                <w:sz w:val="20"/>
                <w:szCs w:val="22"/>
                <w:lang w:eastAsia="es-GT"/>
              </w:rPr>
              <w:t>,</w:t>
            </w:r>
            <w:r>
              <w:rPr>
                <w:rFonts w:ascii="Times New Roman" w:eastAsia="Times New Roman" w:hAnsi="Times New Roman" w:cs="Calibri"/>
                <w:b/>
                <w:bCs/>
                <w:sz w:val="20"/>
                <w:szCs w:val="22"/>
                <w:lang w:eastAsia="es-GT"/>
              </w:rPr>
              <w:t>164.8</w:t>
            </w:r>
          </w:p>
        </w:tc>
        <w:tc>
          <w:tcPr>
            <w:tcW w:w="1660" w:type="dxa"/>
            <w:tcBorders>
              <w:top w:val="nil"/>
              <w:left w:val="nil"/>
              <w:bottom w:val="single" w:sz="8" w:space="0" w:color="000000"/>
              <w:right w:val="single" w:sz="8" w:space="0" w:color="000000"/>
            </w:tcBorders>
            <w:shd w:val="clear" w:color="000000" w:fill="ACB9CA"/>
            <w:vAlign w:val="center"/>
            <w:hideMark/>
          </w:tcPr>
          <w:p w14:paraId="467A7A05" w14:textId="77777777" w:rsidR="00143E77" w:rsidRPr="00143E77" w:rsidRDefault="00143E77" w:rsidP="00143E77">
            <w:pPr>
              <w:spacing w:line="276" w:lineRule="auto"/>
              <w:contextualSpacing/>
              <w:jc w:val="center"/>
              <w:rPr>
                <w:rFonts w:ascii="Times New Roman" w:eastAsia="Times New Roman" w:hAnsi="Times New Roman" w:cs="Calibri"/>
                <w:b/>
                <w:bCs/>
                <w:sz w:val="20"/>
                <w:szCs w:val="22"/>
                <w:lang w:eastAsia="es-GT"/>
              </w:rPr>
            </w:pPr>
            <w:r w:rsidRPr="00143E77">
              <w:rPr>
                <w:rFonts w:ascii="Times New Roman" w:eastAsia="Times New Roman" w:hAnsi="Times New Roman" w:cs="Calibri"/>
                <w:b/>
                <w:bCs/>
                <w:sz w:val="20"/>
                <w:szCs w:val="22"/>
                <w:lang w:eastAsia="es-GT"/>
              </w:rPr>
              <w:t>1.1</w:t>
            </w:r>
          </w:p>
        </w:tc>
      </w:tr>
    </w:tbl>
    <w:p w14:paraId="3A05D4DA" w14:textId="77777777" w:rsidR="00143E77" w:rsidRPr="00143E77" w:rsidRDefault="00143E77" w:rsidP="00143E77">
      <w:pPr>
        <w:spacing w:line="276" w:lineRule="auto"/>
        <w:ind w:left="708" w:firstLine="708"/>
        <w:contextualSpacing/>
        <w:rPr>
          <w:rFonts w:ascii="Times New Roman" w:eastAsia="Times New Roman" w:hAnsi="Times New Roman" w:cs="Calibri"/>
          <w:sz w:val="22"/>
          <w:szCs w:val="22"/>
        </w:rPr>
      </w:pPr>
      <w:r w:rsidRPr="00143E77">
        <w:rPr>
          <w:rFonts w:ascii="Times New Roman" w:eastAsia="Times New Roman" w:hAnsi="Times New Roman" w:cs="Calibri"/>
          <w:sz w:val="18"/>
          <w:szCs w:val="18"/>
        </w:rPr>
        <w:t>Fuente: Dirección de Análisis y Política Fiscal</w:t>
      </w:r>
    </w:p>
    <w:p w14:paraId="40FFDE23" w14:textId="32F9B1F8" w:rsidR="00A07366" w:rsidRDefault="00A07366" w:rsidP="007B0095">
      <w:pPr>
        <w:spacing w:line="276" w:lineRule="auto"/>
        <w:contextualSpacing/>
        <w:rPr>
          <w:rFonts w:ascii="Times New Roman" w:eastAsia="Times New Roman" w:hAnsi="Times New Roman" w:cs="Calibri"/>
          <w:sz w:val="22"/>
          <w:szCs w:val="22"/>
        </w:rPr>
      </w:pPr>
    </w:p>
    <w:p w14:paraId="744F515F" w14:textId="12B31115" w:rsidR="00F06B7E" w:rsidRDefault="00F06B7E" w:rsidP="00D13019">
      <w:pPr>
        <w:keepNext/>
        <w:keepLines/>
        <w:tabs>
          <w:tab w:val="left" w:pos="1134"/>
        </w:tabs>
        <w:spacing w:line="276" w:lineRule="auto"/>
        <w:ind w:left="567" w:hanging="283"/>
        <w:contextualSpacing/>
        <w:jc w:val="both"/>
        <w:outlineLvl w:val="1"/>
        <w:rPr>
          <w:rFonts w:ascii="Times New Roman" w:eastAsiaTheme="majorEastAsia" w:hAnsi="Times New Roman" w:cs="Times New Roman"/>
          <w:b/>
          <w:bCs/>
        </w:rPr>
      </w:pPr>
    </w:p>
    <w:p w14:paraId="5DA94EE6" w14:textId="77777777" w:rsidR="00D13019" w:rsidRDefault="00D13019" w:rsidP="00D13019">
      <w:pPr>
        <w:keepNext/>
        <w:keepLines/>
        <w:tabs>
          <w:tab w:val="left" w:pos="1134"/>
        </w:tabs>
        <w:spacing w:line="276" w:lineRule="auto"/>
        <w:ind w:left="567" w:hanging="283"/>
        <w:contextualSpacing/>
        <w:jc w:val="both"/>
        <w:outlineLvl w:val="1"/>
        <w:rPr>
          <w:rFonts w:ascii="Times New Roman" w:eastAsiaTheme="majorEastAsia" w:hAnsi="Times New Roman" w:cs="Times New Roman"/>
          <w:b/>
          <w:bCs/>
        </w:rPr>
      </w:pPr>
    </w:p>
    <w:p w14:paraId="23B28287" w14:textId="77777777" w:rsidR="00D13019" w:rsidRDefault="00D13019" w:rsidP="00D13019">
      <w:pPr>
        <w:keepNext/>
        <w:keepLines/>
        <w:tabs>
          <w:tab w:val="left" w:pos="1134"/>
        </w:tabs>
        <w:spacing w:line="276" w:lineRule="auto"/>
        <w:ind w:left="567" w:hanging="283"/>
        <w:contextualSpacing/>
        <w:jc w:val="both"/>
        <w:outlineLvl w:val="1"/>
        <w:rPr>
          <w:rFonts w:ascii="Times New Roman" w:eastAsiaTheme="majorEastAsia" w:hAnsi="Times New Roman" w:cs="Times New Roman"/>
          <w:b/>
          <w:bCs/>
        </w:rPr>
      </w:pPr>
    </w:p>
    <w:p w14:paraId="2DA08D89" w14:textId="77777777" w:rsidR="00D13019" w:rsidRDefault="00D13019" w:rsidP="00D13019">
      <w:pPr>
        <w:keepNext/>
        <w:keepLines/>
        <w:tabs>
          <w:tab w:val="left" w:pos="1134"/>
        </w:tabs>
        <w:spacing w:line="276" w:lineRule="auto"/>
        <w:ind w:left="567" w:hanging="283"/>
        <w:contextualSpacing/>
        <w:jc w:val="both"/>
        <w:outlineLvl w:val="1"/>
        <w:rPr>
          <w:rFonts w:ascii="Times New Roman" w:eastAsiaTheme="majorEastAsia" w:hAnsi="Times New Roman" w:cs="Times New Roman"/>
          <w:b/>
          <w:bCs/>
        </w:rPr>
      </w:pPr>
    </w:p>
    <w:p w14:paraId="759089D8" w14:textId="77777777" w:rsidR="00D13019" w:rsidRDefault="00D13019" w:rsidP="00D13019">
      <w:pPr>
        <w:keepNext/>
        <w:keepLines/>
        <w:tabs>
          <w:tab w:val="left" w:pos="1134"/>
        </w:tabs>
        <w:spacing w:line="276" w:lineRule="auto"/>
        <w:ind w:left="567" w:hanging="283"/>
        <w:contextualSpacing/>
        <w:jc w:val="both"/>
        <w:outlineLvl w:val="1"/>
        <w:rPr>
          <w:rFonts w:ascii="Times New Roman" w:eastAsiaTheme="majorEastAsia" w:hAnsi="Times New Roman" w:cs="Times New Roman"/>
          <w:b/>
          <w:bCs/>
        </w:rPr>
      </w:pPr>
    </w:p>
    <w:p w14:paraId="720545EB" w14:textId="77777777" w:rsidR="00D13019" w:rsidRDefault="00D13019" w:rsidP="00D13019">
      <w:pPr>
        <w:keepNext/>
        <w:keepLines/>
        <w:tabs>
          <w:tab w:val="left" w:pos="1134"/>
        </w:tabs>
        <w:spacing w:line="276" w:lineRule="auto"/>
        <w:ind w:left="567" w:hanging="283"/>
        <w:contextualSpacing/>
        <w:jc w:val="both"/>
        <w:outlineLvl w:val="1"/>
        <w:rPr>
          <w:rFonts w:ascii="Times New Roman" w:eastAsiaTheme="majorEastAsia" w:hAnsi="Times New Roman" w:cs="Times New Roman"/>
          <w:b/>
          <w:bCs/>
        </w:rPr>
      </w:pPr>
    </w:p>
    <w:p w14:paraId="05A6469A" w14:textId="77777777" w:rsidR="00D13019" w:rsidRDefault="00D13019" w:rsidP="00D13019">
      <w:pPr>
        <w:keepNext/>
        <w:keepLines/>
        <w:tabs>
          <w:tab w:val="left" w:pos="1134"/>
        </w:tabs>
        <w:spacing w:line="276" w:lineRule="auto"/>
        <w:ind w:left="567" w:hanging="283"/>
        <w:contextualSpacing/>
        <w:jc w:val="both"/>
        <w:outlineLvl w:val="1"/>
        <w:rPr>
          <w:rFonts w:ascii="Times New Roman" w:eastAsiaTheme="majorEastAsia" w:hAnsi="Times New Roman" w:cs="Times New Roman"/>
          <w:b/>
          <w:bCs/>
        </w:rPr>
      </w:pPr>
    </w:p>
    <w:p w14:paraId="3428C7A7" w14:textId="77777777" w:rsidR="00D13019" w:rsidRDefault="00D13019" w:rsidP="00D13019">
      <w:pPr>
        <w:keepNext/>
        <w:keepLines/>
        <w:tabs>
          <w:tab w:val="left" w:pos="1134"/>
        </w:tabs>
        <w:spacing w:line="276" w:lineRule="auto"/>
        <w:ind w:left="567" w:hanging="283"/>
        <w:contextualSpacing/>
        <w:jc w:val="both"/>
        <w:outlineLvl w:val="1"/>
        <w:rPr>
          <w:rFonts w:ascii="Times New Roman" w:eastAsiaTheme="majorEastAsia" w:hAnsi="Times New Roman" w:cs="Times New Roman"/>
          <w:b/>
          <w:bCs/>
        </w:rPr>
      </w:pPr>
    </w:p>
    <w:p w14:paraId="201D3FE0" w14:textId="77777777" w:rsidR="00D13019" w:rsidRDefault="00D13019" w:rsidP="00D13019">
      <w:pPr>
        <w:keepNext/>
        <w:keepLines/>
        <w:tabs>
          <w:tab w:val="left" w:pos="1134"/>
        </w:tabs>
        <w:spacing w:line="276" w:lineRule="auto"/>
        <w:ind w:left="567" w:hanging="283"/>
        <w:contextualSpacing/>
        <w:jc w:val="both"/>
        <w:outlineLvl w:val="1"/>
        <w:rPr>
          <w:rFonts w:ascii="Times New Roman" w:eastAsiaTheme="majorEastAsia" w:hAnsi="Times New Roman" w:cs="Times New Roman"/>
          <w:b/>
          <w:bCs/>
        </w:rPr>
      </w:pPr>
    </w:p>
    <w:p w14:paraId="288AC800" w14:textId="77777777" w:rsidR="00D13019" w:rsidRDefault="00D13019" w:rsidP="00D13019">
      <w:pPr>
        <w:keepNext/>
        <w:keepLines/>
        <w:tabs>
          <w:tab w:val="left" w:pos="1134"/>
        </w:tabs>
        <w:spacing w:line="276" w:lineRule="auto"/>
        <w:ind w:left="567" w:hanging="283"/>
        <w:contextualSpacing/>
        <w:jc w:val="both"/>
        <w:outlineLvl w:val="1"/>
        <w:rPr>
          <w:rFonts w:ascii="Times New Roman" w:eastAsia="Times New Roman" w:hAnsi="Times New Roman" w:cs="Calibri"/>
          <w:sz w:val="22"/>
          <w:szCs w:val="22"/>
        </w:rPr>
      </w:pPr>
    </w:p>
    <w:p w14:paraId="58EC0E83" w14:textId="72F58B95" w:rsidR="006029AA" w:rsidRDefault="006029AA" w:rsidP="007B0095">
      <w:pPr>
        <w:spacing w:line="276" w:lineRule="auto"/>
        <w:contextualSpacing/>
        <w:rPr>
          <w:rFonts w:ascii="Times New Roman" w:eastAsia="Times New Roman" w:hAnsi="Times New Roman" w:cs="Calibri"/>
          <w:sz w:val="22"/>
          <w:szCs w:val="22"/>
        </w:rPr>
      </w:pPr>
    </w:p>
    <w:p w14:paraId="50F8C4B8" w14:textId="7811ACDE" w:rsidR="006029AA" w:rsidRDefault="006029AA" w:rsidP="007B0095">
      <w:pPr>
        <w:spacing w:line="276" w:lineRule="auto"/>
        <w:contextualSpacing/>
        <w:rPr>
          <w:rFonts w:ascii="Times New Roman" w:eastAsia="Times New Roman" w:hAnsi="Times New Roman" w:cs="Calibri"/>
          <w:sz w:val="22"/>
          <w:szCs w:val="22"/>
        </w:rPr>
      </w:pPr>
    </w:p>
    <w:p w14:paraId="5921BCF4" w14:textId="60F46F5A" w:rsidR="006029AA" w:rsidRDefault="006029AA" w:rsidP="007B0095">
      <w:pPr>
        <w:spacing w:line="276" w:lineRule="auto"/>
        <w:contextualSpacing/>
        <w:rPr>
          <w:rFonts w:ascii="Times New Roman" w:eastAsia="Times New Roman" w:hAnsi="Times New Roman" w:cs="Calibri"/>
          <w:sz w:val="22"/>
          <w:szCs w:val="22"/>
        </w:rPr>
      </w:pPr>
    </w:p>
    <w:p w14:paraId="40C64B1D" w14:textId="77777777" w:rsidR="007B0095" w:rsidRPr="00C110F2" w:rsidRDefault="007B0095" w:rsidP="00434680">
      <w:pPr>
        <w:pStyle w:val="Prrafodelista"/>
        <w:numPr>
          <w:ilvl w:val="0"/>
          <w:numId w:val="24"/>
        </w:numPr>
        <w:tabs>
          <w:tab w:val="left" w:pos="426"/>
        </w:tabs>
        <w:spacing w:line="276" w:lineRule="auto"/>
        <w:ind w:left="0" w:firstLine="0"/>
        <w:jc w:val="both"/>
        <w:outlineLvl w:val="0"/>
        <w:rPr>
          <w:rFonts w:ascii="Times New Roman" w:eastAsia="Times New Roman" w:hAnsi="Times New Roman" w:cs="Times New Roman"/>
          <w:b/>
          <w:bCs/>
          <w:szCs w:val="26"/>
        </w:rPr>
      </w:pPr>
      <w:bookmarkStart w:id="191" w:name="_Toc125723300"/>
      <w:bookmarkStart w:id="192" w:name="_Toc94259654"/>
      <w:bookmarkStart w:id="193" w:name="_Toc160196868"/>
      <w:r w:rsidRPr="00C110F2">
        <w:rPr>
          <w:rFonts w:ascii="Times New Roman" w:eastAsiaTheme="majorEastAsia" w:hAnsi="Times New Roman" w:cs="Times New Roman"/>
          <w:b/>
          <w:bCs/>
          <w:sz w:val="26"/>
          <w:szCs w:val="26"/>
          <w:lang w:val="es-ES_tradnl" w:eastAsia="es-ES"/>
        </w:rPr>
        <w:lastRenderedPageBreak/>
        <w:t>Apéndice</w:t>
      </w:r>
      <w:bookmarkEnd w:id="191"/>
      <w:bookmarkEnd w:id="193"/>
      <w:r w:rsidRPr="00C110F2">
        <w:rPr>
          <w:rFonts w:ascii="Times New Roman" w:eastAsiaTheme="majorEastAsia" w:hAnsi="Times New Roman" w:cs="Times New Roman"/>
          <w:b/>
          <w:bCs/>
          <w:sz w:val="26"/>
          <w:szCs w:val="26"/>
          <w:lang w:val="es-ES_tradnl" w:eastAsia="es-ES"/>
        </w:rPr>
        <w:t xml:space="preserve"> </w:t>
      </w:r>
    </w:p>
    <w:p w14:paraId="123C78B8" w14:textId="77777777" w:rsidR="007B0095" w:rsidRPr="00C110F2" w:rsidRDefault="007B0095" w:rsidP="002C0B5C">
      <w:pPr>
        <w:pStyle w:val="Prrafodelista"/>
        <w:ind w:left="284"/>
        <w:jc w:val="both"/>
        <w:rPr>
          <w:rFonts w:ascii="Times New Roman" w:eastAsia="Times New Roman" w:hAnsi="Times New Roman" w:cs="Times New Roman"/>
          <w:b/>
          <w:bCs/>
          <w:szCs w:val="26"/>
        </w:rPr>
      </w:pPr>
    </w:p>
    <w:p w14:paraId="34EFF4E0" w14:textId="5F470BC6" w:rsidR="007B0095" w:rsidRPr="00F22DD8" w:rsidRDefault="007B0095" w:rsidP="00053BEC">
      <w:pPr>
        <w:pStyle w:val="Prrafodelista"/>
        <w:keepNext/>
        <w:keepLines/>
        <w:numPr>
          <w:ilvl w:val="1"/>
          <w:numId w:val="28"/>
        </w:numPr>
        <w:tabs>
          <w:tab w:val="left" w:pos="851"/>
        </w:tabs>
        <w:spacing w:line="276" w:lineRule="auto"/>
        <w:ind w:left="567"/>
        <w:jc w:val="both"/>
        <w:outlineLvl w:val="1"/>
        <w:rPr>
          <w:rFonts w:ascii="Times New Roman" w:eastAsia="Times New Roman" w:hAnsi="Times New Roman" w:cs="Times New Roman"/>
          <w:b/>
          <w:bCs/>
          <w:color w:val="000000" w:themeColor="text1"/>
          <w:sz w:val="28"/>
          <w:szCs w:val="28"/>
        </w:rPr>
      </w:pPr>
      <w:bookmarkStart w:id="194" w:name="_Toc125723301"/>
      <w:bookmarkStart w:id="195" w:name="_Toc160196869"/>
      <w:r w:rsidRPr="00F22DD8">
        <w:rPr>
          <w:rFonts w:ascii="Times New Roman" w:eastAsiaTheme="majorEastAsia" w:hAnsi="Times New Roman" w:cs="Times New Roman"/>
          <w:b/>
          <w:bCs/>
          <w:sz w:val="24"/>
          <w:szCs w:val="24"/>
        </w:rPr>
        <w:t xml:space="preserve">Contexto macroeconómico </w:t>
      </w:r>
      <w:bookmarkEnd w:id="192"/>
      <w:r w:rsidRPr="00F22DD8">
        <w:rPr>
          <w:rFonts w:ascii="Times New Roman" w:eastAsiaTheme="majorEastAsia" w:hAnsi="Times New Roman" w:cs="Times New Roman"/>
          <w:b/>
          <w:bCs/>
          <w:sz w:val="24"/>
          <w:szCs w:val="24"/>
        </w:rPr>
        <w:t>externo e interno en 202</w:t>
      </w:r>
      <w:bookmarkStart w:id="196" w:name="_Toc125458281"/>
      <w:bookmarkStart w:id="197" w:name="_Toc125458369"/>
      <w:bookmarkEnd w:id="194"/>
      <w:bookmarkEnd w:id="196"/>
      <w:bookmarkEnd w:id="197"/>
      <w:r w:rsidRPr="00F22DD8">
        <w:rPr>
          <w:rFonts w:ascii="Times New Roman" w:eastAsiaTheme="majorEastAsia" w:hAnsi="Times New Roman" w:cs="Times New Roman"/>
          <w:b/>
          <w:bCs/>
          <w:sz w:val="24"/>
          <w:szCs w:val="24"/>
        </w:rPr>
        <w:t>3</w:t>
      </w:r>
      <w:bookmarkEnd w:id="195"/>
    </w:p>
    <w:p w14:paraId="7491FA88" w14:textId="77777777" w:rsidR="007B0095" w:rsidRPr="00F22DD8" w:rsidRDefault="007B0095" w:rsidP="002C0B5C">
      <w:pPr>
        <w:pStyle w:val="Prrafodelista"/>
        <w:keepNext/>
        <w:keepLines/>
        <w:tabs>
          <w:tab w:val="left" w:pos="1134"/>
        </w:tabs>
        <w:ind w:left="360"/>
        <w:jc w:val="both"/>
        <w:rPr>
          <w:rFonts w:ascii="Times New Roman" w:eastAsia="Times New Roman" w:hAnsi="Times New Roman" w:cs="Times New Roman"/>
          <w:b/>
          <w:bCs/>
          <w:color w:val="000000" w:themeColor="text1"/>
        </w:rPr>
      </w:pPr>
    </w:p>
    <w:p w14:paraId="1F452659" w14:textId="0A172883" w:rsidR="007B0095" w:rsidRPr="00F22DD8" w:rsidRDefault="007B0095" w:rsidP="00053BEC">
      <w:pPr>
        <w:pStyle w:val="Prrafodelista"/>
        <w:keepNext/>
        <w:keepLines/>
        <w:numPr>
          <w:ilvl w:val="2"/>
          <w:numId w:val="28"/>
        </w:numPr>
        <w:tabs>
          <w:tab w:val="left" w:pos="1134"/>
        </w:tabs>
        <w:spacing w:line="276" w:lineRule="auto"/>
        <w:ind w:left="1134" w:hanging="567"/>
        <w:jc w:val="both"/>
        <w:outlineLvl w:val="2"/>
        <w:rPr>
          <w:rFonts w:ascii="Times New Roman" w:eastAsiaTheme="majorEastAsia" w:hAnsi="Times New Roman" w:cs="Times New Roman"/>
          <w:b/>
          <w:bCs/>
          <w:sz w:val="24"/>
          <w:szCs w:val="24"/>
        </w:rPr>
      </w:pPr>
      <w:bookmarkStart w:id="198" w:name="_Toc125723302"/>
      <w:bookmarkStart w:id="199" w:name="_Toc160196870"/>
      <w:r w:rsidRPr="00F22DD8">
        <w:rPr>
          <w:rFonts w:ascii="Times New Roman" w:eastAsiaTheme="majorEastAsia" w:hAnsi="Times New Roman" w:cs="Times New Roman"/>
          <w:b/>
          <w:bCs/>
          <w:sz w:val="24"/>
          <w:szCs w:val="24"/>
        </w:rPr>
        <w:t>Entorno Externo</w:t>
      </w:r>
      <w:bookmarkEnd w:id="198"/>
      <w:bookmarkEnd w:id="199"/>
    </w:p>
    <w:p w14:paraId="3ADCF063" w14:textId="77777777" w:rsidR="007B0095" w:rsidRPr="00C110F2" w:rsidRDefault="007B0095" w:rsidP="002C0B5C">
      <w:pPr>
        <w:pStyle w:val="Prrafodelista"/>
        <w:keepNext/>
        <w:keepLines/>
        <w:tabs>
          <w:tab w:val="left" w:pos="1134"/>
        </w:tabs>
        <w:ind w:left="1080"/>
        <w:jc w:val="both"/>
        <w:rPr>
          <w:rFonts w:ascii="Times New Roman" w:eastAsiaTheme="majorEastAsia" w:hAnsi="Times New Roman" w:cs="Times New Roman"/>
          <w:b/>
          <w:bCs/>
        </w:rPr>
      </w:pPr>
    </w:p>
    <w:p w14:paraId="48FEC774" w14:textId="4AD20F60" w:rsidR="007B0095" w:rsidRPr="00C110F2" w:rsidRDefault="00FA6735" w:rsidP="002C0B5C">
      <w:pPr>
        <w:pStyle w:val="Prrafodelista"/>
        <w:numPr>
          <w:ilvl w:val="0"/>
          <w:numId w:val="13"/>
        </w:numPr>
        <w:ind w:hanging="294"/>
        <w:jc w:val="both"/>
        <w:rPr>
          <w:rFonts w:ascii="Times New Roman" w:eastAsiaTheme="majorEastAsia" w:hAnsi="Times New Roman" w:cs="Times New Roman"/>
        </w:rPr>
      </w:pPr>
      <w:r>
        <w:rPr>
          <w:rFonts w:ascii="Times New Roman" w:eastAsia="Times New Roman" w:hAnsi="Times New Roman" w:cs="Times New Roman"/>
        </w:rPr>
        <w:t>Años</w:t>
      </w:r>
      <w:r w:rsidR="007B0095" w:rsidRPr="00C110F2">
        <w:rPr>
          <w:rFonts w:ascii="Times New Roman" w:eastAsiaTheme="majorEastAsia" w:hAnsi="Times New Roman" w:cs="Times New Roman"/>
        </w:rPr>
        <w:t xml:space="preserve"> después de la pandemia COVID-19, que fue uno de los choques económicos más fuertes en el último siglo y del conflicto bélico entre Rusia y Ucrania, la recuperación económica mundial ha sido lenta y desigual entre los países. En 2023 la economía mundial mostró resiliencia, siendo impulsada por la </w:t>
      </w:r>
      <w:r w:rsidR="007B0095" w:rsidRPr="00C110F2">
        <w:rPr>
          <w:rFonts w:ascii="Times New Roman" w:eastAsia="Times New Roman" w:hAnsi="Times New Roman" w:cs="Times New Roman"/>
        </w:rPr>
        <w:t>normalización</w:t>
      </w:r>
      <w:r w:rsidR="007B0095" w:rsidRPr="00C110F2">
        <w:rPr>
          <w:rFonts w:ascii="Times New Roman" w:eastAsiaTheme="majorEastAsia" w:hAnsi="Times New Roman" w:cs="Times New Roman"/>
        </w:rPr>
        <w:t xml:space="preserve"> de las economías después de la pandemia</w:t>
      </w:r>
      <w:r w:rsidR="00AA3046">
        <w:rPr>
          <w:rFonts w:ascii="Times New Roman" w:eastAsiaTheme="majorEastAsia" w:hAnsi="Times New Roman" w:cs="Times New Roman"/>
        </w:rPr>
        <w:t xml:space="preserve"> y</w:t>
      </w:r>
      <w:r w:rsidR="007B0095" w:rsidRPr="00C110F2">
        <w:rPr>
          <w:rFonts w:ascii="Times New Roman" w:eastAsiaTheme="majorEastAsia" w:hAnsi="Times New Roman" w:cs="Times New Roman"/>
        </w:rPr>
        <w:t xml:space="preserve"> </w:t>
      </w:r>
      <w:r w:rsidR="00AA3046">
        <w:rPr>
          <w:rFonts w:ascii="Times New Roman" w:eastAsiaTheme="majorEastAsia" w:hAnsi="Times New Roman" w:cs="Times New Roman"/>
        </w:rPr>
        <w:t>l</w:t>
      </w:r>
      <w:r w:rsidR="00AA3046" w:rsidRPr="00C110F2">
        <w:rPr>
          <w:rFonts w:ascii="Times New Roman" w:eastAsiaTheme="majorEastAsia" w:hAnsi="Times New Roman" w:cs="Times New Roman"/>
        </w:rPr>
        <w:t xml:space="preserve">a </w:t>
      </w:r>
      <w:r w:rsidR="007B0095" w:rsidRPr="00C110F2">
        <w:rPr>
          <w:rFonts w:ascii="Times New Roman" w:eastAsiaTheme="majorEastAsia" w:hAnsi="Times New Roman" w:cs="Times New Roman"/>
        </w:rPr>
        <w:t>inflación que empezó a disminuir en la mayoría de las economías. No obstante, existen factores que frenan la recuperación, entre las cuales destacan las consecuencias estructurales negativas en las economías después de la pandemia, además de otros factores cíclicos, como el endurecimiento de la política monetaria</w:t>
      </w:r>
      <w:r w:rsidR="002E5F74">
        <w:rPr>
          <w:rFonts w:ascii="Times New Roman" w:eastAsiaTheme="majorEastAsia" w:hAnsi="Times New Roman" w:cs="Times New Roman"/>
        </w:rPr>
        <w:t>, cambiaria y crediticia</w:t>
      </w:r>
      <w:r w:rsidR="007B0095" w:rsidRPr="00C110F2">
        <w:rPr>
          <w:rFonts w:ascii="Times New Roman" w:eastAsiaTheme="majorEastAsia" w:hAnsi="Times New Roman" w:cs="Times New Roman"/>
        </w:rPr>
        <w:t>, el retroceso del apoyo fiscal, alto endeudamiento, entre otros.</w:t>
      </w:r>
    </w:p>
    <w:p w14:paraId="71367D89" w14:textId="77777777" w:rsidR="007B0095" w:rsidRPr="00C110F2" w:rsidRDefault="007B0095" w:rsidP="002C0B5C">
      <w:pPr>
        <w:pStyle w:val="Prrafodelista"/>
        <w:keepNext/>
        <w:keepLines/>
        <w:tabs>
          <w:tab w:val="left" w:pos="1134"/>
        </w:tabs>
        <w:ind w:hanging="294"/>
        <w:jc w:val="both"/>
        <w:outlineLvl w:val="1"/>
        <w:rPr>
          <w:rFonts w:ascii="Times New Roman" w:eastAsiaTheme="majorEastAsia" w:hAnsi="Times New Roman" w:cs="Times New Roman"/>
        </w:rPr>
      </w:pPr>
    </w:p>
    <w:p w14:paraId="527AED26" w14:textId="7CFBC657" w:rsidR="007B0095" w:rsidRPr="00C110F2" w:rsidRDefault="007B0095" w:rsidP="002C0B5C">
      <w:pPr>
        <w:pStyle w:val="Prrafodelista"/>
        <w:numPr>
          <w:ilvl w:val="0"/>
          <w:numId w:val="13"/>
        </w:numPr>
        <w:ind w:hanging="294"/>
        <w:jc w:val="both"/>
        <w:rPr>
          <w:rFonts w:ascii="Times New Roman" w:eastAsiaTheme="majorEastAsia" w:hAnsi="Times New Roman" w:cs="Times New Roman"/>
        </w:rPr>
      </w:pPr>
      <w:r w:rsidRPr="00C110F2">
        <w:rPr>
          <w:rFonts w:ascii="Times New Roman" w:eastAsiaTheme="majorEastAsia" w:hAnsi="Times New Roman" w:cs="Times New Roman"/>
        </w:rPr>
        <w:t xml:space="preserve">En este año, el Fondo Monetario Internacional -FMI- estima que el crecimiento mundial de 2023 cierre en 3.0%, mostrando desaceleración con respecto el crecimiento del año anterior </w:t>
      </w:r>
      <w:r w:rsidR="00AA3046">
        <w:rPr>
          <w:rFonts w:ascii="Times New Roman" w:eastAsiaTheme="majorEastAsia" w:hAnsi="Times New Roman" w:cs="Times New Roman"/>
        </w:rPr>
        <w:t xml:space="preserve">por </w:t>
      </w:r>
      <w:r w:rsidRPr="00C110F2">
        <w:rPr>
          <w:rFonts w:ascii="Times New Roman" w:eastAsiaTheme="majorEastAsia" w:hAnsi="Times New Roman" w:cs="Times New Roman"/>
        </w:rPr>
        <w:t>0.5 puntos porcentuales.  Las economías avanzadas han sido la principal razón de la ralentización del crecimiento mundial, dado que se observó una débil actividad económica en el sector manufacturero, el crecimiento esperado para estas economías es de 1.5%. Por su parte</w:t>
      </w:r>
      <w:r w:rsidR="00AA3046">
        <w:rPr>
          <w:rFonts w:ascii="Times New Roman" w:eastAsiaTheme="majorEastAsia" w:hAnsi="Times New Roman" w:cs="Times New Roman"/>
        </w:rPr>
        <w:t>,</w:t>
      </w:r>
      <w:r w:rsidRPr="00C110F2">
        <w:rPr>
          <w:rFonts w:ascii="Times New Roman" w:eastAsiaTheme="majorEastAsia" w:hAnsi="Times New Roman" w:cs="Times New Roman"/>
        </w:rPr>
        <w:t xml:space="preserve"> para las economías emergentes y en desarrollo se espera crecimiento de 4.0%, con divergencias regionales en el mismo.</w:t>
      </w:r>
    </w:p>
    <w:p w14:paraId="50E8B8B9" w14:textId="77777777" w:rsidR="007B0095" w:rsidRPr="00C110F2" w:rsidRDefault="007B0095" w:rsidP="002C0B5C">
      <w:pPr>
        <w:pStyle w:val="Prrafodelista"/>
        <w:ind w:hanging="294"/>
        <w:rPr>
          <w:rFonts w:ascii="Times New Roman" w:eastAsiaTheme="majorEastAsia" w:hAnsi="Times New Roman" w:cs="Times New Roman"/>
        </w:rPr>
      </w:pPr>
    </w:p>
    <w:p w14:paraId="0B037CF5" w14:textId="70C418D2" w:rsidR="007B0095" w:rsidRPr="00C110F2" w:rsidRDefault="007B0095" w:rsidP="002C0B5C">
      <w:pPr>
        <w:pStyle w:val="Prrafodelista"/>
        <w:numPr>
          <w:ilvl w:val="0"/>
          <w:numId w:val="13"/>
        </w:numPr>
        <w:ind w:hanging="294"/>
        <w:jc w:val="both"/>
        <w:rPr>
          <w:rFonts w:ascii="Times New Roman" w:eastAsiaTheme="majorEastAsia" w:hAnsi="Times New Roman" w:cs="Times New Roman"/>
        </w:rPr>
      </w:pPr>
      <w:r w:rsidRPr="00C110F2">
        <w:rPr>
          <w:rFonts w:ascii="Times New Roman" w:eastAsiaTheme="majorEastAsia" w:hAnsi="Times New Roman" w:cs="Times New Roman"/>
        </w:rPr>
        <w:t xml:space="preserve">La perspectiva de crecimiento de la economía mundial estuvo en deterioro hasta octubre del 2022, año en el que se preveía que el crecimiento de 2023 sería de 2.7%, </w:t>
      </w:r>
      <w:r w:rsidR="00AA3046">
        <w:rPr>
          <w:rFonts w:ascii="Times New Roman" w:eastAsiaTheme="majorEastAsia" w:hAnsi="Times New Roman" w:cs="Times New Roman"/>
        </w:rPr>
        <w:t>derivado de</w:t>
      </w:r>
      <w:r w:rsidRPr="00C110F2">
        <w:rPr>
          <w:rFonts w:ascii="Times New Roman" w:eastAsiaTheme="majorEastAsia" w:hAnsi="Times New Roman" w:cs="Times New Roman"/>
        </w:rPr>
        <w:t xml:space="preserve"> los rebrotes de la pandemia observados en China, la alta inflación en muchos países observada desde finales del 2021</w:t>
      </w:r>
      <w:r w:rsidR="00AA3046">
        <w:rPr>
          <w:rFonts w:ascii="Times New Roman" w:eastAsiaTheme="majorEastAsia" w:hAnsi="Times New Roman" w:cs="Times New Roman"/>
        </w:rPr>
        <w:t xml:space="preserve"> y</w:t>
      </w:r>
      <w:r w:rsidRPr="00C110F2">
        <w:rPr>
          <w:rFonts w:ascii="Times New Roman" w:eastAsiaTheme="majorEastAsia" w:hAnsi="Times New Roman" w:cs="Times New Roman"/>
        </w:rPr>
        <w:t xml:space="preserve"> el conflicto entre Rusia y Ucrania</w:t>
      </w:r>
      <w:r w:rsidR="00AA3046">
        <w:rPr>
          <w:rFonts w:ascii="Times New Roman" w:eastAsiaTheme="majorEastAsia" w:hAnsi="Times New Roman" w:cs="Times New Roman"/>
        </w:rPr>
        <w:t>,</w:t>
      </w:r>
      <w:r w:rsidRPr="00C110F2">
        <w:rPr>
          <w:rFonts w:ascii="Times New Roman" w:eastAsiaTheme="majorEastAsia" w:hAnsi="Times New Roman" w:cs="Times New Roman"/>
        </w:rPr>
        <w:t xml:space="preserve"> que tuvieron una repercusión en los precios de las materias primas de agricultura y energía. No obstante, la perspectiva mejoró, principalmente </w:t>
      </w:r>
      <w:r w:rsidR="00AA3046">
        <w:rPr>
          <w:rFonts w:ascii="Times New Roman" w:eastAsiaTheme="majorEastAsia" w:hAnsi="Times New Roman" w:cs="Times New Roman"/>
        </w:rPr>
        <w:t xml:space="preserve">por </w:t>
      </w:r>
      <w:r w:rsidRPr="00C110F2">
        <w:rPr>
          <w:rFonts w:ascii="Times New Roman" w:eastAsiaTheme="majorEastAsia" w:hAnsi="Times New Roman" w:cs="Times New Roman"/>
        </w:rPr>
        <w:t>la resiliencia de la economía de Estados Unidos en 2023, aumentando su perspectiva</w:t>
      </w:r>
      <w:r>
        <w:rPr>
          <w:rFonts w:ascii="Times New Roman" w:eastAsiaTheme="majorEastAsia" w:hAnsi="Times New Roman" w:cs="Times New Roman"/>
        </w:rPr>
        <w:t xml:space="preserve"> en</w:t>
      </w:r>
      <w:r w:rsidRPr="00C110F2">
        <w:rPr>
          <w:rFonts w:ascii="Times New Roman" w:eastAsiaTheme="majorEastAsia" w:hAnsi="Times New Roman" w:cs="Times New Roman"/>
        </w:rPr>
        <w:t xml:space="preserve"> 1 punto porcentual </w:t>
      </w:r>
      <w:r>
        <w:rPr>
          <w:rFonts w:ascii="Times New Roman" w:eastAsiaTheme="majorEastAsia" w:hAnsi="Times New Roman" w:cs="Times New Roman"/>
        </w:rPr>
        <w:t>en</w:t>
      </w:r>
      <w:r w:rsidRPr="00C110F2">
        <w:rPr>
          <w:rFonts w:ascii="Times New Roman" w:eastAsiaTheme="majorEastAsia" w:hAnsi="Times New Roman" w:cs="Times New Roman"/>
        </w:rPr>
        <w:t xml:space="preserve"> octubre de 2022 a octubre del 2023 y al descenso de la inflación en la mayoría de países. Para la Zona del </w:t>
      </w:r>
      <w:proofErr w:type="gramStart"/>
      <w:r w:rsidRPr="00C110F2">
        <w:rPr>
          <w:rFonts w:ascii="Times New Roman" w:eastAsiaTheme="majorEastAsia" w:hAnsi="Times New Roman" w:cs="Times New Roman"/>
        </w:rPr>
        <w:t>Euro</w:t>
      </w:r>
      <w:proofErr w:type="gramEnd"/>
      <w:r w:rsidRPr="00C110F2">
        <w:rPr>
          <w:rFonts w:ascii="Times New Roman" w:eastAsiaTheme="majorEastAsia" w:hAnsi="Times New Roman" w:cs="Times New Roman"/>
        </w:rPr>
        <w:t xml:space="preserve"> la perspectiva se deterioró, debido al efecto de la demanda agregada por los altos precios de </w:t>
      </w:r>
      <w:r>
        <w:rPr>
          <w:rFonts w:ascii="Times New Roman" w:eastAsiaTheme="majorEastAsia" w:hAnsi="Times New Roman" w:cs="Times New Roman"/>
        </w:rPr>
        <w:t xml:space="preserve">la </w:t>
      </w:r>
      <w:r w:rsidRPr="00C110F2">
        <w:rPr>
          <w:rFonts w:ascii="Times New Roman" w:eastAsiaTheme="majorEastAsia" w:hAnsi="Times New Roman" w:cs="Times New Roman"/>
        </w:rPr>
        <w:t xml:space="preserve">energía y el endurecimiento de la política monetaria. En América Latina existió un deterioro de la perspectiva de crecimiento hasta abril de 2023, por el efecto del descenso del precio de las materias prima y la disminución de la demanda externa, no obstante, </w:t>
      </w:r>
      <w:r w:rsidR="00AA3046">
        <w:rPr>
          <w:rFonts w:ascii="Times New Roman" w:eastAsiaTheme="majorEastAsia" w:hAnsi="Times New Roman" w:cs="Times New Roman"/>
        </w:rPr>
        <w:t>é</w:t>
      </w:r>
      <w:r w:rsidRPr="00C110F2">
        <w:rPr>
          <w:rFonts w:ascii="Times New Roman" w:eastAsiaTheme="majorEastAsia" w:hAnsi="Times New Roman" w:cs="Times New Roman"/>
        </w:rPr>
        <w:t>sta se revis</w:t>
      </w:r>
      <w:r>
        <w:rPr>
          <w:rFonts w:ascii="Times New Roman" w:eastAsiaTheme="majorEastAsia" w:hAnsi="Times New Roman" w:cs="Times New Roman"/>
        </w:rPr>
        <w:t>ó</w:t>
      </w:r>
      <w:r w:rsidRPr="00C110F2">
        <w:rPr>
          <w:rFonts w:ascii="Times New Roman" w:eastAsiaTheme="majorEastAsia" w:hAnsi="Times New Roman" w:cs="Times New Roman"/>
        </w:rPr>
        <w:t xml:space="preserve"> al alza en octubre de 2023 debido a </w:t>
      </w:r>
      <w:r w:rsidR="00AA3046">
        <w:rPr>
          <w:rFonts w:ascii="Times New Roman" w:eastAsiaTheme="majorEastAsia" w:hAnsi="Times New Roman" w:cs="Times New Roman"/>
        </w:rPr>
        <w:t xml:space="preserve">la </w:t>
      </w:r>
      <w:r w:rsidRPr="00C110F2">
        <w:rPr>
          <w:rFonts w:ascii="Times New Roman" w:eastAsiaTheme="majorEastAsia" w:hAnsi="Times New Roman" w:cs="Times New Roman"/>
        </w:rPr>
        <w:t xml:space="preserve">mejor </w:t>
      </w:r>
      <w:r w:rsidR="00B3102D">
        <w:rPr>
          <w:rFonts w:ascii="Times New Roman" w:eastAsiaTheme="majorEastAsia" w:hAnsi="Times New Roman" w:cs="Times New Roman"/>
        </w:rPr>
        <w:t>expectativa</w:t>
      </w:r>
      <w:r w:rsidR="00AA3046" w:rsidRPr="00C110F2">
        <w:rPr>
          <w:rFonts w:ascii="Times New Roman" w:eastAsiaTheme="majorEastAsia" w:hAnsi="Times New Roman" w:cs="Times New Roman"/>
        </w:rPr>
        <w:t xml:space="preserve"> </w:t>
      </w:r>
      <w:r w:rsidRPr="00C110F2">
        <w:rPr>
          <w:rFonts w:ascii="Times New Roman" w:eastAsiaTheme="majorEastAsia" w:hAnsi="Times New Roman" w:cs="Times New Roman"/>
        </w:rPr>
        <w:t>de crecimiento de Brasil, por el dinamismo en el sector de agricultura y servicios, además de un robusto consumo fortalecido por el estímulo fiscal.</w:t>
      </w:r>
    </w:p>
    <w:p w14:paraId="37D358F7" w14:textId="2968EB6D" w:rsidR="00A07366" w:rsidRDefault="00A07366" w:rsidP="00434680">
      <w:pPr>
        <w:rPr>
          <w:rFonts w:ascii="Times New Roman" w:eastAsiaTheme="majorEastAsia" w:hAnsi="Times New Roman" w:cs="Times New Roman"/>
          <w:b/>
          <w:bCs/>
        </w:rPr>
      </w:pPr>
    </w:p>
    <w:p w14:paraId="391C7B41" w14:textId="14B15178" w:rsidR="00F22DD8" w:rsidRDefault="00F22DD8" w:rsidP="00434680">
      <w:pPr>
        <w:rPr>
          <w:rFonts w:ascii="Times New Roman" w:eastAsiaTheme="majorEastAsia" w:hAnsi="Times New Roman" w:cs="Times New Roman"/>
          <w:b/>
          <w:bCs/>
        </w:rPr>
      </w:pPr>
    </w:p>
    <w:p w14:paraId="718F2ECD" w14:textId="0F432AA6" w:rsidR="00F22DD8" w:rsidRDefault="00F22DD8" w:rsidP="00434680">
      <w:pPr>
        <w:rPr>
          <w:rFonts w:ascii="Times New Roman" w:eastAsiaTheme="majorEastAsia" w:hAnsi="Times New Roman" w:cs="Times New Roman"/>
          <w:b/>
          <w:bCs/>
        </w:rPr>
      </w:pPr>
    </w:p>
    <w:p w14:paraId="1EC7C9A5" w14:textId="0CA5E7BD" w:rsidR="00F22DD8" w:rsidRDefault="00F22DD8" w:rsidP="00434680">
      <w:pPr>
        <w:rPr>
          <w:rFonts w:ascii="Times New Roman" w:eastAsiaTheme="majorEastAsia" w:hAnsi="Times New Roman" w:cs="Times New Roman"/>
          <w:b/>
          <w:bCs/>
        </w:rPr>
      </w:pPr>
    </w:p>
    <w:p w14:paraId="44883EF5" w14:textId="77777777" w:rsidR="008D7984" w:rsidRDefault="008D7984" w:rsidP="00434680">
      <w:pPr>
        <w:rPr>
          <w:rFonts w:ascii="Times New Roman" w:eastAsiaTheme="majorEastAsia" w:hAnsi="Times New Roman" w:cs="Times New Roman"/>
          <w:b/>
          <w:bCs/>
        </w:rPr>
      </w:pPr>
    </w:p>
    <w:p w14:paraId="53B7E512" w14:textId="7E02D8A3" w:rsidR="00F22DD8" w:rsidRDefault="00F22DD8" w:rsidP="00434680">
      <w:pPr>
        <w:rPr>
          <w:rFonts w:ascii="Times New Roman" w:eastAsiaTheme="majorEastAsia" w:hAnsi="Times New Roman" w:cs="Times New Roman"/>
          <w:b/>
          <w:bCs/>
        </w:rPr>
      </w:pPr>
    </w:p>
    <w:p w14:paraId="04A27D6C" w14:textId="4C661254" w:rsidR="00F22DD8" w:rsidRDefault="00F22DD8" w:rsidP="00434680">
      <w:pPr>
        <w:rPr>
          <w:rFonts w:ascii="Times New Roman" w:eastAsiaTheme="majorEastAsia" w:hAnsi="Times New Roman" w:cs="Times New Roman"/>
          <w:b/>
          <w:bCs/>
        </w:rPr>
      </w:pPr>
    </w:p>
    <w:p w14:paraId="02DA0D04" w14:textId="77777777" w:rsidR="00F22DD8" w:rsidRPr="00C110F2" w:rsidRDefault="00F22DD8" w:rsidP="00434680">
      <w:pPr>
        <w:rPr>
          <w:rFonts w:ascii="Times New Roman" w:eastAsiaTheme="majorEastAsia" w:hAnsi="Times New Roman" w:cs="Times New Roman"/>
          <w:b/>
          <w:bCs/>
        </w:rPr>
      </w:pPr>
    </w:p>
    <w:tbl>
      <w:tblPr>
        <w:tblStyle w:val="Tablaconcuadrcula"/>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8"/>
      </w:tblGrid>
      <w:tr w:rsidR="007B0095" w:rsidRPr="00C110F2" w14:paraId="35D998B0" w14:textId="77777777" w:rsidTr="00973C72">
        <w:tc>
          <w:tcPr>
            <w:tcW w:w="8828" w:type="dxa"/>
          </w:tcPr>
          <w:p w14:paraId="7787A3F0" w14:textId="178B6797" w:rsidR="007B0095" w:rsidRDefault="00434680" w:rsidP="00434680">
            <w:pPr>
              <w:pStyle w:val="Descripcin"/>
              <w:keepNext/>
              <w:spacing w:after="0"/>
              <w:jc w:val="both"/>
              <w:rPr>
                <w:rFonts w:eastAsia="Times New Roman" w:cs="Times New Roman"/>
                <w:sz w:val="22"/>
                <w:szCs w:val="22"/>
                <w:lang w:val="es-ES_tradnl" w:eastAsia="es-ES"/>
              </w:rPr>
            </w:pPr>
            <w:bookmarkStart w:id="200" w:name="_Toc125534817"/>
            <w:r>
              <w:lastRenderedPageBreak/>
              <w:t xml:space="preserve">           </w:t>
            </w:r>
            <w:bookmarkStart w:id="201" w:name="_Toc160196931"/>
            <w:r w:rsidRPr="00F22DD8">
              <w:rPr>
                <w:sz w:val="22"/>
                <w:szCs w:val="22"/>
              </w:rPr>
              <w:t xml:space="preserve">Tabla </w:t>
            </w:r>
            <w:r w:rsidR="00FE230E" w:rsidRPr="00F22DD8">
              <w:rPr>
                <w:sz w:val="22"/>
                <w:szCs w:val="22"/>
              </w:rPr>
              <w:fldChar w:fldCharType="begin"/>
            </w:r>
            <w:r w:rsidR="00FE230E" w:rsidRPr="00F22DD8">
              <w:rPr>
                <w:sz w:val="22"/>
                <w:szCs w:val="22"/>
              </w:rPr>
              <w:instrText xml:space="preserve"> SEQ Tabla \* ARABIC </w:instrText>
            </w:r>
            <w:r w:rsidR="00FE230E" w:rsidRPr="00F22DD8">
              <w:rPr>
                <w:sz w:val="22"/>
                <w:szCs w:val="22"/>
              </w:rPr>
              <w:fldChar w:fldCharType="separate"/>
            </w:r>
            <w:r w:rsidR="00C015DC">
              <w:rPr>
                <w:noProof/>
                <w:sz w:val="22"/>
                <w:szCs w:val="22"/>
              </w:rPr>
              <w:t>16</w:t>
            </w:r>
            <w:r w:rsidR="00FE230E" w:rsidRPr="00F22DD8">
              <w:rPr>
                <w:noProof/>
                <w:sz w:val="22"/>
                <w:szCs w:val="22"/>
              </w:rPr>
              <w:fldChar w:fldCharType="end"/>
            </w:r>
            <w:r w:rsidRPr="00F22DD8">
              <w:rPr>
                <w:sz w:val="22"/>
                <w:szCs w:val="22"/>
              </w:rPr>
              <w:t xml:space="preserve">.  </w:t>
            </w:r>
            <w:r w:rsidR="007B0095" w:rsidRPr="00C110F2">
              <w:rPr>
                <w:rFonts w:eastAsia="Times New Roman" w:cs="Times New Roman"/>
                <w:sz w:val="22"/>
                <w:szCs w:val="22"/>
                <w:lang w:val="es-ES_tradnl" w:eastAsia="es-ES"/>
              </w:rPr>
              <w:t>Evolución de las estimaciones de cierre 2023 según el FMI</w:t>
            </w:r>
            <w:bookmarkEnd w:id="200"/>
            <w:bookmarkEnd w:id="201"/>
          </w:p>
          <w:p w14:paraId="1802934C" w14:textId="0C9627F5" w:rsidR="00434680" w:rsidRPr="00F22DD8" w:rsidRDefault="00434680" w:rsidP="00434680">
            <w:pPr>
              <w:rPr>
                <w:sz w:val="2"/>
                <w:szCs w:val="2"/>
                <w:lang w:val="es-ES_tradnl" w:eastAsia="es-ES"/>
              </w:rPr>
            </w:pPr>
          </w:p>
        </w:tc>
      </w:tr>
      <w:tr w:rsidR="007B0095" w:rsidRPr="00C110F2" w14:paraId="4F869949" w14:textId="77777777" w:rsidTr="00973C72">
        <w:tc>
          <w:tcPr>
            <w:tcW w:w="8828" w:type="dxa"/>
          </w:tcPr>
          <w:tbl>
            <w:tblPr>
              <w:tblStyle w:val="Tablaconcuadrcula"/>
              <w:tblW w:w="0" w:type="auto"/>
              <w:jc w:val="center"/>
              <w:tblLook w:val="04A0" w:firstRow="1" w:lastRow="0" w:firstColumn="1" w:lastColumn="0" w:noHBand="0" w:noVBand="1"/>
            </w:tblPr>
            <w:tblGrid>
              <w:gridCol w:w="1476"/>
              <w:gridCol w:w="668"/>
              <w:gridCol w:w="612"/>
              <w:gridCol w:w="602"/>
              <w:gridCol w:w="820"/>
              <w:gridCol w:w="668"/>
              <w:gridCol w:w="612"/>
              <w:gridCol w:w="602"/>
              <w:gridCol w:w="790"/>
            </w:tblGrid>
            <w:tr w:rsidR="007B0095" w:rsidRPr="00C110F2" w14:paraId="58CB510A" w14:textId="77777777" w:rsidTr="00434680">
              <w:trPr>
                <w:trHeight w:val="19"/>
                <w:tblHeader/>
                <w:jc w:val="center"/>
              </w:trPr>
              <w:tc>
                <w:tcPr>
                  <w:tcW w:w="1476" w:type="dxa"/>
                  <w:shd w:val="clear" w:color="auto" w:fill="5B9BD5" w:themeFill="accent5"/>
                  <w:vAlign w:val="center"/>
                </w:tcPr>
                <w:p w14:paraId="77C355C0" w14:textId="77777777" w:rsidR="007B0095" w:rsidRPr="00C110F2" w:rsidRDefault="007B0095" w:rsidP="00973C72">
                  <w:pPr>
                    <w:jc w:val="both"/>
                    <w:rPr>
                      <w:rFonts w:ascii="Times New Roman" w:hAnsi="Times New Roman" w:cs="Times New Roman"/>
                      <w:b/>
                      <w:bCs/>
                      <w:sz w:val="14"/>
                      <w:szCs w:val="16"/>
                    </w:rPr>
                  </w:pPr>
                  <w:r w:rsidRPr="00C110F2">
                    <w:rPr>
                      <w:rFonts w:ascii="Times New Roman" w:hAnsi="Times New Roman" w:cs="Times New Roman"/>
                      <w:b/>
                      <w:bCs/>
                      <w:sz w:val="14"/>
                      <w:szCs w:val="16"/>
                    </w:rPr>
                    <w:t>PIB real, variación porcentual anual</w:t>
                  </w:r>
                </w:p>
              </w:tc>
              <w:tc>
                <w:tcPr>
                  <w:tcW w:w="668" w:type="dxa"/>
                  <w:shd w:val="clear" w:color="auto" w:fill="5B9BD5" w:themeFill="accent5"/>
                  <w:vAlign w:val="center"/>
                </w:tcPr>
                <w:p w14:paraId="1BBDA156" w14:textId="77777777" w:rsidR="007B0095" w:rsidRPr="00C110F2" w:rsidRDefault="007B0095" w:rsidP="00973C72">
                  <w:pPr>
                    <w:jc w:val="center"/>
                    <w:rPr>
                      <w:rFonts w:ascii="Times New Roman" w:hAnsi="Times New Roman" w:cs="Times New Roman"/>
                      <w:b/>
                      <w:bCs/>
                      <w:sz w:val="14"/>
                      <w:szCs w:val="16"/>
                    </w:rPr>
                  </w:pPr>
                  <w:r w:rsidRPr="00C110F2">
                    <w:rPr>
                      <w:rFonts w:ascii="Times New Roman" w:hAnsi="Times New Roman" w:cs="Times New Roman"/>
                      <w:b/>
                      <w:bCs/>
                      <w:sz w:val="14"/>
                      <w:szCs w:val="16"/>
                    </w:rPr>
                    <w:t>Enero 2022</w:t>
                  </w:r>
                </w:p>
              </w:tc>
              <w:tc>
                <w:tcPr>
                  <w:tcW w:w="612" w:type="dxa"/>
                  <w:shd w:val="clear" w:color="auto" w:fill="5B9BD5" w:themeFill="accent5"/>
                  <w:vAlign w:val="center"/>
                </w:tcPr>
                <w:p w14:paraId="54E31A03" w14:textId="77777777" w:rsidR="007B0095" w:rsidRPr="00C110F2" w:rsidRDefault="007B0095" w:rsidP="00973C72">
                  <w:pPr>
                    <w:jc w:val="center"/>
                    <w:rPr>
                      <w:rFonts w:ascii="Times New Roman" w:hAnsi="Times New Roman" w:cs="Times New Roman"/>
                      <w:b/>
                      <w:bCs/>
                      <w:sz w:val="14"/>
                      <w:szCs w:val="16"/>
                    </w:rPr>
                  </w:pPr>
                  <w:r w:rsidRPr="00C110F2">
                    <w:rPr>
                      <w:rFonts w:ascii="Times New Roman" w:hAnsi="Times New Roman" w:cs="Times New Roman"/>
                      <w:b/>
                      <w:bCs/>
                      <w:sz w:val="14"/>
                      <w:szCs w:val="16"/>
                    </w:rPr>
                    <w:t>Abril 2022</w:t>
                  </w:r>
                </w:p>
              </w:tc>
              <w:tc>
                <w:tcPr>
                  <w:tcW w:w="602" w:type="dxa"/>
                  <w:shd w:val="clear" w:color="auto" w:fill="5B9BD5" w:themeFill="accent5"/>
                  <w:vAlign w:val="center"/>
                </w:tcPr>
                <w:p w14:paraId="2769C0A7" w14:textId="77777777" w:rsidR="007B0095" w:rsidRPr="00C110F2" w:rsidRDefault="007B0095" w:rsidP="00973C72">
                  <w:pPr>
                    <w:jc w:val="center"/>
                    <w:rPr>
                      <w:rFonts w:ascii="Times New Roman" w:hAnsi="Times New Roman" w:cs="Times New Roman"/>
                      <w:b/>
                      <w:bCs/>
                      <w:sz w:val="14"/>
                      <w:szCs w:val="16"/>
                    </w:rPr>
                  </w:pPr>
                  <w:r w:rsidRPr="00C110F2">
                    <w:rPr>
                      <w:rFonts w:ascii="Times New Roman" w:hAnsi="Times New Roman" w:cs="Times New Roman"/>
                      <w:b/>
                      <w:bCs/>
                      <w:sz w:val="14"/>
                      <w:szCs w:val="16"/>
                    </w:rPr>
                    <w:t>Julio 2022</w:t>
                  </w:r>
                </w:p>
              </w:tc>
              <w:tc>
                <w:tcPr>
                  <w:tcW w:w="820" w:type="dxa"/>
                  <w:shd w:val="clear" w:color="auto" w:fill="5B9BD5" w:themeFill="accent5"/>
                  <w:vAlign w:val="center"/>
                </w:tcPr>
                <w:p w14:paraId="1F109F29" w14:textId="77777777" w:rsidR="007B0095" w:rsidRPr="00C110F2" w:rsidRDefault="007B0095" w:rsidP="00973C72">
                  <w:pPr>
                    <w:jc w:val="center"/>
                    <w:rPr>
                      <w:rFonts w:ascii="Times New Roman" w:hAnsi="Times New Roman" w:cs="Times New Roman"/>
                      <w:b/>
                      <w:bCs/>
                      <w:sz w:val="14"/>
                      <w:szCs w:val="16"/>
                    </w:rPr>
                  </w:pPr>
                  <w:r w:rsidRPr="00C110F2">
                    <w:rPr>
                      <w:rFonts w:ascii="Times New Roman" w:hAnsi="Times New Roman" w:cs="Times New Roman"/>
                      <w:b/>
                      <w:bCs/>
                      <w:sz w:val="14"/>
                      <w:szCs w:val="16"/>
                    </w:rPr>
                    <w:t>Octubre 2022</w:t>
                  </w:r>
                </w:p>
              </w:tc>
              <w:tc>
                <w:tcPr>
                  <w:tcW w:w="668" w:type="dxa"/>
                  <w:shd w:val="clear" w:color="auto" w:fill="5B9BD5" w:themeFill="accent5"/>
                  <w:vAlign w:val="center"/>
                </w:tcPr>
                <w:p w14:paraId="5BB6AF3A" w14:textId="77777777" w:rsidR="007B0095" w:rsidRPr="00C110F2" w:rsidRDefault="007B0095" w:rsidP="00973C72">
                  <w:pPr>
                    <w:jc w:val="center"/>
                    <w:rPr>
                      <w:rFonts w:ascii="Times New Roman" w:hAnsi="Times New Roman" w:cs="Times New Roman"/>
                      <w:b/>
                      <w:bCs/>
                      <w:sz w:val="14"/>
                      <w:szCs w:val="16"/>
                    </w:rPr>
                  </w:pPr>
                  <w:r w:rsidRPr="00C110F2">
                    <w:rPr>
                      <w:rFonts w:ascii="Times New Roman" w:hAnsi="Times New Roman" w:cs="Times New Roman"/>
                      <w:b/>
                      <w:bCs/>
                      <w:sz w:val="14"/>
                      <w:szCs w:val="16"/>
                    </w:rPr>
                    <w:t>Enero 2023</w:t>
                  </w:r>
                </w:p>
              </w:tc>
              <w:tc>
                <w:tcPr>
                  <w:tcW w:w="612" w:type="dxa"/>
                  <w:shd w:val="clear" w:color="auto" w:fill="5B9BD5" w:themeFill="accent5"/>
                  <w:vAlign w:val="center"/>
                </w:tcPr>
                <w:p w14:paraId="0A6D1AEA" w14:textId="77777777" w:rsidR="007B0095" w:rsidRPr="00C110F2" w:rsidRDefault="007B0095" w:rsidP="00973C72">
                  <w:pPr>
                    <w:jc w:val="center"/>
                    <w:rPr>
                      <w:rFonts w:ascii="Times New Roman" w:hAnsi="Times New Roman" w:cs="Times New Roman"/>
                      <w:b/>
                      <w:bCs/>
                      <w:sz w:val="14"/>
                      <w:szCs w:val="16"/>
                    </w:rPr>
                  </w:pPr>
                  <w:r w:rsidRPr="00C110F2">
                    <w:rPr>
                      <w:rFonts w:ascii="Times New Roman" w:hAnsi="Times New Roman" w:cs="Times New Roman"/>
                      <w:b/>
                      <w:bCs/>
                      <w:sz w:val="14"/>
                      <w:szCs w:val="16"/>
                    </w:rPr>
                    <w:t>Abril 2023</w:t>
                  </w:r>
                </w:p>
              </w:tc>
              <w:tc>
                <w:tcPr>
                  <w:tcW w:w="602" w:type="dxa"/>
                  <w:shd w:val="clear" w:color="auto" w:fill="5B9BD5" w:themeFill="accent5"/>
                  <w:vAlign w:val="center"/>
                </w:tcPr>
                <w:p w14:paraId="16AE4A7E" w14:textId="77777777" w:rsidR="007B0095" w:rsidRPr="00C110F2" w:rsidRDefault="007B0095" w:rsidP="00973C72">
                  <w:pPr>
                    <w:jc w:val="center"/>
                    <w:rPr>
                      <w:rFonts w:ascii="Times New Roman" w:hAnsi="Times New Roman" w:cs="Times New Roman"/>
                      <w:b/>
                      <w:bCs/>
                      <w:sz w:val="14"/>
                      <w:szCs w:val="16"/>
                    </w:rPr>
                  </w:pPr>
                  <w:r w:rsidRPr="00C110F2">
                    <w:rPr>
                      <w:rFonts w:ascii="Times New Roman" w:hAnsi="Times New Roman" w:cs="Times New Roman"/>
                      <w:b/>
                      <w:bCs/>
                      <w:sz w:val="14"/>
                      <w:szCs w:val="16"/>
                    </w:rPr>
                    <w:t>Julio 2023</w:t>
                  </w:r>
                </w:p>
              </w:tc>
              <w:tc>
                <w:tcPr>
                  <w:tcW w:w="790" w:type="dxa"/>
                  <w:shd w:val="clear" w:color="auto" w:fill="5B9BD5" w:themeFill="accent5"/>
                  <w:vAlign w:val="center"/>
                </w:tcPr>
                <w:p w14:paraId="376C8231" w14:textId="77777777" w:rsidR="007B0095" w:rsidRPr="00C110F2" w:rsidRDefault="007B0095" w:rsidP="00973C72">
                  <w:pPr>
                    <w:jc w:val="center"/>
                    <w:rPr>
                      <w:rFonts w:ascii="Times New Roman" w:hAnsi="Times New Roman" w:cs="Times New Roman"/>
                      <w:b/>
                      <w:bCs/>
                      <w:sz w:val="14"/>
                      <w:szCs w:val="16"/>
                    </w:rPr>
                  </w:pPr>
                  <w:r w:rsidRPr="00C110F2">
                    <w:rPr>
                      <w:rFonts w:ascii="Times New Roman" w:hAnsi="Times New Roman" w:cs="Times New Roman"/>
                      <w:b/>
                      <w:bCs/>
                      <w:sz w:val="14"/>
                      <w:szCs w:val="16"/>
                    </w:rPr>
                    <w:t>Octubre 2023</w:t>
                  </w:r>
                </w:p>
              </w:tc>
            </w:tr>
            <w:tr w:rsidR="007B0095" w:rsidRPr="00C110F2" w14:paraId="2F0B874B" w14:textId="77777777" w:rsidTr="00434680">
              <w:trPr>
                <w:trHeight w:val="19"/>
                <w:jc w:val="center"/>
              </w:trPr>
              <w:tc>
                <w:tcPr>
                  <w:tcW w:w="1476" w:type="dxa"/>
                  <w:shd w:val="clear" w:color="auto" w:fill="auto"/>
                  <w:vAlign w:val="center"/>
                </w:tcPr>
                <w:p w14:paraId="0AF0D22A" w14:textId="77777777" w:rsidR="007B0095" w:rsidRPr="00C110F2" w:rsidRDefault="007B0095" w:rsidP="00973C72">
                  <w:pPr>
                    <w:rPr>
                      <w:rFonts w:ascii="Times New Roman" w:hAnsi="Times New Roman" w:cs="Times New Roman"/>
                      <w:b/>
                      <w:bCs/>
                      <w:sz w:val="14"/>
                      <w:u w:val="single"/>
                    </w:rPr>
                  </w:pPr>
                  <w:r w:rsidRPr="00C110F2">
                    <w:rPr>
                      <w:rFonts w:ascii="Times New Roman" w:hAnsi="Times New Roman" w:cs="Times New Roman"/>
                      <w:b/>
                      <w:bCs/>
                      <w:sz w:val="14"/>
                    </w:rPr>
                    <w:t>Producción mundial</w:t>
                  </w:r>
                </w:p>
              </w:tc>
              <w:tc>
                <w:tcPr>
                  <w:tcW w:w="668" w:type="dxa"/>
                  <w:shd w:val="clear" w:color="auto" w:fill="auto"/>
                  <w:vAlign w:val="center"/>
                </w:tcPr>
                <w:p w14:paraId="53BB4D74" w14:textId="77777777" w:rsidR="007B0095" w:rsidRPr="00C110F2" w:rsidRDefault="007B0095" w:rsidP="00973C72">
                  <w:pPr>
                    <w:jc w:val="center"/>
                    <w:rPr>
                      <w:rFonts w:ascii="Times New Roman" w:hAnsi="Times New Roman" w:cs="Times New Roman"/>
                      <w:b/>
                      <w:bCs/>
                      <w:sz w:val="14"/>
                      <w:szCs w:val="16"/>
                    </w:rPr>
                  </w:pPr>
                  <w:r w:rsidRPr="00C110F2">
                    <w:rPr>
                      <w:rFonts w:ascii="Times New Roman" w:hAnsi="Times New Roman" w:cs="Times New Roman"/>
                      <w:b/>
                      <w:bCs/>
                      <w:sz w:val="14"/>
                      <w:szCs w:val="16"/>
                    </w:rPr>
                    <w:t>3.8</w:t>
                  </w:r>
                </w:p>
              </w:tc>
              <w:tc>
                <w:tcPr>
                  <w:tcW w:w="612" w:type="dxa"/>
                  <w:shd w:val="clear" w:color="auto" w:fill="auto"/>
                  <w:vAlign w:val="center"/>
                </w:tcPr>
                <w:p w14:paraId="53973DD2" w14:textId="77777777" w:rsidR="007B0095" w:rsidRPr="00C110F2" w:rsidRDefault="007B0095" w:rsidP="00973C72">
                  <w:pPr>
                    <w:jc w:val="center"/>
                    <w:rPr>
                      <w:rFonts w:ascii="Times New Roman" w:hAnsi="Times New Roman" w:cs="Times New Roman"/>
                      <w:b/>
                      <w:bCs/>
                      <w:sz w:val="14"/>
                      <w:szCs w:val="16"/>
                    </w:rPr>
                  </w:pPr>
                  <w:r w:rsidRPr="00C110F2">
                    <w:rPr>
                      <w:rFonts w:ascii="Times New Roman" w:hAnsi="Times New Roman" w:cs="Times New Roman"/>
                      <w:b/>
                      <w:bCs/>
                      <w:sz w:val="14"/>
                      <w:szCs w:val="16"/>
                    </w:rPr>
                    <w:t>3.6</w:t>
                  </w:r>
                </w:p>
              </w:tc>
              <w:tc>
                <w:tcPr>
                  <w:tcW w:w="602" w:type="dxa"/>
                  <w:shd w:val="clear" w:color="auto" w:fill="auto"/>
                  <w:vAlign w:val="center"/>
                </w:tcPr>
                <w:p w14:paraId="6C2B8398" w14:textId="77777777" w:rsidR="007B0095" w:rsidRPr="00C110F2" w:rsidRDefault="007B0095" w:rsidP="00973C72">
                  <w:pPr>
                    <w:jc w:val="center"/>
                    <w:rPr>
                      <w:rFonts w:ascii="Times New Roman" w:hAnsi="Times New Roman" w:cs="Times New Roman"/>
                      <w:b/>
                      <w:bCs/>
                      <w:sz w:val="14"/>
                      <w:szCs w:val="16"/>
                    </w:rPr>
                  </w:pPr>
                  <w:r w:rsidRPr="00C110F2">
                    <w:rPr>
                      <w:rFonts w:ascii="Times New Roman" w:hAnsi="Times New Roman" w:cs="Times New Roman"/>
                      <w:b/>
                      <w:bCs/>
                      <w:sz w:val="14"/>
                      <w:szCs w:val="16"/>
                    </w:rPr>
                    <w:t>2.9</w:t>
                  </w:r>
                </w:p>
              </w:tc>
              <w:tc>
                <w:tcPr>
                  <w:tcW w:w="820" w:type="dxa"/>
                  <w:shd w:val="clear" w:color="auto" w:fill="auto"/>
                  <w:vAlign w:val="center"/>
                </w:tcPr>
                <w:p w14:paraId="5C64440B" w14:textId="77777777" w:rsidR="007B0095" w:rsidRPr="00C110F2" w:rsidRDefault="007B0095" w:rsidP="00973C72">
                  <w:pPr>
                    <w:jc w:val="center"/>
                    <w:rPr>
                      <w:rFonts w:ascii="Times New Roman" w:hAnsi="Times New Roman" w:cs="Times New Roman"/>
                      <w:b/>
                      <w:bCs/>
                      <w:sz w:val="14"/>
                      <w:szCs w:val="16"/>
                    </w:rPr>
                  </w:pPr>
                  <w:r w:rsidRPr="00C110F2">
                    <w:rPr>
                      <w:rFonts w:ascii="Times New Roman" w:hAnsi="Times New Roman" w:cs="Times New Roman"/>
                      <w:b/>
                      <w:bCs/>
                      <w:sz w:val="14"/>
                      <w:szCs w:val="16"/>
                    </w:rPr>
                    <w:t>2.7</w:t>
                  </w:r>
                </w:p>
              </w:tc>
              <w:tc>
                <w:tcPr>
                  <w:tcW w:w="668" w:type="dxa"/>
                  <w:shd w:val="clear" w:color="auto" w:fill="auto"/>
                  <w:vAlign w:val="center"/>
                </w:tcPr>
                <w:p w14:paraId="0D935482" w14:textId="77777777" w:rsidR="007B0095" w:rsidRPr="00C110F2" w:rsidRDefault="007B0095" w:rsidP="00973C72">
                  <w:pPr>
                    <w:jc w:val="center"/>
                    <w:rPr>
                      <w:rFonts w:ascii="Times New Roman" w:hAnsi="Times New Roman" w:cs="Times New Roman"/>
                      <w:b/>
                      <w:bCs/>
                      <w:sz w:val="14"/>
                      <w:szCs w:val="16"/>
                    </w:rPr>
                  </w:pPr>
                  <w:r w:rsidRPr="00C110F2">
                    <w:rPr>
                      <w:rFonts w:ascii="Times New Roman" w:hAnsi="Times New Roman" w:cs="Times New Roman"/>
                      <w:b/>
                      <w:bCs/>
                      <w:sz w:val="14"/>
                      <w:szCs w:val="16"/>
                    </w:rPr>
                    <w:t>2.9</w:t>
                  </w:r>
                </w:p>
              </w:tc>
              <w:tc>
                <w:tcPr>
                  <w:tcW w:w="612" w:type="dxa"/>
                  <w:shd w:val="clear" w:color="auto" w:fill="auto"/>
                  <w:vAlign w:val="center"/>
                </w:tcPr>
                <w:p w14:paraId="681DB207" w14:textId="77777777" w:rsidR="007B0095" w:rsidRPr="00C110F2" w:rsidRDefault="007B0095" w:rsidP="00973C72">
                  <w:pPr>
                    <w:jc w:val="center"/>
                    <w:rPr>
                      <w:rFonts w:ascii="Times New Roman" w:hAnsi="Times New Roman" w:cs="Times New Roman"/>
                      <w:b/>
                      <w:bCs/>
                      <w:sz w:val="14"/>
                      <w:szCs w:val="16"/>
                    </w:rPr>
                  </w:pPr>
                  <w:r w:rsidRPr="00C110F2">
                    <w:rPr>
                      <w:rFonts w:ascii="Times New Roman" w:hAnsi="Times New Roman" w:cs="Times New Roman"/>
                      <w:b/>
                      <w:bCs/>
                      <w:sz w:val="14"/>
                      <w:szCs w:val="16"/>
                    </w:rPr>
                    <w:t>2.8</w:t>
                  </w:r>
                </w:p>
              </w:tc>
              <w:tc>
                <w:tcPr>
                  <w:tcW w:w="602" w:type="dxa"/>
                  <w:shd w:val="clear" w:color="auto" w:fill="auto"/>
                  <w:vAlign w:val="center"/>
                </w:tcPr>
                <w:p w14:paraId="5643963A" w14:textId="77777777" w:rsidR="007B0095" w:rsidRPr="00C110F2" w:rsidRDefault="007B0095" w:rsidP="00973C72">
                  <w:pPr>
                    <w:jc w:val="center"/>
                    <w:rPr>
                      <w:rFonts w:ascii="Times New Roman" w:hAnsi="Times New Roman" w:cs="Times New Roman"/>
                      <w:b/>
                      <w:bCs/>
                      <w:sz w:val="14"/>
                      <w:szCs w:val="16"/>
                    </w:rPr>
                  </w:pPr>
                  <w:r w:rsidRPr="00C110F2">
                    <w:rPr>
                      <w:rFonts w:ascii="Times New Roman" w:hAnsi="Times New Roman" w:cs="Times New Roman"/>
                      <w:b/>
                      <w:bCs/>
                      <w:sz w:val="14"/>
                      <w:szCs w:val="16"/>
                    </w:rPr>
                    <w:t>3.0</w:t>
                  </w:r>
                </w:p>
              </w:tc>
              <w:tc>
                <w:tcPr>
                  <w:tcW w:w="790" w:type="dxa"/>
                  <w:vAlign w:val="center"/>
                </w:tcPr>
                <w:p w14:paraId="79E7072F" w14:textId="77777777" w:rsidR="007B0095" w:rsidRPr="00C110F2" w:rsidRDefault="007B0095" w:rsidP="00973C72">
                  <w:pPr>
                    <w:jc w:val="center"/>
                    <w:rPr>
                      <w:rFonts w:ascii="Times New Roman" w:hAnsi="Times New Roman" w:cs="Times New Roman"/>
                      <w:b/>
                      <w:bCs/>
                      <w:sz w:val="14"/>
                      <w:szCs w:val="16"/>
                    </w:rPr>
                  </w:pPr>
                  <w:r w:rsidRPr="00C110F2">
                    <w:rPr>
                      <w:rFonts w:ascii="Times New Roman" w:hAnsi="Times New Roman" w:cs="Times New Roman"/>
                      <w:b/>
                      <w:bCs/>
                      <w:sz w:val="14"/>
                      <w:szCs w:val="16"/>
                    </w:rPr>
                    <w:t>3.0</w:t>
                  </w:r>
                </w:p>
              </w:tc>
            </w:tr>
            <w:tr w:rsidR="007B0095" w:rsidRPr="00C110F2" w14:paraId="15360019" w14:textId="77777777" w:rsidTr="00434680">
              <w:trPr>
                <w:trHeight w:val="19"/>
                <w:jc w:val="center"/>
              </w:trPr>
              <w:tc>
                <w:tcPr>
                  <w:tcW w:w="1476" w:type="dxa"/>
                  <w:shd w:val="clear" w:color="auto" w:fill="auto"/>
                  <w:vAlign w:val="center"/>
                </w:tcPr>
                <w:p w14:paraId="68520D67" w14:textId="77777777" w:rsidR="007B0095" w:rsidRPr="00C110F2" w:rsidRDefault="007B0095" w:rsidP="00973C72">
                  <w:pPr>
                    <w:rPr>
                      <w:rFonts w:ascii="Times New Roman" w:hAnsi="Times New Roman" w:cs="Times New Roman"/>
                      <w:b/>
                      <w:bCs/>
                      <w:sz w:val="14"/>
                      <w:u w:val="single"/>
                    </w:rPr>
                  </w:pPr>
                  <w:r w:rsidRPr="00C110F2">
                    <w:rPr>
                      <w:rFonts w:ascii="Times New Roman" w:hAnsi="Times New Roman" w:cs="Times New Roman"/>
                      <w:b/>
                      <w:bCs/>
                      <w:sz w:val="14"/>
                    </w:rPr>
                    <w:t>Economías avanzadas</w:t>
                  </w:r>
                </w:p>
              </w:tc>
              <w:tc>
                <w:tcPr>
                  <w:tcW w:w="668" w:type="dxa"/>
                  <w:shd w:val="clear" w:color="auto" w:fill="auto"/>
                  <w:vAlign w:val="center"/>
                </w:tcPr>
                <w:p w14:paraId="2ED91B5C" w14:textId="77777777" w:rsidR="007B0095" w:rsidRPr="00C110F2" w:rsidRDefault="007B0095" w:rsidP="00973C72">
                  <w:pPr>
                    <w:jc w:val="center"/>
                    <w:rPr>
                      <w:rFonts w:ascii="Times New Roman" w:hAnsi="Times New Roman" w:cs="Times New Roman"/>
                      <w:b/>
                      <w:bCs/>
                      <w:sz w:val="14"/>
                      <w:szCs w:val="16"/>
                    </w:rPr>
                  </w:pPr>
                  <w:r w:rsidRPr="00C110F2">
                    <w:rPr>
                      <w:rFonts w:ascii="Times New Roman" w:hAnsi="Times New Roman" w:cs="Times New Roman"/>
                      <w:b/>
                      <w:bCs/>
                      <w:sz w:val="14"/>
                      <w:szCs w:val="16"/>
                    </w:rPr>
                    <w:t>2.6</w:t>
                  </w:r>
                </w:p>
              </w:tc>
              <w:tc>
                <w:tcPr>
                  <w:tcW w:w="612" w:type="dxa"/>
                  <w:shd w:val="clear" w:color="auto" w:fill="auto"/>
                  <w:vAlign w:val="center"/>
                </w:tcPr>
                <w:p w14:paraId="59FB6453" w14:textId="77777777" w:rsidR="007B0095" w:rsidRPr="00C110F2" w:rsidRDefault="007B0095" w:rsidP="00973C72">
                  <w:pPr>
                    <w:jc w:val="center"/>
                    <w:rPr>
                      <w:rFonts w:ascii="Times New Roman" w:hAnsi="Times New Roman" w:cs="Times New Roman"/>
                      <w:b/>
                      <w:bCs/>
                      <w:sz w:val="14"/>
                      <w:szCs w:val="16"/>
                    </w:rPr>
                  </w:pPr>
                  <w:r w:rsidRPr="00C110F2">
                    <w:rPr>
                      <w:rFonts w:ascii="Times New Roman" w:hAnsi="Times New Roman" w:cs="Times New Roman"/>
                      <w:b/>
                      <w:bCs/>
                      <w:sz w:val="14"/>
                      <w:szCs w:val="16"/>
                    </w:rPr>
                    <w:t>2.4</w:t>
                  </w:r>
                </w:p>
              </w:tc>
              <w:tc>
                <w:tcPr>
                  <w:tcW w:w="602" w:type="dxa"/>
                  <w:shd w:val="clear" w:color="auto" w:fill="auto"/>
                  <w:vAlign w:val="center"/>
                </w:tcPr>
                <w:p w14:paraId="1C449E12" w14:textId="77777777" w:rsidR="007B0095" w:rsidRPr="00C110F2" w:rsidRDefault="007B0095" w:rsidP="00973C72">
                  <w:pPr>
                    <w:jc w:val="center"/>
                    <w:rPr>
                      <w:rFonts w:ascii="Times New Roman" w:hAnsi="Times New Roman" w:cs="Times New Roman"/>
                      <w:b/>
                      <w:bCs/>
                      <w:sz w:val="14"/>
                      <w:szCs w:val="16"/>
                    </w:rPr>
                  </w:pPr>
                  <w:r w:rsidRPr="00C110F2">
                    <w:rPr>
                      <w:rFonts w:ascii="Times New Roman" w:hAnsi="Times New Roman" w:cs="Times New Roman"/>
                      <w:b/>
                      <w:bCs/>
                      <w:sz w:val="14"/>
                      <w:szCs w:val="16"/>
                    </w:rPr>
                    <w:t>1.4</w:t>
                  </w:r>
                </w:p>
              </w:tc>
              <w:tc>
                <w:tcPr>
                  <w:tcW w:w="820" w:type="dxa"/>
                  <w:shd w:val="clear" w:color="auto" w:fill="auto"/>
                  <w:vAlign w:val="center"/>
                </w:tcPr>
                <w:p w14:paraId="0F70CAD2" w14:textId="77777777" w:rsidR="007B0095" w:rsidRPr="00C110F2" w:rsidRDefault="007B0095" w:rsidP="00973C72">
                  <w:pPr>
                    <w:jc w:val="center"/>
                    <w:rPr>
                      <w:rFonts w:ascii="Times New Roman" w:hAnsi="Times New Roman" w:cs="Times New Roman"/>
                      <w:b/>
                      <w:bCs/>
                      <w:sz w:val="14"/>
                      <w:szCs w:val="16"/>
                    </w:rPr>
                  </w:pPr>
                  <w:r w:rsidRPr="00C110F2">
                    <w:rPr>
                      <w:rFonts w:ascii="Times New Roman" w:hAnsi="Times New Roman" w:cs="Times New Roman"/>
                      <w:b/>
                      <w:bCs/>
                      <w:sz w:val="14"/>
                      <w:szCs w:val="16"/>
                    </w:rPr>
                    <w:t>1.1</w:t>
                  </w:r>
                </w:p>
              </w:tc>
              <w:tc>
                <w:tcPr>
                  <w:tcW w:w="668" w:type="dxa"/>
                  <w:shd w:val="clear" w:color="auto" w:fill="auto"/>
                  <w:vAlign w:val="center"/>
                </w:tcPr>
                <w:p w14:paraId="75218931" w14:textId="77777777" w:rsidR="007B0095" w:rsidRPr="00C110F2" w:rsidRDefault="007B0095" w:rsidP="00973C72">
                  <w:pPr>
                    <w:jc w:val="center"/>
                    <w:rPr>
                      <w:rFonts w:ascii="Times New Roman" w:hAnsi="Times New Roman" w:cs="Times New Roman"/>
                      <w:b/>
                      <w:bCs/>
                      <w:sz w:val="14"/>
                      <w:szCs w:val="16"/>
                    </w:rPr>
                  </w:pPr>
                  <w:r w:rsidRPr="00C110F2">
                    <w:rPr>
                      <w:rFonts w:ascii="Times New Roman" w:hAnsi="Times New Roman" w:cs="Times New Roman"/>
                      <w:b/>
                      <w:bCs/>
                      <w:sz w:val="14"/>
                      <w:szCs w:val="16"/>
                    </w:rPr>
                    <w:t>1.2</w:t>
                  </w:r>
                </w:p>
              </w:tc>
              <w:tc>
                <w:tcPr>
                  <w:tcW w:w="612" w:type="dxa"/>
                  <w:shd w:val="clear" w:color="auto" w:fill="auto"/>
                  <w:vAlign w:val="center"/>
                </w:tcPr>
                <w:p w14:paraId="229911C4" w14:textId="77777777" w:rsidR="007B0095" w:rsidRPr="00C110F2" w:rsidRDefault="007B0095" w:rsidP="00973C72">
                  <w:pPr>
                    <w:jc w:val="center"/>
                    <w:rPr>
                      <w:rFonts w:ascii="Times New Roman" w:hAnsi="Times New Roman" w:cs="Times New Roman"/>
                      <w:b/>
                      <w:bCs/>
                      <w:sz w:val="14"/>
                      <w:szCs w:val="16"/>
                    </w:rPr>
                  </w:pPr>
                  <w:r w:rsidRPr="00C110F2">
                    <w:rPr>
                      <w:rFonts w:ascii="Times New Roman" w:hAnsi="Times New Roman" w:cs="Times New Roman"/>
                      <w:b/>
                      <w:bCs/>
                      <w:sz w:val="14"/>
                      <w:szCs w:val="16"/>
                    </w:rPr>
                    <w:t>1.3</w:t>
                  </w:r>
                </w:p>
              </w:tc>
              <w:tc>
                <w:tcPr>
                  <w:tcW w:w="602" w:type="dxa"/>
                  <w:shd w:val="clear" w:color="auto" w:fill="auto"/>
                  <w:vAlign w:val="center"/>
                </w:tcPr>
                <w:p w14:paraId="654B5482" w14:textId="77777777" w:rsidR="007B0095" w:rsidRPr="00C110F2" w:rsidRDefault="007B0095" w:rsidP="00973C72">
                  <w:pPr>
                    <w:jc w:val="center"/>
                    <w:rPr>
                      <w:rFonts w:ascii="Times New Roman" w:hAnsi="Times New Roman" w:cs="Times New Roman"/>
                      <w:b/>
                      <w:bCs/>
                      <w:sz w:val="14"/>
                      <w:szCs w:val="16"/>
                    </w:rPr>
                  </w:pPr>
                  <w:r w:rsidRPr="00C110F2">
                    <w:rPr>
                      <w:rFonts w:ascii="Times New Roman" w:hAnsi="Times New Roman" w:cs="Times New Roman"/>
                      <w:b/>
                      <w:bCs/>
                      <w:sz w:val="14"/>
                      <w:szCs w:val="16"/>
                    </w:rPr>
                    <w:t>1.5</w:t>
                  </w:r>
                </w:p>
              </w:tc>
              <w:tc>
                <w:tcPr>
                  <w:tcW w:w="790" w:type="dxa"/>
                  <w:vAlign w:val="center"/>
                </w:tcPr>
                <w:p w14:paraId="15F5E3EF" w14:textId="77777777" w:rsidR="007B0095" w:rsidRPr="00C110F2" w:rsidRDefault="007B0095" w:rsidP="00973C72">
                  <w:pPr>
                    <w:jc w:val="center"/>
                    <w:rPr>
                      <w:rFonts w:ascii="Times New Roman" w:hAnsi="Times New Roman" w:cs="Times New Roman"/>
                      <w:b/>
                      <w:bCs/>
                      <w:sz w:val="14"/>
                      <w:szCs w:val="16"/>
                    </w:rPr>
                  </w:pPr>
                  <w:r w:rsidRPr="00C110F2">
                    <w:rPr>
                      <w:rFonts w:ascii="Times New Roman" w:hAnsi="Times New Roman" w:cs="Times New Roman"/>
                      <w:b/>
                      <w:bCs/>
                      <w:sz w:val="14"/>
                      <w:szCs w:val="16"/>
                    </w:rPr>
                    <w:t>1.5</w:t>
                  </w:r>
                </w:p>
              </w:tc>
            </w:tr>
            <w:tr w:rsidR="007B0095" w:rsidRPr="00C110F2" w14:paraId="2345F7B8" w14:textId="77777777" w:rsidTr="00434680">
              <w:trPr>
                <w:trHeight w:val="19"/>
                <w:jc w:val="center"/>
              </w:trPr>
              <w:tc>
                <w:tcPr>
                  <w:tcW w:w="1476" w:type="dxa"/>
                  <w:shd w:val="clear" w:color="auto" w:fill="auto"/>
                  <w:vAlign w:val="center"/>
                </w:tcPr>
                <w:p w14:paraId="53AE825E" w14:textId="77777777" w:rsidR="007B0095" w:rsidRPr="00C110F2" w:rsidRDefault="007B0095" w:rsidP="00973C72">
                  <w:pPr>
                    <w:rPr>
                      <w:rFonts w:ascii="Times New Roman" w:hAnsi="Times New Roman" w:cs="Times New Roman"/>
                      <w:sz w:val="14"/>
                      <w:u w:val="single"/>
                    </w:rPr>
                  </w:pPr>
                  <w:r w:rsidRPr="00C110F2">
                    <w:rPr>
                      <w:rFonts w:ascii="Times New Roman" w:hAnsi="Times New Roman" w:cs="Times New Roman"/>
                      <w:sz w:val="14"/>
                    </w:rPr>
                    <w:t>Estados Unidos</w:t>
                  </w:r>
                </w:p>
              </w:tc>
              <w:tc>
                <w:tcPr>
                  <w:tcW w:w="668" w:type="dxa"/>
                  <w:shd w:val="clear" w:color="auto" w:fill="auto"/>
                  <w:vAlign w:val="center"/>
                </w:tcPr>
                <w:p w14:paraId="68CC2E55"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2.6</w:t>
                  </w:r>
                </w:p>
              </w:tc>
              <w:tc>
                <w:tcPr>
                  <w:tcW w:w="612" w:type="dxa"/>
                  <w:shd w:val="clear" w:color="auto" w:fill="auto"/>
                  <w:vAlign w:val="center"/>
                </w:tcPr>
                <w:p w14:paraId="7C1A5914"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2.3</w:t>
                  </w:r>
                </w:p>
              </w:tc>
              <w:tc>
                <w:tcPr>
                  <w:tcW w:w="602" w:type="dxa"/>
                  <w:shd w:val="clear" w:color="auto" w:fill="auto"/>
                  <w:vAlign w:val="center"/>
                </w:tcPr>
                <w:p w14:paraId="19D84B2E"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1.0</w:t>
                  </w:r>
                </w:p>
              </w:tc>
              <w:tc>
                <w:tcPr>
                  <w:tcW w:w="820" w:type="dxa"/>
                  <w:shd w:val="clear" w:color="auto" w:fill="auto"/>
                  <w:vAlign w:val="center"/>
                </w:tcPr>
                <w:p w14:paraId="19C8E161"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1.0</w:t>
                  </w:r>
                </w:p>
              </w:tc>
              <w:tc>
                <w:tcPr>
                  <w:tcW w:w="668" w:type="dxa"/>
                  <w:shd w:val="clear" w:color="auto" w:fill="auto"/>
                  <w:vAlign w:val="center"/>
                </w:tcPr>
                <w:p w14:paraId="4A7B0C85"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1.4</w:t>
                  </w:r>
                </w:p>
              </w:tc>
              <w:tc>
                <w:tcPr>
                  <w:tcW w:w="612" w:type="dxa"/>
                  <w:shd w:val="clear" w:color="auto" w:fill="auto"/>
                  <w:vAlign w:val="center"/>
                </w:tcPr>
                <w:p w14:paraId="6D9C32B0"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1.6</w:t>
                  </w:r>
                </w:p>
              </w:tc>
              <w:tc>
                <w:tcPr>
                  <w:tcW w:w="602" w:type="dxa"/>
                  <w:shd w:val="clear" w:color="auto" w:fill="auto"/>
                  <w:vAlign w:val="center"/>
                </w:tcPr>
                <w:p w14:paraId="1C518B1E"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1.8</w:t>
                  </w:r>
                </w:p>
              </w:tc>
              <w:tc>
                <w:tcPr>
                  <w:tcW w:w="790" w:type="dxa"/>
                  <w:vAlign w:val="center"/>
                </w:tcPr>
                <w:p w14:paraId="7F52B711"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2.1</w:t>
                  </w:r>
                </w:p>
              </w:tc>
            </w:tr>
            <w:tr w:rsidR="007B0095" w:rsidRPr="00C110F2" w14:paraId="53622AA8" w14:textId="77777777" w:rsidTr="00434680">
              <w:trPr>
                <w:trHeight w:val="19"/>
                <w:jc w:val="center"/>
              </w:trPr>
              <w:tc>
                <w:tcPr>
                  <w:tcW w:w="1476" w:type="dxa"/>
                  <w:shd w:val="clear" w:color="auto" w:fill="auto"/>
                  <w:vAlign w:val="center"/>
                </w:tcPr>
                <w:p w14:paraId="4E3D2117" w14:textId="77777777" w:rsidR="007B0095" w:rsidRPr="00C110F2" w:rsidRDefault="007B0095" w:rsidP="00973C72">
                  <w:pPr>
                    <w:rPr>
                      <w:rFonts w:ascii="Times New Roman" w:hAnsi="Times New Roman" w:cs="Times New Roman"/>
                      <w:sz w:val="14"/>
                      <w:u w:val="single"/>
                    </w:rPr>
                  </w:pPr>
                  <w:r w:rsidRPr="00C110F2">
                    <w:rPr>
                      <w:rFonts w:ascii="Times New Roman" w:hAnsi="Times New Roman" w:cs="Times New Roman"/>
                      <w:sz w:val="14"/>
                    </w:rPr>
                    <w:t>Zona del euro</w:t>
                  </w:r>
                </w:p>
              </w:tc>
              <w:tc>
                <w:tcPr>
                  <w:tcW w:w="668" w:type="dxa"/>
                  <w:shd w:val="clear" w:color="auto" w:fill="auto"/>
                  <w:vAlign w:val="center"/>
                </w:tcPr>
                <w:p w14:paraId="1A2B41A1"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2.5</w:t>
                  </w:r>
                </w:p>
              </w:tc>
              <w:tc>
                <w:tcPr>
                  <w:tcW w:w="612" w:type="dxa"/>
                  <w:shd w:val="clear" w:color="auto" w:fill="auto"/>
                  <w:vAlign w:val="center"/>
                </w:tcPr>
                <w:p w14:paraId="088181E7"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2.3</w:t>
                  </w:r>
                </w:p>
              </w:tc>
              <w:tc>
                <w:tcPr>
                  <w:tcW w:w="602" w:type="dxa"/>
                  <w:shd w:val="clear" w:color="auto" w:fill="auto"/>
                  <w:vAlign w:val="center"/>
                </w:tcPr>
                <w:p w14:paraId="6B61282C"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1.2</w:t>
                  </w:r>
                </w:p>
              </w:tc>
              <w:tc>
                <w:tcPr>
                  <w:tcW w:w="820" w:type="dxa"/>
                  <w:shd w:val="clear" w:color="auto" w:fill="auto"/>
                  <w:vAlign w:val="center"/>
                </w:tcPr>
                <w:p w14:paraId="094F151A"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0.5</w:t>
                  </w:r>
                </w:p>
              </w:tc>
              <w:tc>
                <w:tcPr>
                  <w:tcW w:w="668" w:type="dxa"/>
                  <w:shd w:val="clear" w:color="auto" w:fill="auto"/>
                  <w:vAlign w:val="center"/>
                </w:tcPr>
                <w:p w14:paraId="39E93653"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0.7</w:t>
                  </w:r>
                </w:p>
              </w:tc>
              <w:tc>
                <w:tcPr>
                  <w:tcW w:w="612" w:type="dxa"/>
                  <w:shd w:val="clear" w:color="auto" w:fill="auto"/>
                  <w:vAlign w:val="center"/>
                </w:tcPr>
                <w:p w14:paraId="42D5EA9D"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0.8</w:t>
                  </w:r>
                </w:p>
              </w:tc>
              <w:tc>
                <w:tcPr>
                  <w:tcW w:w="602" w:type="dxa"/>
                  <w:shd w:val="clear" w:color="auto" w:fill="auto"/>
                  <w:vAlign w:val="center"/>
                </w:tcPr>
                <w:p w14:paraId="2396686C"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0.9</w:t>
                  </w:r>
                </w:p>
              </w:tc>
              <w:tc>
                <w:tcPr>
                  <w:tcW w:w="790" w:type="dxa"/>
                  <w:vAlign w:val="center"/>
                </w:tcPr>
                <w:p w14:paraId="5C30B37A"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0.7</w:t>
                  </w:r>
                </w:p>
              </w:tc>
            </w:tr>
            <w:tr w:rsidR="007B0095" w:rsidRPr="00C110F2" w14:paraId="5762B8B3" w14:textId="77777777" w:rsidTr="00434680">
              <w:trPr>
                <w:trHeight w:val="19"/>
                <w:jc w:val="center"/>
              </w:trPr>
              <w:tc>
                <w:tcPr>
                  <w:tcW w:w="1476" w:type="dxa"/>
                  <w:shd w:val="clear" w:color="auto" w:fill="auto"/>
                  <w:vAlign w:val="center"/>
                </w:tcPr>
                <w:p w14:paraId="780B58FA" w14:textId="77777777" w:rsidR="007B0095" w:rsidRPr="00C110F2" w:rsidRDefault="007B0095" w:rsidP="00973C72">
                  <w:pPr>
                    <w:rPr>
                      <w:rFonts w:ascii="Times New Roman" w:hAnsi="Times New Roman" w:cs="Times New Roman"/>
                      <w:sz w:val="14"/>
                      <w:u w:val="single"/>
                    </w:rPr>
                  </w:pPr>
                  <w:r w:rsidRPr="00C110F2">
                    <w:rPr>
                      <w:rFonts w:ascii="Times New Roman" w:hAnsi="Times New Roman" w:cs="Times New Roman"/>
                      <w:sz w:val="14"/>
                    </w:rPr>
                    <w:t>Japón</w:t>
                  </w:r>
                </w:p>
              </w:tc>
              <w:tc>
                <w:tcPr>
                  <w:tcW w:w="668" w:type="dxa"/>
                  <w:shd w:val="clear" w:color="auto" w:fill="auto"/>
                  <w:vAlign w:val="center"/>
                </w:tcPr>
                <w:p w14:paraId="666168E0"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1.8</w:t>
                  </w:r>
                </w:p>
              </w:tc>
              <w:tc>
                <w:tcPr>
                  <w:tcW w:w="612" w:type="dxa"/>
                  <w:shd w:val="clear" w:color="auto" w:fill="auto"/>
                  <w:vAlign w:val="center"/>
                </w:tcPr>
                <w:p w14:paraId="42015588"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2.3</w:t>
                  </w:r>
                </w:p>
              </w:tc>
              <w:tc>
                <w:tcPr>
                  <w:tcW w:w="602" w:type="dxa"/>
                  <w:shd w:val="clear" w:color="auto" w:fill="auto"/>
                  <w:vAlign w:val="center"/>
                </w:tcPr>
                <w:p w14:paraId="483B1B6C"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1.7</w:t>
                  </w:r>
                </w:p>
              </w:tc>
              <w:tc>
                <w:tcPr>
                  <w:tcW w:w="820" w:type="dxa"/>
                  <w:shd w:val="clear" w:color="auto" w:fill="auto"/>
                  <w:vAlign w:val="center"/>
                </w:tcPr>
                <w:p w14:paraId="1E97CFFC"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1.6</w:t>
                  </w:r>
                </w:p>
              </w:tc>
              <w:tc>
                <w:tcPr>
                  <w:tcW w:w="668" w:type="dxa"/>
                  <w:shd w:val="clear" w:color="auto" w:fill="auto"/>
                  <w:vAlign w:val="center"/>
                </w:tcPr>
                <w:p w14:paraId="4112B08B"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1.8</w:t>
                  </w:r>
                </w:p>
              </w:tc>
              <w:tc>
                <w:tcPr>
                  <w:tcW w:w="612" w:type="dxa"/>
                  <w:shd w:val="clear" w:color="auto" w:fill="auto"/>
                  <w:vAlign w:val="center"/>
                </w:tcPr>
                <w:p w14:paraId="050B8E9B"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1.3</w:t>
                  </w:r>
                </w:p>
              </w:tc>
              <w:tc>
                <w:tcPr>
                  <w:tcW w:w="602" w:type="dxa"/>
                  <w:shd w:val="clear" w:color="auto" w:fill="auto"/>
                  <w:vAlign w:val="center"/>
                </w:tcPr>
                <w:p w14:paraId="276A7613"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1.4</w:t>
                  </w:r>
                </w:p>
              </w:tc>
              <w:tc>
                <w:tcPr>
                  <w:tcW w:w="790" w:type="dxa"/>
                  <w:vAlign w:val="center"/>
                </w:tcPr>
                <w:p w14:paraId="3A407F5C"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2.0</w:t>
                  </w:r>
                </w:p>
              </w:tc>
            </w:tr>
            <w:tr w:rsidR="007B0095" w:rsidRPr="00C110F2" w14:paraId="3B3D0A42" w14:textId="77777777" w:rsidTr="00434680">
              <w:trPr>
                <w:trHeight w:val="19"/>
                <w:jc w:val="center"/>
              </w:trPr>
              <w:tc>
                <w:tcPr>
                  <w:tcW w:w="1476" w:type="dxa"/>
                  <w:shd w:val="clear" w:color="auto" w:fill="auto"/>
                  <w:vAlign w:val="center"/>
                </w:tcPr>
                <w:p w14:paraId="0154816C" w14:textId="77777777" w:rsidR="007B0095" w:rsidRPr="00C110F2" w:rsidRDefault="007B0095" w:rsidP="00973C72">
                  <w:pPr>
                    <w:rPr>
                      <w:rFonts w:ascii="Times New Roman" w:hAnsi="Times New Roman" w:cs="Times New Roman"/>
                      <w:sz w:val="14"/>
                      <w:u w:val="single"/>
                    </w:rPr>
                  </w:pPr>
                  <w:r w:rsidRPr="00C110F2">
                    <w:rPr>
                      <w:rFonts w:ascii="Times New Roman" w:hAnsi="Times New Roman" w:cs="Times New Roman"/>
                      <w:sz w:val="14"/>
                    </w:rPr>
                    <w:t>Reino Unido</w:t>
                  </w:r>
                </w:p>
              </w:tc>
              <w:tc>
                <w:tcPr>
                  <w:tcW w:w="668" w:type="dxa"/>
                  <w:shd w:val="clear" w:color="auto" w:fill="auto"/>
                  <w:vAlign w:val="center"/>
                </w:tcPr>
                <w:p w14:paraId="21F5D045"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2.3</w:t>
                  </w:r>
                </w:p>
              </w:tc>
              <w:tc>
                <w:tcPr>
                  <w:tcW w:w="612" w:type="dxa"/>
                  <w:shd w:val="clear" w:color="auto" w:fill="auto"/>
                  <w:vAlign w:val="center"/>
                </w:tcPr>
                <w:p w14:paraId="6E43BE35"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1.2</w:t>
                  </w:r>
                </w:p>
              </w:tc>
              <w:tc>
                <w:tcPr>
                  <w:tcW w:w="602" w:type="dxa"/>
                  <w:shd w:val="clear" w:color="auto" w:fill="auto"/>
                  <w:vAlign w:val="center"/>
                </w:tcPr>
                <w:p w14:paraId="37E4E61C"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0.5</w:t>
                  </w:r>
                </w:p>
              </w:tc>
              <w:tc>
                <w:tcPr>
                  <w:tcW w:w="820" w:type="dxa"/>
                  <w:shd w:val="clear" w:color="auto" w:fill="auto"/>
                  <w:vAlign w:val="center"/>
                </w:tcPr>
                <w:p w14:paraId="635CA326"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0.3</w:t>
                  </w:r>
                </w:p>
              </w:tc>
              <w:tc>
                <w:tcPr>
                  <w:tcW w:w="668" w:type="dxa"/>
                  <w:shd w:val="clear" w:color="auto" w:fill="auto"/>
                  <w:vAlign w:val="center"/>
                </w:tcPr>
                <w:p w14:paraId="73EBE6FB"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-0.6</w:t>
                  </w:r>
                </w:p>
              </w:tc>
              <w:tc>
                <w:tcPr>
                  <w:tcW w:w="612" w:type="dxa"/>
                  <w:shd w:val="clear" w:color="auto" w:fill="auto"/>
                  <w:vAlign w:val="center"/>
                </w:tcPr>
                <w:p w14:paraId="3C0926E4"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-0.3</w:t>
                  </w:r>
                </w:p>
              </w:tc>
              <w:tc>
                <w:tcPr>
                  <w:tcW w:w="602" w:type="dxa"/>
                  <w:shd w:val="clear" w:color="auto" w:fill="auto"/>
                  <w:vAlign w:val="center"/>
                </w:tcPr>
                <w:p w14:paraId="4625CE79"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0.4</w:t>
                  </w:r>
                </w:p>
              </w:tc>
              <w:tc>
                <w:tcPr>
                  <w:tcW w:w="790" w:type="dxa"/>
                  <w:vAlign w:val="center"/>
                </w:tcPr>
                <w:p w14:paraId="336EC309"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0.5</w:t>
                  </w:r>
                </w:p>
              </w:tc>
            </w:tr>
            <w:tr w:rsidR="007B0095" w:rsidRPr="00C110F2" w14:paraId="6C4BB655" w14:textId="77777777" w:rsidTr="00434680">
              <w:trPr>
                <w:trHeight w:val="19"/>
                <w:jc w:val="center"/>
              </w:trPr>
              <w:tc>
                <w:tcPr>
                  <w:tcW w:w="1476" w:type="dxa"/>
                  <w:shd w:val="clear" w:color="auto" w:fill="auto"/>
                  <w:vAlign w:val="center"/>
                </w:tcPr>
                <w:p w14:paraId="2FBF6596" w14:textId="77777777" w:rsidR="007B0095" w:rsidRPr="00C110F2" w:rsidRDefault="007B0095" w:rsidP="00973C72">
                  <w:pPr>
                    <w:rPr>
                      <w:rFonts w:ascii="Times New Roman" w:hAnsi="Times New Roman" w:cs="Times New Roman"/>
                      <w:sz w:val="14"/>
                      <w:u w:val="single"/>
                    </w:rPr>
                  </w:pPr>
                  <w:r w:rsidRPr="00C110F2">
                    <w:rPr>
                      <w:rFonts w:ascii="Times New Roman" w:hAnsi="Times New Roman" w:cs="Times New Roman"/>
                      <w:sz w:val="14"/>
                    </w:rPr>
                    <w:t>Canadá</w:t>
                  </w:r>
                </w:p>
              </w:tc>
              <w:tc>
                <w:tcPr>
                  <w:tcW w:w="668" w:type="dxa"/>
                  <w:shd w:val="clear" w:color="auto" w:fill="auto"/>
                  <w:vAlign w:val="center"/>
                </w:tcPr>
                <w:p w14:paraId="5CA8FCA3"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2.8</w:t>
                  </w:r>
                </w:p>
              </w:tc>
              <w:tc>
                <w:tcPr>
                  <w:tcW w:w="612" w:type="dxa"/>
                  <w:shd w:val="clear" w:color="auto" w:fill="auto"/>
                  <w:vAlign w:val="center"/>
                </w:tcPr>
                <w:p w14:paraId="59F0EE8D"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2.8</w:t>
                  </w:r>
                </w:p>
              </w:tc>
              <w:tc>
                <w:tcPr>
                  <w:tcW w:w="602" w:type="dxa"/>
                  <w:shd w:val="clear" w:color="auto" w:fill="auto"/>
                  <w:vAlign w:val="center"/>
                </w:tcPr>
                <w:p w14:paraId="0AFC824C"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1.8</w:t>
                  </w:r>
                </w:p>
              </w:tc>
              <w:tc>
                <w:tcPr>
                  <w:tcW w:w="820" w:type="dxa"/>
                  <w:shd w:val="clear" w:color="auto" w:fill="auto"/>
                  <w:vAlign w:val="center"/>
                </w:tcPr>
                <w:p w14:paraId="141F66BE"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1.5</w:t>
                  </w:r>
                </w:p>
              </w:tc>
              <w:tc>
                <w:tcPr>
                  <w:tcW w:w="668" w:type="dxa"/>
                  <w:shd w:val="clear" w:color="auto" w:fill="auto"/>
                  <w:vAlign w:val="center"/>
                </w:tcPr>
                <w:p w14:paraId="13B5454B"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1.5</w:t>
                  </w:r>
                </w:p>
              </w:tc>
              <w:tc>
                <w:tcPr>
                  <w:tcW w:w="612" w:type="dxa"/>
                  <w:shd w:val="clear" w:color="auto" w:fill="auto"/>
                  <w:vAlign w:val="center"/>
                </w:tcPr>
                <w:p w14:paraId="2C2FFF8D"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1.5</w:t>
                  </w:r>
                </w:p>
              </w:tc>
              <w:tc>
                <w:tcPr>
                  <w:tcW w:w="602" w:type="dxa"/>
                  <w:shd w:val="clear" w:color="auto" w:fill="auto"/>
                  <w:vAlign w:val="center"/>
                </w:tcPr>
                <w:p w14:paraId="486B8BA1"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1.7</w:t>
                  </w:r>
                </w:p>
              </w:tc>
              <w:tc>
                <w:tcPr>
                  <w:tcW w:w="790" w:type="dxa"/>
                  <w:vAlign w:val="center"/>
                </w:tcPr>
                <w:p w14:paraId="60D87D4C"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1.3</w:t>
                  </w:r>
                </w:p>
              </w:tc>
            </w:tr>
            <w:tr w:rsidR="007B0095" w:rsidRPr="00C110F2" w14:paraId="40A70A6A" w14:textId="77777777" w:rsidTr="00434680">
              <w:trPr>
                <w:trHeight w:val="19"/>
                <w:jc w:val="center"/>
              </w:trPr>
              <w:tc>
                <w:tcPr>
                  <w:tcW w:w="1476" w:type="dxa"/>
                  <w:shd w:val="clear" w:color="auto" w:fill="auto"/>
                  <w:vAlign w:val="center"/>
                </w:tcPr>
                <w:p w14:paraId="2F9EC009" w14:textId="77777777" w:rsidR="007B0095" w:rsidRPr="00C110F2" w:rsidRDefault="007B0095" w:rsidP="00973C72">
                  <w:pPr>
                    <w:rPr>
                      <w:rFonts w:ascii="Times New Roman" w:hAnsi="Times New Roman" w:cs="Times New Roman"/>
                      <w:sz w:val="14"/>
                      <w:u w:val="single"/>
                    </w:rPr>
                  </w:pPr>
                  <w:r w:rsidRPr="00C110F2">
                    <w:rPr>
                      <w:rFonts w:ascii="Times New Roman" w:hAnsi="Times New Roman" w:cs="Times New Roman"/>
                      <w:sz w:val="14"/>
                    </w:rPr>
                    <w:t>Otras economías avanzadas</w:t>
                  </w:r>
                </w:p>
              </w:tc>
              <w:tc>
                <w:tcPr>
                  <w:tcW w:w="668" w:type="dxa"/>
                  <w:shd w:val="clear" w:color="auto" w:fill="auto"/>
                  <w:vAlign w:val="center"/>
                </w:tcPr>
                <w:p w14:paraId="7839D522"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2.9</w:t>
                  </w:r>
                </w:p>
              </w:tc>
              <w:tc>
                <w:tcPr>
                  <w:tcW w:w="612" w:type="dxa"/>
                  <w:shd w:val="clear" w:color="auto" w:fill="auto"/>
                  <w:vAlign w:val="center"/>
                </w:tcPr>
                <w:p w14:paraId="5DB27E93"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3.0</w:t>
                  </w:r>
                </w:p>
              </w:tc>
              <w:tc>
                <w:tcPr>
                  <w:tcW w:w="602" w:type="dxa"/>
                  <w:shd w:val="clear" w:color="auto" w:fill="auto"/>
                  <w:vAlign w:val="center"/>
                </w:tcPr>
                <w:p w14:paraId="23AEA5BF"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2.7</w:t>
                  </w:r>
                </w:p>
              </w:tc>
              <w:tc>
                <w:tcPr>
                  <w:tcW w:w="820" w:type="dxa"/>
                  <w:shd w:val="clear" w:color="auto" w:fill="auto"/>
                  <w:vAlign w:val="center"/>
                </w:tcPr>
                <w:p w14:paraId="7E1949C7"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2.3</w:t>
                  </w:r>
                </w:p>
              </w:tc>
              <w:tc>
                <w:tcPr>
                  <w:tcW w:w="668" w:type="dxa"/>
                  <w:shd w:val="clear" w:color="auto" w:fill="auto"/>
                  <w:vAlign w:val="center"/>
                </w:tcPr>
                <w:p w14:paraId="2B305CBE"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2.0</w:t>
                  </w:r>
                </w:p>
              </w:tc>
              <w:tc>
                <w:tcPr>
                  <w:tcW w:w="612" w:type="dxa"/>
                  <w:shd w:val="clear" w:color="auto" w:fill="auto"/>
                  <w:vAlign w:val="center"/>
                </w:tcPr>
                <w:p w14:paraId="7962ABD4"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1.8</w:t>
                  </w:r>
                </w:p>
              </w:tc>
              <w:tc>
                <w:tcPr>
                  <w:tcW w:w="602" w:type="dxa"/>
                  <w:shd w:val="clear" w:color="auto" w:fill="auto"/>
                  <w:vAlign w:val="center"/>
                </w:tcPr>
                <w:p w14:paraId="5966D6CE"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2.0</w:t>
                  </w:r>
                </w:p>
              </w:tc>
              <w:tc>
                <w:tcPr>
                  <w:tcW w:w="790" w:type="dxa"/>
                  <w:vAlign w:val="center"/>
                </w:tcPr>
                <w:p w14:paraId="594B812A"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1.8</w:t>
                  </w:r>
                </w:p>
              </w:tc>
            </w:tr>
            <w:tr w:rsidR="007B0095" w:rsidRPr="00C110F2" w14:paraId="053C79C7" w14:textId="77777777" w:rsidTr="00434680">
              <w:trPr>
                <w:trHeight w:val="160"/>
                <w:jc w:val="center"/>
              </w:trPr>
              <w:tc>
                <w:tcPr>
                  <w:tcW w:w="1476" w:type="dxa"/>
                  <w:shd w:val="clear" w:color="auto" w:fill="auto"/>
                  <w:vAlign w:val="center"/>
                </w:tcPr>
                <w:p w14:paraId="63475C66" w14:textId="77777777" w:rsidR="007B0095" w:rsidRPr="00C110F2" w:rsidRDefault="007B0095" w:rsidP="00973C72">
                  <w:pPr>
                    <w:rPr>
                      <w:rFonts w:ascii="Times New Roman" w:hAnsi="Times New Roman" w:cs="Times New Roman"/>
                      <w:b/>
                      <w:bCs/>
                      <w:sz w:val="14"/>
                      <w:u w:val="single"/>
                    </w:rPr>
                  </w:pPr>
                  <w:r w:rsidRPr="00C110F2">
                    <w:rPr>
                      <w:rFonts w:ascii="Times New Roman" w:hAnsi="Times New Roman" w:cs="Times New Roman"/>
                      <w:b/>
                      <w:bCs/>
                      <w:sz w:val="14"/>
                    </w:rPr>
                    <w:t>EMDE</w:t>
                  </w:r>
                </w:p>
              </w:tc>
              <w:tc>
                <w:tcPr>
                  <w:tcW w:w="668" w:type="dxa"/>
                  <w:shd w:val="clear" w:color="auto" w:fill="auto"/>
                  <w:vAlign w:val="center"/>
                </w:tcPr>
                <w:p w14:paraId="43B0915E" w14:textId="77777777" w:rsidR="007B0095" w:rsidRPr="00C110F2" w:rsidRDefault="007B0095" w:rsidP="00973C72">
                  <w:pPr>
                    <w:jc w:val="center"/>
                    <w:rPr>
                      <w:rFonts w:ascii="Times New Roman" w:hAnsi="Times New Roman" w:cs="Times New Roman"/>
                      <w:b/>
                      <w:bCs/>
                      <w:sz w:val="14"/>
                      <w:szCs w:val="16"/>
                    </w:rPr>
                  </w:pPr>
                  <w:r w:rsidRPr="00C110F2">
                    <w:rPr>
                      <w:rFonts w:ascii="Times New Roman" w:hAnsi="Times New Roman" w:cs="Times New Roman"/>
                      <w:b/>
                      <w:bCs/>
                      <w:sz w:val="14"/>
                      <w:szCs w:val="16"/>
                    </w:rPr>
                    <w:t>4.7</w:t>
                  </w:r>
                </w:p>
              </w:tc>
              <w:tc>
                <w:tcPr>
                  <w:tcW w:w="612" w:type="dxa"/>
                  <w:shd w:val="clear" w:color="auto" w:fill="auto"/>
                  <w:vAlign w:val="center"/>
                </w:tcPr>
                <w:p w14:paraId="67C59498" w14:textId="77777777" w:rsidR="007B0095" w:rsidRPr="00C110F2" w:rsidRDefault="007B0095" w:rsidP="00973C72">
                  <w:pPr>
                    <w:jc w:val="center"/>
                    <w:rPr>
                      <w:rFonts w:ascii="Times New Roman" w:hAnsi="Times New Roman" w:cs="Times New Roman"/>
                      <w:b/>
                      <w:bCs/>
                      <w:sz w:val="14"/>
                      <w:szCs w:val="16"/>
                    </w:rPr>
                  </w:pPr>
                  <w:r w:rsidRPr="00C110F2">
                    <w:rPr>
                      <w:rFonts w:ascii="Times New Roman" w:hAnsi="Times New Roman" w:cs="Times New Roman"/>
                      <w:b/>
                      <w:bCs/>
                      <w:sz w:val="14"/>
                      <w:szCs w:val="16"/>
                    </w:rPr>
                    <w:t>4.4</w:t>
                  </w:r>
                </w:p>
              </w:tc>
              <w:tc>
                <w:tcPr>
                  <w:tcW w:w="602" w:type="dxa"/>
                  <w:shd w:val="clear" w:color="auto" w:fill="auto"/>
                  <w:vAlign w:val="center"/>
                </w:tcPr>
                <w:p w14:paraId="21E27612" w14:textId="77777777" w:rsidR="007B0095" w:rsidRPr="00C110F2" w:rsidRDefault="007B0095" w:rsidP="00973C72">
                  <w:pPr>
                    <w:jc w:val="center"/>
                    <w:rPr>
                      <w:rFonts w:ascii="Times New Roman" w:hAnsi="Times New Roman" w:cs="Times New Roman"/>
                      <w:b/>
                      <w:bCs/>
                      <w:sz w:val="14"/>
                      <w:szCs w:val="16"/>
                    </w:rPr>
                  </w:pPr>
                  <w:r w:rsidRPr="00C110F2">
                    <w:rPr>
                      <w:rFonts w:ascii="Times New Roman" w:hAnsi="Times New Roman" w:cs="Times New Roman"/>
                      <w:b/>
                      <w:bCs/>
                      <w:sz w:val="14"/>
                      <w:szCs w:val="16"/>
                    </w:rPr>
                    <w:t>3.9</w:t>
                  </w:r>
                </w:p>
              </w:tc>
              <w:tc>
                <w:tcPr>
                  <w:tcW w:w="820" w:type="dxa"/>
                  <w:shd w:val="clear" w:color="auto" w:fill="auto"/>
                  <w:vAlign w:val="center"/>
                </w:tcPr>
                <w:p w14:paraId="07D844C5" w14:textId="77777777" w:rsidR="007B0095" w:rsidRPr="00C110F2" w:rsidRDefault="007B0095" w:rsidP="00973C72">
                  <w:pPr>
                    <w:jc w:val="center"/>
                    <w:rPr>
                      <w:rFonts w:ascii="Times New Roman" w:hAnsi="Times New Roman" w:cs="Times New Roman"/>
                      <w:b/>
                      <w:bCs/>
                      <w:sz w:val="14"/>
                      <w:szCs w:val="16"/>
                    </w:rPr>
                  </w:pPr>
                  <w:r w:rsidRPr="00C110F2">
                    <w:rPr>
                      <w:rFonts w:ascii="Times New Roman" w:hAnsi="Times New Roman" w:cs="Times New Roman"/>
                      <w:b/>
                      <w:bCs/>
                      <w:sz w:val="14"/>
                      <w:szCs w:val="16"/>
                    </w:rPr>
                    <w:t>3.7</w:t>
                  </w:r>
                </w:p>
              </w:tc>
              <w:tc>
                <w:tcPr>
                  <w:tcW w:w="668" w:type="dxa"/>
                  <w:shd w:val="clear" w:color="auto" w:fill="auto"/>
                  <w:vAlign w:val="center"/>
                </w:tcPr>
                <w:p w14:paraId="0ED2DDD6" w14:textId="77777777" w:rsidR="007B0095" w:rsidRPr="00C110F2" w:rsidRDefault="007B0095" w:rsidP="00973C72">
                  <w:pPr>
                    <w:jc w:val="center"/>
                    <w:rPr>
                      <w:rFonts w:ascii="Times New Roman" w:hAnsi="Times New Roman" w:cs="Times New Roman"/>
                      <w:b/>
                      <w:bCs/>
                      <w:sz w:val="14"/>
                      <w:szCs w:val="16"/>
                    </w:rPr>
                  </w:pPr>
                  <w:r w:rsidRPr="00C110F2">
                    <w:rPr>
                      <w:rFonts w:ascii="Times New Roman" w:hAnsi="Times New Roman" w:cs="Times New Roman"/>
                      <w:b/>
                      <w:bCs/>
                      <w:sz w:val="14"/>
                      <w:szCs w:val="16"/>
                    </w:rPr>
                    <w:t>4.0</w:t>
                  </w:r>
                </w:p>
              </w:tc>
              <w:tc>
                <w:tcPr>
                  <w:tcW w:w="612" w:type="dxa"/>
                  <w:shd w:val="clear" w:color="auto" w:fill="auto"/>
                  <w:vAlign w:val="center"/>
                </w:tcPr>
                <w:p w14:paraId="4A950AEC" w14:textId="77777777" w:rsidR="007B0095" w:rsidRPr="00C110F2" w:rsidRDefault="007B0095" w:rsidP="00973C72">
                  <w:pPr>
                    <w:jc w:val="center"/>
                    <w:rPr>
                      <w:rFonts w:ascii="Times New Roman" w:hAnsi="Times New Roman" w:cs="Times New Roman"/>
                      <w:b/>
                      <w:bCs/>
                      <w:sz w:val="14"/>
                      <w:szCs w:val="16"/>
                    </w:rPr>
                  </w:pPr>
                  <w:r w:rsidRPr="00C110F2">
                    <w:rPr>
                      <w:rFonts w:ascii="Times New Roman" w:hAnsi="Times New Roman" w:cs="Times New Roman"/>
                      <w:b/>
                      <w:bCs/>
                      <w:sz w:val="14"/>
                      <w:szCs w:val="16"/>
                    </w:rPr>
                    <w:t>3.9</w:t>
                  </w:r>
                </w:p>
              </w:tc>
              <w:tc>
                <w:tcPr>
                  <w:tcW w:w="602" w:type="dxa"/>
                  <w:shd w:val="clear" w:color="auto" w:fill="auto"/>
                  <w:vAlign w:val="center"/>
                </w:tcPr>
                <w:p w14:paraId="52D0D1B5" w14:textId="77777777" w:rsidR="007B0095" w:rsidRPr="00C110F2" w:rsidRDefault="007B0095" w:rsidP="00973C72">
                  <w:pPr>
                    <w:jc w:val="center"/>
                    <w:rPr>
                      <w:rFonts w:ascii="Times New Roman" w:hAnsi="Times New Roman" w:cs="Times New Roman"/>
                      <w:b/>
                      <w:bCs/>
                      <w:sz w:val="14"/>
                      <w:szCs w:val="16"/>
                    </w:rPr>
                  </w:pPr>
                  <w:r w:rsidRPr="00C110F2">
                    <w:rPr>
                      <w:rFonts w:ascii="Times New Roman" w:hAnsi="Times New Roman" w:cs="Times New Roman"/>
                      <w:b/>
                      <w:bCs/>
                      <w:sz w:val="14"/>
                      <w:szCs w:val="16"/>
                    </w:rPr>
                    <w:t>4.0</w:t>
                  </w:r>
                </w:p>
              </w:tc>
              <w:tc>
                <w:tcPr>
                  <w:tcW w:w="790" w:type="dxa"/>
                  <w:vAlign w:val="center"/>
                </w:tcPr>
                <w:p w14:paraId="3009DBA8" w14:textId="77777777" w:rsidR="007B0095" w:rsidRPr="00C110F2" w:rsidRDefault="007B0095" w:rsidP="00973C72">
                  <w:pPr>
                    <w:jc w:val="center"/>
                    <w:rPr>
                      <w:rFonts w:ascii="Times New Roman" w:hAnsi="Times New Roman" w:cs="Times New Roman"/>
                      <w:b/>
                      <w:bCs/>
                      <w:sz w:val="14"/>
                      <w:szCs w:val="16"/>
                    </w:rPr>
                  </w:pPr>
                  <w:r w:rsidRPr="00C110F2">
                    <w:rPr>
                      <w:rFonts w:ascii="Times New Roman" w:hAnsi="Times New Roman" w:cs="Times New Roman"/>
                      <w:b/>
                      <w:bCs/>
                      <w:sz w:val="14"/>
                      <w:szCs w:val="16"/>
                    </w:rPr>
                    <w:t>4.0</w:t>
                  </w:r>
                </w:p>
              </w:tc>
            </w:tr>
            <w:tr w:rsidR="007B0095" w:rsidRPr="00C110F2" w14:paraId="2B748F11" w14:textId="77777777" w:rsidTr="00434680">
              <w:trPr>
                <w:trHeight w:val="19"/>
                <w:jc w:val="center"/>
              </w:trPr>
              <w:tc>
                <w:tcPr>
                  <w:tcW w:w="1476" w:type="dxa"/>
                  <w:shd w:val="clear" w:color="auto" w:fill="auto"/>
                  <w:vAlign w:val="center"/>
                </w:tcPr>
                <w:p w14:paraId="7C186E2D" w14:textId="77777777" w:rsidR="007B0095" w:rsidRPr="00C110F2" w:rsidRDefault="007B0095" w:rsidP="00973C72">
                  <w:pPr>
                    <w:rPr>
                      <w:rFonts w:ascii="Times New Roman" w:hAnsi="Times New Roman" w:cs="Times New Roman"/>
                      <w:sz w:val="14"/>
                      <w:u w:val="single"/>
                    </w:rPr>
                  </w:pPr>
                  <w:r w:rsidRPr="00C110F2">
                    <w:rPr>
                      <w:rFonts w:ascii="Times New Roman" w:hAnsi="Times New Roman" w:cs="Times New Roman"/>
                      <w:sz w:val="14"/>
                    </w:rPr>
                    <w:t>China</w:t>
                  </w:r>
                </w:p>
              </w:tc>
              <w:tc>
                <w:tcPr>
                  <w:tcW w:w="668" w:type="dxa"/>
                  <w:shd w:val="clear" w:color="auto" w:fill="auto"/>
                  <w:vAlign w:val="center"/>
                </w:tcPr>
                <w:p w14:paraId="5047BEF7"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5.2</w:t>
                  </w:r>
                </w:p>
              </w:tc>
              <w:tc>
                <w:tcPr>
                  <w:tcW w:w="612" w:type="dxa"/>
                  <w:shd w:val="clear" w:color="auto" w:fill="auto"/>
                  <w:vAlign w:val="center"/>
                </w:tcPr>
                <w:p w14:paraId="6B75E511"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5.1</w:t>
                  </w:r>
                </w:p>
              </w:tc>
              <w:tc>
                <w:tcPr>
                  <w:tcW w:w="602" w:type="dxa"/>
                  <w:shd w:val="clear" w:color="auto" w:fill="auto"/>
                  <w:vAlign w:val="center"/>
                </w:tcPr>
                <w:p w14:paraId="24E1A720"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4.6</w:t>
                  </w:r>
                </w:p>
              </w:tc>
              <w:tc>
                <w:tcPr>
                  <w:tcW w:w="820" w:type="dxa"/>
                  <w:shd w:val="clear" w:color="auto" w:fill="auto"/>
                  <w:vAlign w:val="center"/>
                </w:tcPr>
                <w:p w14:paraId="7FD54A77"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4.4</w:t>
                  </w:r>
                </w:p>
              </w:tc>
              <w:tc>
                <w:tcPr>
                  <w:tcW w:w="668" w:type="dxa"/>
                  <w:shd w:val="clear" w:color="auto" w:fill="auto"/>
                  <w:vAlign w:val="center"/>
                </w:tcPr>
                <w:p w14:paraId="3496C140"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5.2</w:t>
                  </w:r>
                </w:p>
              </w:tc>
              <w:tc>
                <w:tcPr>
                  <w:tcW w:w="612" w:type="dxa"/>
                  <w:shd w:val="clear" w:color="auto" w:fill="auto"/>
                  <w:vAlign w:val="center"/>
                </w:tcPr>
                <w:p w14:paraId="16807E35"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5.2</w:t>
                  </w:r>
                </w:p>
              </w:tc>
              <w:tc>
                <w:tcPr>
                  <w:tcW w:w="602" w:type="dxa"/>
                  <w:shd w:val="clear" w:color="auto" w:fill="auto"/>
                  <w:vAlign w:val="center"/>
                </w:tcPr>
                <w:p w14:paraId="5A767571"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5.2</w:t>
                  </w:r>
                </w:p>
              </w:tc>
              <w:tc>
                <w:tcPr>
                  <w:tcW w:w="790" w:type="dxa"/>
                  <w:vAlign w:val="center"/>
                </w:tcPr>
                <w:p w14:paraId="0D84671E"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5.0</w:t>
                  </w:r>
                </w:p>
              </w:tc>
            </w:tr>
            <w:tr w:rsidR="007B0095" w:rsidRPr="00C110F2" w14:paraId="392E4647" w14:textId="77777777" w:rsidTr="00434680">
              <w:trPr>
                <w:trHeight w:val="19"/>
                <w:jc w:val="center"/>
              </w:trPr>
              <w:tc>
                <w:tcPr>
                  <w:tcW w:w="1476" w:type="dxa"/>
                  <w:shd w:val="clear" w:color="auto" w:fill="auto"/>
                  <w:vAlign w:val="center"/>
                </w:tcPr>
                <w:p w14:paraId="31A13640" w14:textId="77777777" w:rsidR="007B0095" w:rsidRPr="00C110F2" w:rsidRDefault="007B0095" w:rsidP="00973C72">
                  <w:pPr>
                    <w:rPr>
                      <w:rFonts w:ascii="Times New Roman" w:hAnsi="Times New Roman" w:cs="Times New Roman"/>
                      <w:sz w:val="14"/>
                      <w:u w:val="single"/>
                    </w:rPr>
                  </w:pPr>
                  <w:r w:rsidRPr="00C110F2">
                    <w:rPr>
                      <w:rFonts w:ascii="Times New Roman" w:hAnsi="Times New Roman" w:cs="Times New Roman"/>
                      <w:sz w:val="14"/>
                    </w:rPr>
                    <w:t>India</w:t>
                  </w:r>
                </w:p>
              </w:tc>
              <w:tc>
                <w:tcPr>
                  <w:tcW w:w="668" w:type="dxa"/>
                  <w:shd w:val="clear" w:color="auto" w:fill="auto"/>
                  <w:vAlign w:val="center"/>
                </w:tcPr>
                <w:p w14:paraId="10AAFC23"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7.1</w:t>
                  </w:r>
                </w:p>
              </w:tc>
              <w:tc>
                <w:tcPr>
                  <w:tcW w:w="612" w:type="dxa"/>
                  <w:shd w:val="clear" w:color="auto" w:fill="auto"/>
                  <w:vAlign w:val="center"/>
                </w:tcPr>
                <w:p w14:paraId="0A9777C0"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6.9</w:t>
                  </w:r>
                </w:p>
              </w:tc>
              <w:tc>
                <w:tcPr>
                  <w:tcW w:w="602" w:type="dxa"/>
                  <w:shd w:val="clear" w:color="auto" w:fill="auto"/>
                  <w:vAlign w:val="center"/>
                </w:tcPr>
                <w:p w14:paraId="6FD9BA98"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6.1</w:t>
                  </w:r>
                </w:p>
              </w:tc>
              <w:tc>
                <w:tcPr>
                  <w:tcW w:w="820" w:type="dxa"/>
                  <w:shd w:val="clear" w:color="auto" w:fill="auto"/>
                  <w:vAlign w:val="center"/>
                </w:tcPr>
                <w:p w14:paraId="0ED83BC1"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6.1</w:t>
                  </w:r>
                </w:p>
              </w:tc>
              <w:tc>
                <w:tcPr>
                  <w:tcW w:w="668" w:type="dxa"/>
                  <w:shd w:val="clear" w:color="auto" w:fill="auto"/>
                  <w:vAlign w:val="center"/>
                </w:tcPr>
                <w:p w14:paraId="18790932"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6.1</w:t>
                  </w:r>
                </w:p>
              </w:tc>
              <w:tc>
                <w:tcPr>
                  <w:tcW w:w="612" w:type="dxa"/>
                  <w:shd w:val="clear" w:color="auto" w:fill="auto"/>
                  <w:vAlign w:val="center"/>
                </w:tcPr>
                <w:p w14:paraId="766291D6"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5.9</w:t>
                  </w:r>
                </w:p>
              </w:tc>
              <w:tc>
                <w:tcPr>
                  <w:tcW w:w="602" w:type="dxa"/>
                  <w:shd w:val="clear" w:color="auto" w:fill="auto"/>
                  <w:vAlign w:val="center"/>
                </w:tcPr>
                <w:p w14:paraId="3E81B44E"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6.1</w:t>
                  </w:r>
                </w:p>
              </w:tc>
              <w:tc>
                <w:tcPr>
                  <w:tcW w:w="790" w:type="dxa"/>
                  <w:vAlign w:val="center"/>
                </w:tcPr>
                <w:p w14:paraId="10EEEE07"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6.3</w:t>
                  </w:r>
                </w:p>
              </w:tc>
            </w:tr>
            <w:tr w:rsidR="007B0095" w:rsidRPr="00C110F2" w14:paraId="0E5CA44C" w14:textId="77777777" w:rsidTr="00434680">
              <w:trPr>
                <w:trHeight w:val="19"/>
                <w:jc w:val="center"/>
              </w:trPr>
              <w:tc>
                <w:tcPr>
                  <w:tcW w:w="1476" w:type="dxa"/>
                  <w:shd w:val="clear" w:color="auto" w:fill="auto"/>
                  <w:vAlign w:val="center"/>
                </w:tcPr>
                <w:p w14:paraId="3F4AF36D" w14:textId="77777777" w:rsidR="007B0095" w:rsidRPr="00C110F2" w:rsidRDefault="007B0095" w:rsidP="00973C72">
                  <w:pPr>
                    <w:rPr>
                      <w:rFonts w:ascii="Times New Roman" w:hAnsi="Times New Roman" w:cs="Times New Roman"/>
                      <w:sz w:val="14"/>
                      <w:u w:val="single"/>
                    </w:rPr>
                  </w:pPr>
                  <w:r w:rsidRPr="00C110F2">
                    <w:rPr>
                      <w:rFonts w:ascii="Times New Roman" w:hAnsi="Times New Roman" w:cs="Times New Roman"/>
                      <w:sz w:val="14"/>
                    </w:rPr>
                    <w:t>Rusia</w:t>
                  </w:r>
                </w:p>
              </w:tc>
              <w:tc>
                <w:tcPr>
                  <w:tcW w:w="668" w:type="dxa"/>
                  <w:shd w:val="clear" w:color="auto" w:fill="auto"/>
                  <w:vAlign w:val="center"/>
                </w:tcPr>
                <w:p w14:paraId="39696A13"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2.1</w:t>
                  </w:r>
                </w:p>
              </w:tc>
              <w:tc>
                <w:tcPr>
                  <w:tcW w:w="612" w:type="dxa"/>
                  <w:shd w:val="clear" w:color="auto" w:fill="auto"/>
                  <w:vAlign w:val="center"/>
                </w:tcPr>
                <w:p w14:paraId="1C172DB3"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-2.3</w:t>
                  </w:r>
                </w:p>
              </w:tc>
              <w:tc>
                <w:tcPr>
                  <w:tcW w:w="602" w:type="dxa"/>
                  <w:shd w:val="clear" w:color="auto" w:fill="auto"/>
                  <w:vAlign w:val="center"/>
                </w:tcPr>
                <w:p w14:paraId="4040FADA"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-3.5</w:t>
                  </w:r>
                </w:p>
              </w:tc>
              <w:tc>
                <w:tcPr>
                  <w:tcW w:w="820" w:type="dxa"/>
                  <w:shd w:val="clear" w:color="auto" w:fill="auto"/>
                  <w:vAlign w:val="center"/>
                </w:tcPr>
                <w:p w14:paraId="17E45A55"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-2.3</w:t>
                  </w:r>
                </w:p>
              </w:tc>
              <w:tc>
                <w:tcPr>
                  <w:tcW w:w="668" w:type="dxa"/>
                  <w:shd w:val="clear" w:color="auto" w:fill="auto"/>
                  <w:vAlign w:val="center"/>
                </w:tcPr>
                <w:p w14:paraId="2E6A4041"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0.3</w:t>
                  </w:r>
                </w:p>
              </w:tc>
              <w:tc>
                <w:tcPr>
                  <w:tcW w:w="612" w:type="dxa"/>
                  <w:shd w:val="clear" w:color="auto" w:fill="auto"/>
                  <w:vAlign w:val="center"/>
                </w:tcPr>
                <w:p w14:paraId="3D2FBB21"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0.7</w:t>
                  </w:r>
                </w:p>
              </w:tc>
              <w:tc>
                <w:tcPr>
                  <w:tcW w:w="602" w:type="dxa"/>
                  <w:shd w:val="clear" w:color="auto" w:fill="auto"/>
                  <w:vAlign w:val="center"/>
                </w:tcPr>
                <w:p w14:paraId="6B2ABFB2"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1.5</w:t>
                  </w:r>
                </w:p>
              </w:tc>
              <w:tc>
                <w:tcPr>
                  <w:tcW w:w="790" w:type="dxa"/>
                  <w:vAlign w:val="center"/>
                </w:tcPr>
                <w:p w14:paraId="62090048"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2.2</w:t>
                  </w:r>
                </w:p>
              </w:tc>
            </w:tr>
            <w:tr w:rsidR="007B0095" w:rsidRPr="00C110F2" w14:paraId="7582FF73" w14:textId="77777777" w:rsidTr="00434680">
              <w:trPr>
                <w:trHeight w:val="19"/>
                <w:jc w:val="center"/>
              </w:trPr>
              <w:tc>
                <w:tcPr>
                  <w:tcW w:w="1476" w:type="dxa"/>
                  <w:shd w:val="clear" w:color="auto" w:fill="auto"/>
                  <w:vAlign w:val="center"/>
                </w:tcPr>
                <w:p w14:paraId="1317BECB" w14:textId="77777777" w:rsidR="007B0095" w:rsidRPr="00C110F2" w:rsidRDefault="007B0095" w:rsidP="00973C72">
                  <w:pPr>
                    <w:rPr>
                      <w:rFonts w:ascii="Times New Roman" w:hAnsi="Times New Roman" w:cs="Times New Roman"/>
                      <w:sz w:val="14"/>
                      <w:u w:val="single"/>
                    </w:rPr>
                  </w:pPr>
                  <w:r w:rsidRPr="00C110F2">
                    <w:rPr>
                      <w:rFonts w:ascii="Times New Roman" w:hAnsi="Times New Roman" w:cs="Times New Roman"/>
                      <w:sz w:val="14"/>
                    </w:rPr>
                    <w:t>América Latina y el Caribe</w:t>
                  </w:r>
                </w:p>
              </w:tc>
              <w:tc>
                <w:tcPr>
                  <w:tcW w:w="668" w:type="dxa"/>
                  <w:shd w:val="clear" w:color="auto" w:fill="auto"/>
                  <w:vAlign w:val="center"/>
                </w:tcPr>
                <w:p w14:paraId="10FF3AA8"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2.6</w:t>
                  </w:r>
                </w:p>
              </w:tc>
              <w:tc>
                <w:tcPr>
                  <w:tcW w:w="612" w:type="dxa"/>
                  <w:shd w:val="clear" w:color="auto" w:fill="auto"/>
                  <w:vAlign w:val="center"/>
                </w:tcPr>
                <w:p w14:paraId="2A79E865"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2.5</w:t>
                  </w:r>
                </w:p>
              </w:tc>
              <w:tc>
                <w:tcPr>
                  <w:tcW w:w="602" w:type="dxa"/>
                  <w:shd w:val="clear" w:color="auto" w:fill="auto"/>
                  <w:vAlign w:val="center"/>
                </w:tcPr>
                <w:p w14:paraId="21D5285C"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2.0</w:t>
                  </w:r>
                </w:p>
              </w:tc>
              <w:tc>
                <w:tcPr>
                  <w:tcW w:w="820" w:type="dxa"/>
                  <w:shd w:val="clear" w:color="auto" w:fill="auto"/>
                  <w:vAlign w:val="center"/>
                </w:tcPr>
                <w:p w14:paraId="097A17B5"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1.7</w:t>
                  </w:r>
                </w:p>
              </w:tc>
              <w:tc>
                <w:tcPr>
                  <w:tcW w:w="668" w:type="dxa"/>
                  <w:shd w:val="clear" w:color="auto" w:fill="auto"/>
                  <w:vAlign w:val="center"/>
                </w:tcPr>
                <w:p w14:paraId="2BEC3CC4"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1.8</w:t>
                  </w:r>
                </w:p>
              </w:tc>
              <w:tc>
                <w:tcPr>
                  <w:tcW w:w="612" w:type="dxa"/>
                  <w:shd w:val="clear" w:color="auto" w:fill="auto"/>
                  <w:vAlign w:val="center"/>
                </w:tcPr>
                <w:p w14:paraId="20E40605"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1.6</w:t>
                  </w:r>
                </w:p>
              </w:tc>
              <w:tc>
                <w:tcPr>
                  <w:tcW w:w="602" w:type="dxa"/>
                  <w:shd w:val="clear" w:color="auto" w:fill="auto"/>
                  <w:vAlign w:val="center"/>
                </w:tcPr>
                <w:p w14:paraId="66C7A6FC"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1.9</w:t>
                  </w:r>
                </w:p>
              </w:tc>
              <w:tc>
                <w:tcPr>
                  <w:tcW w:w="790" w:type="dxa"/>
                  <w:vAlign w:val="center"/>
                </w:tcPr>
                <w:p w14:paraId="145E0218"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2.3</w:t>
                  </w:r>
                </w:p>
              </w:tc>
            </w:tr>
            <w:tr w:rsidR="007B0095" w:rsidRPr="00C110F2" w14:paraId="06692F0B" w14:textId="77777777" w:rsidTr="00434680">
              <w:trPr>
                <w:trHeight w:val="19"/>
                <w:jc w:val="center"/>
              </w:trPr>
              <w:tc>
                <w:tcPr>
                  <w:tcW w:w="1476" w:type="dxa"/>
                  <w:shd w:val="clear" w:color="auto" w:fill="auto"/>
                  <w:vAlign w:val="center"/>
                </w:tcPr>
                <w:p w14:paraId="3D8EC97A" w14:textId="77777777" w:rsidR="007B0095" w:rsidRPr="00C110F2" w:rsidRDefault="007B0095" w:rsidP="00973C72">
                  <w:pPr>
                    <w:rPr>
                      <w:rFonts w:ascii="Times New Roman" w:hAnsi="Times New Roman" w:cs="Times New Roman"/>
                      <w:sz w:val="14"/>
                      <w:u w:val="single"/>
                    </w:rPr>
                  </w:pPr>
                  <w:r w:rsidRPr="00C110F2">
                    <w:rPr>
                      <w:rFonts w:ascii="Times New Roman" w:hAnsi="Times New Roman" w:cs="Times New Roman"/>
                      <w:sz w:val="14"/>
                    </w:rPr>
                    <w:t>Oriente Medio y Asia Central</w:t>
                  </w:r>
                </w:p>
              </w:tc>
              <w:tc>
                <w:tcPr>
                  <w:tcW w:w="668" w:type="dxa"/>
                  <w:shd w:val="clear" w:color="auto" w:fill="auto"/>
                  <w:vAlign w:val="center"/>
                </w:tcPr>
                <w:p w14:paraId="29D419F9"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3.6</w:t>
                  </w:r>
                </w:p>
              </w:tc>
              <w:tc>
                <w:tcPr>
                  <w:tcW w:w="612" w:type="dxa"/>
                  <w:shd w:val="clear" w:color="auto" w:fill="auto"/>
                  <w:vAlign w:val="center"/>
                </w:tcPr>
                <w:p w14:paraId="48F53854"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3.7</w:t>
                  </w:r>
                </w:p>
              </w:tc>
              <w:tc>
                <w:tcPr>
                  <w:tcW w:w="602" w:type="dxa"/>
                  <w:shd w:val="clear" w:color="auto" w:fill="auto"/>
                  <w:vAlign w:val="center"/>
                </w:tcPr>
                <w:p w14:paraId="027EC450"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3.5</w:t>
                  </w:r>
                </w:p>
              </w:tc>
              <w:tc>
                <w:tcPr>
                  <w:tcW w:w="820" w:type="dxa"/>
                  <w:shd w:val="clear" w:color="auto" w:fill="auto"/>
                  <w:vAlign w:val="center"/>
                </w:tcPr>
                <w:p w14:paraId="543DE3B7"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3.6</w:t>
                  </w:r>
                </w:p>
              </w:tc>
              <w:tc>
                <w:tcPr>
                  <w:tcW w:w="668" w:type="dxa"/>
                  <w:shd w:val="clear" w:color="auto" w:fill="auto"/>
                  <w:vAlign w:val="center"/>
                </w:tcPr>
                <w:p w14:paraId="6555B53A"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3.2</w:t>
                  </w:r>
                </w:p>
              </w:tc>
              <w:tc>
                <w:tcPr>
                  <w:tcW w:w="612" w:type="dxa"/>
                  <w:shd w:val="clear" w:color="auto" w:fill="auto"/>
                  <w:vAlign w:val="center"/>
                </w:tcPr>
                <w:p w14:paraId="2416696F"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2.9</w:t>
                  </w:r>
                </w:p>
              </w:tc>
              <w:tc>
                <w:tcPr>
                  <w:tcW w:w="602" w:type="dxa"/>
                  <w:shd w:val="clear" w:color="auto" w:fill="auto"/>
                  <w:vAlign w:val="center"/>
                </w:tcPr>
                <w:p w14:paraId="0AD7885E"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2.5</w:t>
                  </w:r>
                </w:p>
              </w:tc>
              <w:tc>
                <w:tcPr>
                  <w:tcW w:w="790" w:type="dxa"/>
                  <w:vAlign w:val="center"/>
                </w:tcPr>
                <w:p w14:paraId="099724BD"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2.0</w:t>
                  </w:r>
                </w:p>
              </w:tc>
            </w:tr>
            <w:tr w:rsidR="007B0095" w:rsidRPr="00C110F2" w14:paraId="0AED146E" w14:textId="77777777" w:rsidTr="00434680">
              <w:trPr>
                <w:trHeight w:val="19"/>
                <w:jc w:val="center"/>
              </w:trPr>
              <w:tc>
                <w:tcPr>
                  <w:tcW w:w="1476" w:type="dxa"/>
                  <w:shd w:val="clear" w:color="auto" w:fill="auto"/>
                  <w:vAlign w:val="center"/>
                </w:tcPr>
                <w:p w14:paraId="0C3E7E4F" w14:textId="77777777" w:rsidR="007B0095" w:rsidRPr="00C110F2" w:rsidRDefault="007B0095" w:rsidP="00973C72">
                  <w:pPr>
                    <w:rPr>
                      <w:rFonts w:ascii="Times New Roman" w:hAnsi="Times New Roman" w:cs="Times New Roman"/>
                      <w:sz w:val="14"/>
                      <w:u w:val="single"/>
                    </w:rPr>
                  </w:pPr>
                  <w:r w:rsidRPr="00C110F2">
                    <w:rPr>
                      <w:rFonts w:ascii="Times New Roman" w:hAnsi="Times New Roman" w:cs="Times New Roman"/>
                      <w:sz w:val="14"/>
                    </w:rPr>
                    <w:t>Países en desarrollo de bajos ingresos</w:t>
                  </w:r>
                </w:p>
              </w:tc>
              <w:tc>
                <w:tcPr>
                  <w:tcW w:w="668" w:type="dxa"/>
                  <w:shd w:val="clear" w:color="auto" w:fill="auto"/>
                  <w:vAlign w:val="center"/>
                </w:tcPr>
                <w:p w14:paraId="548050D9"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3.5</w:t>
                  </w:r>
                </w:p>
              </w:tc>
              <w:tc>
                <w:tcPr>
                  <w:tcW w:w="612" w:type="dxa"/>
                  <w:shd w:val="clear" w:color="auto" w:fill="auto"/>
                  <w:vAlign w:val="center"/>
                </w:tcPr>
                <w:p w14:paraId="59AA7EDB"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5.4</w:t>
                  </w:r>
                </w:p>
              </w:tc>
              <w:tc>
                <w:tcPr>
                  <w:tcW w:w="602" w:type="dxa"/>
                  <w:shd w:val="clear" w:color="auto" w:fill="auto"/>
                  <w:vAlign w:val="center"/>
                </w:tcPr>
                <w:p w14:paraId="7CD17238"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5.2</w:t>
                  </w:r>
                </w:p>
              </w:tc>
              <w:tc>
                <w:tcPr>
                  <w:tcW w:w="820" w:type="dxa"/>
                  <w:shd w:val="clear" w:color="auto" w:fill="auto"/>
                  <w:vAlign w:val="center"/>
                </w:tcPr>
                <w:p w14:paraId="0A17C64F"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4.9</w:t>
                  </w:r>
                </w:p>
              </w:tc>
              <w:tc>
                <w:tcPr>
                  <w:tcW w:w="668" w:type="dxa"/>
                  <w:shd w:val="clear" w:color="auto" w:fill="auto"/>
                  <w:vAlign w:val="center"/>
                </w:tcPr>
                <w:p w14:paraId="4D1F70D5"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4.9</w:t>
                  </w:r>
                </w:p>
              </w:tc>
              <w:tc>
                <w:tcPr>
                  <w:tcW w:w="612" w:type="dxa"/>
                  <w:shd w:val="clear" w:color="auto" w:fill="auto"/>
                  <w:vAlign w:val="center"/>
                </w:tcPr>
                <w:p w14:paraId="4A3874B1"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4.7</w:t>
                  </w:r>
                </w:p>
              </w:tc>
              <w:tc>
                <w:tcPr>
                  <w:tcW w:w="602" w:type="dxa"/>
                  <w:shd w:val="clear" w:color="auto" w:fill="auto"/>
                  <w:vAlign w:val="center"/>
                </w:tcPr>
                <w:p w14:paraId="72E197EB"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4.5</w:t>
                  </w:r>
                </w:p>
              </w:tc>
              <w:tc>
                <w:tcPr>
                  <w:tcW w:w="790" w:type="dxa"/>
                  <w:vAlign w:val="center"/>
                </w:tcPr>
                <w:p w14:paraId="538E089B" w14:textId="77777777" w:rsidR="007B0095" w:rsidRPr="00C110F2" w:rsidRDefault="007B0095" w:rsidP="00973C72">
                  <w:pPr>
                    <w:jc w:val="center"/>
                    <w:rPr>
                      <w:rFonts w:ascii="Times New Roman" w:hAnsi="Times New Roman" w:cs="Times New Roman"/>
                      <w:sz w:val="14"/>
                      <w:szCs w:val="16"/>
                    </w:rPr>
                  </w:pPr>
                  <w:r w:rsidRPr="00C110F2">
                    <w:rPr>
                      <w:rFonts w:ascii="Times New Roman" w:hAnsi="Times New Roman" w:cs="Times New Roman"/>
                      <w:sz w:val="14"/>
                      <w:szCs w:val="16"/>
                    </w:rPr>
                    <w:t>4.0</w:t>
                  </w:r>
                </w:p>
              </w:tc>
            </w:tr>
          </w:tbl>
          <w:p w14:paraId="44356593" w14:textId="77777777" w:rsidR="007B0095" w:rsidRPr="00C110F2" w:rsidRDefault="007B0095" w:rsidP="00973C72">
            <w:pPr>
              <w:keepNext/>
              <w:keepLines/>
              <w:tabs>
                <w:tab w:val="left" w:pos="1134"/>
              </w:tabs>
              <w:spacing w:line="276" w:lineRule="auto"/>
              <w:ind w:left="360"/>
              <w:jc w:val="both"/>
              <w:outlineLvl w:val="1"/>
              <w:rPr>
                <w:rFonts w:ascii="Times New Roman" w:eastAsiaTheme="majorEastAsia" w:hAnsi="Times New Roman" w:cs="Times New Roman"/>
                <w:b/>
                <w:bCs/>
              </w:rPr>
            </w:pPr>
          </w:p>
        </w:tc>
      </w:tr>
      <w:tr w:rsidR="007B0095" w:rsidRPr="00C110F2" w14:paraId="2D2DF9F3" w14:textId="77777777" w:rsidTr="00973C72">
        <w:tc>
          <w:tcPr>
            <w:tcW w:w="8828" w:type="dxa"/>
          </w:tcPr>
          <w:p w14:paraId="79B35A09" w14:textId="77777777" w:rsidR="007B0095" w:rsidRPr="00C110F2" w:rsidRDefault="007B0095" w:rsidP="00973C72">
            <w:pPr>
              <w:spacing w:line="276" w:lineRule="auto"/>
              <w:contextualSpacing/>
              <w:rPr>
                <w:rFonts w:ascii="Times New Roman" w:eastAsia="Times New Roman" w:hAnsi="Times New Roman" w:cs="Times New Roman"/>
                <w:sz w:val="18"/>
                <w:szCs w:val="18"/>
                <w:lang w:eastAsia="es-ES"/>
              </w:rPr>
            </w:pPr>
            <w:r w:rsidRPr="00C110F2">
              <w:rPr>
                <w:rFonts w:ascii="Times New Roman" w:eastAsia="Times New Roman" w:hAnsi="Times New Roman" w:cs="Times New Roman"/>
                <w:sz w:val="18"/>
                <w:szCs w:val="18"/>
                <w:lang w:val="es-ES_tradnl" w:eastAsia="es-ES"/>
              </w:rPr>
              <w:t xml:space="preserve">               Fuente:  FMI, actualización de las Perspectivas de la economía mundial, </w:t>
            </w:r>
            <w:r w:rsidRPr="00C110F2">
              <w:rPr>
                <w:rFonts w:ascii="Times New Roman" w:eastAsia="Times New Roman" w:hAnsi="Times New Roman" w:cs="Times New Roman"/>
                <w:sz w:val="18"/>
                <w:szCs w:val="18"/>
                <w:lang w:eastAsia="es-ES"/>
              </w:rPr>
              <w:t xml:space="preserve">enero 2022, abril </w:t>
            </w:r>
          </w:p>
          <w:p w14:paraId="70920746" w14:textId="77777777" w:rsidR="007B0095" w:rsidRPr="00C110F2" w:rsidRDefault="007B0095" w:rsidP="00973C72">
            <w:pPr>
              <w:spacing w:line="276" w:lineRule="auto"/>
              <w:contextualSpacing/>
              <w:rPr>
                <w:rFonts w:ascii="Times New Roman" w:eastAsia="Times New Roman" w:hAnsi="Times New Roman" w:cs="Times New Roman"/>
                <w:sz w:val="16"/>
                <w:lang w:eastAsia="es-ES"/>
              </w:rPr>
            </w:pPr>
            <w:r w:rsidRPr="00C110F2">
              <w:rPr>
                <w:rFonts w:ascii="Times New Roman" w:eastAsia="Times New Roman" w:hAnsi="Times New Roman" w:cs="Times New Roman"/>
                <w:sz w:val="18"/>
                <w:szCs w:val="18"/>
                <w:lang w:eastAsia="es-ES"/>
              </w:rPr>
              <w:t xml:space="preserve">                2022, julio 2022, octubre 2022, enero 2023, abril 2023, julio 2023, octubre 2023</w:t>
            </w:r>
          </w:p>
        </w:tc>
      </w:tr>
    </w:tbl>
    <w:p w14:paraId="57DA99F2" w14:textId="77777777" w:rsidR="007B0095" w:rsidRPr="00C110F2" w:rsidRDefault="007B0095" w:rsidP="00434680">
      <w:pPr>
        <w:contextualSpacing/>
        <w:jc w:val="both"/>
        <w:rPr>
          <w:rFonts w:ascii="Times New Roman" w:eastAsia="Times New Roman" w:hAnsi="Times New Roman" w:cs="Times New Roman"/>
          <w:noProof/>
          <w:lang w:eastAsia="es-GT"/>
        </w:rPr>
      </w:pPr>
    </w:p>
    <w:p w14:paraId="7850BB5E" w14:textId="2025EE90" w:rsidR="007B0095" w:rsidRPr="00C110F2" w:rsidRDefault="007B0095" w:rsidP="002C0B5C">
      <w:pPr>
        <w:numPr>
          <w:ilvl w:val="0"/>
          <w:numId w:val="12"/>
        </w:numPr>
        <w:ind w:left="709" w:hanging="283"/>
        <w:contextualSpacing/>
        <w:jc w:val="both"/>
        <w:rPr>
          <w:rFonts w:ascii="Times New Roman" w:eastAsia="Times New Roman" w:hAnsi="Times New Roman" w:cs="Times New Roman"/>
          <w:sz w:val="22"/>
          <w:szCs w:val="22"/>
        </w:rPr>
      </w:pPr>
      <w:r w:rsidRPr="00C110F2">
        <w:rPr>
          <w:rFonts w:ascii="Times New Roman" w:eastAsia="Times New Roman" w:hAnsi="Times New Roman" w:cs="Times New Roman"/>
          <w:sz w:val="22"/>
          <w:szCs w:val="22"/>
        </w:rPr>
        <w:t xml:space="preserve">El FMI previó en sus perspectivas de octubre que la inflación mundial finalizaría el 2023 en 5.1%, no obstante, según el Banco Mundial </w:t>
      </w:r>
      <w:r w:rsidR="00AA3046">
        <w:rPr>
          <w:rFonts w:ascii="Times New Roman" w:eastAsia="Times New Roman" w:hAnsi="Times New Roman" w:cs="Times New Roman"/>
          <w:sz w:val="22"/>
          <w:szCs w:val="22"/>
        </w:rPr>
        <w:t>é</w:t>
      </w:r>
      <w:r w:rsidRPr="00C110F2">
        <w:rPr>
          <w:rFonts w:ascii="Times New Roman" w:eastAsia="Times New Roman" w:hAnsi="Times New Roman" w:cs="Times New Roman"/>
          <w:sz w:val="22"/>
          <w:szCs w:val="22"/>
        </w:rPr>
        <w:t xml:space="preserve">sta se encontraba en 4.0% en noviembre de dicho año, 4.9 puntos porcentuales </w:t>
      </w:r>
      <w:r>
        <w:rPr>
          <w:rFonts w:ascii="Times New Roman" w:eastAsia="Times New Roman" w:hAnsi="Times New Roman" w:cs="Times New Roman"/>
          <w:sz w:val="22"/>
          <w:szCs w:val="22"/>
        </w:rPr>
        <w:t xml:space="preserve">debajo de </w:t>
      </w:r>
      <w:r w:rsidRPr="00C110F2">
        <w:rPr>
          <w:rFonts w:ascii="Times New Roman" w:eastAsia="Times New Roman" w:hAnsi="Times New Roman" w:cs="Times New Roman"/>
          <w:sz w:val="22"/>
          <w:szCs w:val="22"/>
        </w:rPr>
        <w:t xml:space="preserve">la inflación observada en diciembre de 2022. Esta disminución sustancial se debió a la baja en los precios de energía y alimentos, la ralentización de la demanda de bienes y servicios de los consumidores y la recuperación de las cadenas de suministro mundiales. Sin embargo, la inflación se mantiene </w:t>
      </w:r>
      <w:r w:rsidR="00AA3046">
        <w:rPr>
          <w:rFonts w:ascii="Times New Roman" w:eastAsia="Times New Roman" w:hAnsi="Times New Roman" w:cs="Times New Roman"/>
          <w:sz w:val="22"/>
          <w:szCs w:val="22"/>
        </w:rPr>
        <w:t xml:space="preserve">por </w:t>
      </w:r>
      <w:r w:rsidRPr="00C110F2">
        <w:rPr>
          <w:rFonts w:ascii="Times New Roman" w:eastAsia="Times New Roman" w:hAnsi="Times New Roman" w:cs="Times New Roman"/>
          <w:sz w:val="22"/>
          <w:szCs w:val="22"/>
        </w:rPr>
        <w:t>arriba de las metas en la mayoría de economías avanza</w:t>
      </w:r>
      <w:r>
        <w:rPr>
          <w:rFonts w:ascii="Times New Roman" w:eastAsia="Times New Roman" w:hAnsi="Times New Roman" w:cs="Times New Roman"/>
          <w:sz w:val="22"/>
          <w:szCs w:val="22"/>
        </w:rPr>
        <w:t>das</w:t>
      </w:r>
      <w:r w:rsidRPr="00C110F2">
        <w:rPr>
          <w:rFonts w:ascii="Times New Roman" w:eastAsia="Times New Roman" w:hAnsi="Times New Roman" w:cs="Times New Roman"/>
          <w:sz w:val="22"/>
          <w:szCs w:val="22"/>
        </w:rPr>
        <w:t xml:space="preserve"> y cerca de la mitad de las economías emergentes y en desarrollo.</w:t>
      </w:r>
    </w:p>
    <w:p w14:paraId="4C30F8EA" w14:textId="77777777" w:rsidR="007B0095" w:rsidRPr="00C110F2" w:rsidRDefault="007B0095" w:rsidP="002C0B5C">
      <w:pPr>
        <w:ind w:left="709" w:hanging="283"/>
        <w:contextualSpacing/>
        <w:rPr>
          <w:rFonts w:ascii="Times New Roman" w:eastAsia="Times New Roman" w:hAnsi="Times New Roman" w:cs="Times New Roman"/>
          <w:sz w:val="22"/>
          <w:szCs w:val="22"/>
        </w:rPr>
      </w:pPr>
    </w:p>
    <w:p w14:paraId="0DC9F4EA" w14:textId="623B8B4A" w:rsidR="007B0095" w:rsidRPr="00C110F2" w:rsidRDefault="007B0095" w:rsidP="002C0B5C">
      <w:pPr>
        <w:numPr>
          <w:ilvl w:val="0"/>
          <w:numId w:val="12"/>
        </w:numPr>
        <w:ind w:left="709" w:hanging="283"/>
        <w:contextualSpacing/>
        <w:jc w:val="both"/>
        <w:rPr>
          <w:rFonts w:ascii="Times New Roman" w:eastAsia="Times New Roman" w:hAnsi="Times New Roman" w:cs="Times New Roman"/>
          <w:sz w:val="22"/>
          <w:szCs w:val="22"/>
        </w:rPr>
      </w:pPr>
      <w:r w:rsidRPr="00C110F2">
        <w:rPr>
          <w:rFonts w:ascii="Times New Roman" w:eastAsia="Times New Roman" w:hAnsi="Times New Roman" w:cs="Times New Roman"/>
          <w:sz w:val="22"/>
          <w:szCs w:val="22"/>
        </w:rPr>
        <w:t>El comercio mundial se desaceleró de 3.0% para 2022</w:t>
      </w:r>
      <w:r>
        <w:rPr>
          <w:rFonts w:ascii="Times New Roman" w:eastAsia="Times New Roman" w:hAnsi="Times New Roman" w:cs="Times New Roman"/>
          <w:sz w:val="22"/>
          <w:szCs w:val="22"/>
        </w:rPr>
        <w:t>,</w:t>
      </w:r>
      <w:r w:rsidRPr="00C110F2">
        <w:rPr>
          <w:rFonts w:ascii="Times New Roman" w:eastAsia="Times New Roman" w:hAnsi="Times New Roman" w:cs="Times New Roman"/>
          <w:sz w:val="22"/>
          <w:szCs w:val="22"/>
        </w:rPr>
        <w:t xml:space="preserve"> hacia una estimación de cierre de 0.8% en 2023 </w:t>
      </w:r>
      <w:r w:rsidR="00F63787">
        <w:rPr>
          <w:rFonts w:ascii="Times New Roman" w:eastAsia="Times New Roman" w:hAnsi="Times New Roman" w:cs="Times New Roman"/>
          <w:sz w:val="22"/>
          <w:szCs w:val="22"/>
        </w:rPr>
        <w:t>según</w:t>
      </w:r>
      <w:r w:rsidRPr="00C110F2">
        <w:rPr>
          <w:rFonts w:ascii="Times New Roman" w:eastAsia="Times New Roman" w:hAnsi="Times New Roman" w:cs="Times New Roman"/>
          <w:sz w:val="22"/>
          <w:szCs w:val="22"/>
        </w:rPr>
        <w:t xml:space="preserve"> la Organización Mundial de Comercio -OMC-. El Banco Mundial considera que el crecimiento del 2023 será la expansión más lenta en los últimos 50 años. Esto se debió principalmente al comercio de mercancías que se contrajo, reflejando la desaceleración del crecimiento en las economías avanzadas y las economías emergentes y en desarrollo por la ralentización de la producción industrial.</w:t>
      </w:r>
    </w:p>
    <w:p w14:paraId="17C56890" w14:textId="77777777" w:rsidR="007B0095" w:rsidRPr="00C110F2" w:rsidRDefault="007B0095" w:rsidP="002C0B5C">
      <w:pPr>
        <w:ind w:left="709" w:hanging="283"/>
        <w:contextualSpacing/>
        <w:rPr>
          <w:rFonts w:ascii="Times New Roman" w:eastAsia="Times New Roman" w:hAnsi="Times New Roman" w:cs="Times New Roman"/>
          <w:sz w:val="22"/>
          <w:szCs w:val="22"/>
        </w:rPr>
      </w:pPr>
    </w:p>
    <w:p w14:paraId="0B490E98" w14:textId="4CC59346" w:rsidR="007B0095" w:rsidRPr="00C110F2" w:rsidRDefault="007B0095" w:rsidP="002C0B5C">
      <w:pPr>
        <w:numPr>
          <w:ilvl w:val="0"/>
          <w:numId w:val="12"/>
        </w:numPr>
        <w:ind w:left="709" w:hanging="283"/>
        <w:contextualSpacing/>
        <w:jc w:val="both"/>
        <w:rPr>
          <w:rFonts w:ascii="Times New Roman" w:eastAsia="Times New Roman" w:hAnsi="Times New Roman" w:cs="Times New Roman"/>
          <w:sz w:val="22"/>
          <w:szCs w:val="22"/>
        </w:rPr>
      </w:pPr>
      <w:r w:rsidRPr="00C110F2">
        <w:rPr>
          <w:rFonts w:ascii="Times New Roman" w:eastAsia="Times New Roman" w:hAnsi="Times New Roman" w:cs="Times New Roman"/>
          <w:sz w:val="22"/>
          <w:szCs w:val="22"/>
        </w:rPr>
        <w:t xml:space="preserve">En lo que respecta a los precios internacionales del </w:t>
      </w:r>
      <w:r>
        <w:rPr>
          <w:rFonts w:ascii="Times New Roman" w:eastAsia="Times New Roman" w:hAnsi="Times New Roman" w:cs="Times New Roman"/>
          <w:sz w:val="22"/>
          <w:szCs w:val="22"/>
        </w:rPr>
        <w:t>petróleo crudo</w:t>
      </w:r>
      <w:r w:rsidRPr="00C110F2">
        <w:rPr>
          <w:rFonts w:ascii="Times New Roman" w:eastAsia="Times New Roman" w:hAnsi="Times New Roman" w:cs="Times New Roman"/>
          <w:sz w:val="22"/>
          <w:szCs w:val="22"/>
        </w:rPr>
        <w:t xml:space="preserve">, el precio spot de WTI se ubicó en promedio US$77.7 por barril en 2023, </w:t>
      </w:r>
      <w:r>
        <w:rPr>
          <w:rFonts w:ascii="Times New Roman" w:eastAsia="Times New Roman" w:hAnsi="Times New Roman" w:cs="Times New Roman"/>
          <w:sz w:val="22"/>
          <w:szCs w:val="22"/>
        </w:rPr>
        <w:t>US$</w:t>
      </w:r>
      <w:r w:rsidRPr="00C110F2">
        <w:rPr>
          <w:rFonts w:ascii="Times New Roman" w:eastAsia="Times New Roman" w:hAnsi="Times New Roman" w:cs="Times New Roman"/>
          <w:sz w:val="22"/>
          <w:szCs w:val="22"/>
        </w:rPr>
        <w:t xml:space="preserve">16.8 menor al precio promedio del 2022. Los precios del crudo fueron volátiles en el año previo, incluyendo el inicio del conflicto en el medio oriente. En los meses de septiembre y octubre se observaron los precios más altos debido a la incertidumbre alrededor de la evolución de la demanda mundial de crudo, entre otros factores. </w:t>
      </w:r>
      <w:r w:rsidR="00EB0A11">
        <w:rPr>
          <w:rFonts w:ascii="Times New Roman" w:eastAsia="Times New Roman" w:hAnsi="Times New Roman" w:cs="Times New Roman"/>
          <w:sz w:val="22"/>
          <w:szCs w:val="22"/>
        </w:rPr>
        <w:t>L</w:t>
      </w:r>
      <w:r w:rsidRPr="00C110F2">
        <w:rPr>
          <w:rFonts w:ascii="Times New Roman" w:eastAsia="Times New Roman" w:hAnsi="Times New Roman" w:cs="Times New Roman"/>
          <w:sz w:val="22"/>
          <w:szCs w:val="22"/>
        </w:rPr>
        <w:t xml:space="preserve">os recortes de la OPEP+ se profundizaron </w:t>
      </w:r>
      <w:r w:rsidR="00EB0A11">
        <w:rPr>
          <w:rFonts w:ascii="Times New Roman" w:eastAsia="Times New Roman" w:hAnsi="Times New Roman" w:cs="Times New Roman"/>
          <w:sz w:val="22"/>
          <w:szCs w:val="22"/>
        </w:rPr>
        <w:t>e</w:t>
      </w:r>
      <w:r w:rsidR="00EB0A11" w:rsidRPr="00C110F2">
        <w:rPr>
          <w:rFonts w:ascii="Times New Roman" w:eastAsia="Times New Roman" w:hAnsi="Times New Roman" w:cs="Times New Roman"/>
          <w:sz w:val="22"/>
          <w:szCs w:val="22"/>
        </w:rPr>
        <w:t xml:space="preserve">n noviembre </w:t>
      </w:r>
      <w:r w:rsidRPr="00C110F2">
        <w:rPr>
          <w:rFonts w:ascii="Times New Roman" w:eastAsia="Times New Roman" w:hAnsi="Times New Roman" w:cs="Times New Roman"/>
          <w:sz w:val="22"/>
          <w:szCs w:val="22"/>
        </w:rPr>
        <w:t>y compensaron la sólida producción de otros países, como Irán y Estados Unidos.</w:t>
      </w:r>
    </w:p>
    <w:p w14:paraId="615F850E" w14:textId="77777777" w:rsidR="00180F0C" w:rsidRPr="00C110F2" w:rsidRDefault="00180F0C" w:rsidP="00434680">
      <w:pPr>
        <w:pStyle w:val="Prrafodelista"/>
        <w:rPr>
          <w:rFonts w:ascii="Times New Roman" w:eastAsia="Times New Roman" w:hAnsi="Times New Roman" w:cs="Times New Roman"/>
        </w:rPr>
      </w:pPr>
    </w:p>
    <w:tbl>
      <w:tblPr>
        <w:tblStyle w:val="Tablaconcuadrcula9"/>
        <w:tblW w:w="4154" w:type="pct"/>
        <w:tblInd w:w="1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9"/>
        <w:gridCol w:w="3915"/>
      </w:tblGrid>
      <w:tr w:rsidR="007B0095" w:rsidRPr="00C110F2" w14:paraId="208702B6" w14:textId="77777777" w:rsidTr="00973C72">
        <w:trPr>
          <w:trHeight w:val="16"/>
        </w:trPr>
        <w:tc>
          <w:tcPr>
            <w:tcW w:w="2347" w:type="pct"/>
          </w:tcPr>
          <w:p w14:paraId="78297639" w14:textId="1E354F9D" w:rsidR="007B0095" w:rsidRPr="00434680" w:rsidRDefault="00434680" w:rsidP="00053BEC">
            <w:pPr>
              <w:pStyle w:val="Descripcin"/>
              <w:keepNext/>
              <w:spacing w:after="0"/>
              <w:jc w:val="center"/>
            </w:pPr>
            <w:bookmarkStart w:id="202" w:name="_Toc125733229"/>
            <w:bookmarkStart w:id="203" w:name="_Toc158103880"/>
            <w:r w:rsidRPr="00434680">
              <w:rPr>
                <w:sz w:val="22"/>
                <w:szCs w:val="22"/>
              </w:rPr>
              <w:lastRenderedPageBreak/>
              <w:t xml:space="preserve">Gráfico </w:t>
            </w:r>
            <w:r w:rsidRPr="00434680">
              <w:rPr>
                <w:sz w:val="22"/>
                <w:szCs w:val="22"/>
              </w:rPr>
              <w:fldChar w:fldCharType="begin"/>
            </w:r>
            <w:r w:rsidRPr="00434680">
              <w:rPr>
                <w:sz w:val="22"/>
                <w:szCs w:val="22"/>
              </w:rPr>
              <w:instrText xml:space="preserve"> SEQ Gráfico \* ARABIC </w:instrText>
            </w:r>
            <w:r w:rsidRPr="00434680">
              <w:rPr>
                <w:sz w:val="22"/>
                <w:szCs w:val="22"/>
              </w:rPr>
              <w:fldChar w:fldCharType="separate"/>
            </w:r>
            <w:r w:rsidR="00C015DC">
              <w:rPr>
                <w:noProof/>
                <w:sz w:val="22"/>
                <w:szCs w:val="22"/>
              </w:rPr>
              <w:t>35</w:t>
            </w:r>
            <w:r w:rsidRPr="00434680">
              <w:rPr>
                <w:sz w:val="22"/>
                <w:szCs w:val="22"/>
              </w:rPr>
              <w:fldChar w:fldCharType="end"/>
            </w:r>
            <w:r w:rsidRPr="00434680">
              <w:rPr>
                <w:sz w:val="22"/>
                <w:szCs w:val="22"/>
              </w:rPr>
              <w:t xml:space="preserve">.  </w:t>
            </w:r>
            <w:r w:rsidR="007B0095" w:rsidRPr="00434680">
              <w:rPr>
                <w:rFonts w:eastAsia="Times New Roman"/>
                <w:bCs/>
                <w:sz w:val="22"/>
                <w:szCs w:val="22"/>
              </w:rPr>
              <w:t>Precio spot del crudo WTI</w:t>
            </w:r>
            <w:bookmarkEnd w:id="202"/>
            <w:r w:rsidR="007B0095">
              <w:rPr>
                <w:rFonts w:eastAsia="Times New Roman"/>
                <w:bCs/>
                <w:sz w:val="22"/>
                <w:szCs w:val="22"/>
              </w:rPr>
              <w:t xml:space="preserve"> </w:t>
            </w:r>
            <w:r w:rsidR="007B0095" w:rsidRPr="002877FA">
              <w:rPr>
                <w:rFonts w:eastAsia="Times New Roman"/>
                <w:sz w:val="22"/>
                <w:szCs w:val="22"/>
              </w:rPr>
              <w:t>(US$ por barril)</w:t>
            </w:r>
            <w:bookmarkEnd w:id="203"/>
          </w:p>
        </w:tc>
        <w:tc>
          <w:tcPr>
            <w:tcW w:w="2653" w:type="pct"/>
            <w:vAlign w:val="center"/>
          </w:tcPr>
          <w:p w14:paraId="69A9574D" w14:textId="106E56E1" w:rsidR="007B0095" w:rsidRPr="00053BEC" w:rsidRDefault="00053BEC" w:rsidP="00053BEC">
            <w:pPr>
              <w:pStyle w:val="Descripcin"/>
              <w:keepNext/>
              <w:spacing w:after="0"/>
              <w:jc w:val="center"/>
            </w:pPr>
            <w:bookmarkStart w:id="204" w:name="_Toc125733230"/>
            <w:bookmarkStart w:id="205" w:name="_Toc158103881"/>
            <w:r w:rsidRPr="00053BEC">
              <w:rPr>
                <w:sz w:val="22"/>
                <w:szCs w:val="22"/>
              </w:rPr>
              <w:t xml:space="preserve">Gráfico </w:t>
            </w:r>
            <w:r w:rsidRPr="00053BEC">
              <w:rPr>
                <w:sz w:val="22"/>
                <w:szCs w:val="22"/>
              </w:rPr>
              <w:fldChar w:fldCharType="begin"/>
            </w:r>
            <w:r w:rsidRPr="00053BEC">
              <w:rPr>
                <w:sz w:val="22"/>
                <w:szCs w:val="22"/>
              </w:rPr>
              <w:instrText xml:space="preserve"> SEQ Gráfico \* ARABIC </w:instrText>
            </w:r>
            <w:r w:rsidRPr="00053BEC">
              <w:rPr>
                <w:sz w:val="22"/>
                <w:szCs w:val="22"/>
              </w:rPr>
              <w:fldChar w:fldCharType="separate"/>
            </w:r>
            <w:r w:rsidR="00C015DC">
              <w:rPr>
                <w:noProof/>
                <w:sz w:val="22"/>
                <w:szCs w:val="22"/>
              </w:rPr>
              <w:t>36</w:t>
            </w:r>
            <w:r w:rsidRPr="00053BEC">
              <w:rPr>
                <w:sz w:val="22"/>
                <w:szCs w:val="22"/>
              </w:rPr>
              <w:fldChar w:fldCharType="end"/>
            </w:r>
            <w:r w:rsidRPr="00053BEC">
              <w:rPr>
                <w:sz w:val="22"/>
                <w:szCs w:val="22"/>
              </w:rPr>
              <w:t xml:space="preserve">.  </w:t>
            </w:r>
            <w:r w:rsidR="007B0095" w:rsidRPr="00053BEC">
              <w:rPr>
                <w:rFonts w:eastAsia="Times New Roman"/>
                <w:bCs/>
                <w:color w:val="000000"/>
                <w:sz w:val="22"/>
                <w:szCs w:val="22"/>
              </w:rPr>
              <w:t xml:space="preserve">Precio de futuros de maíz y </w:t>
            </w:r>
            <w:r w:rsidR="007B0095" w:rsidRPr="00C110F2">
              <w:rPr>
                <w:rFonts w:eastAsia="Times New Roman"/>
                <w:bCs/>
                <w:color w:val="000000"/>
                <w:sz w:val="22"/>
                <w:szCs w:val="22"/>
              </w:rPr>
              <w:t>trigo</w:t>
            </w:r>
            <w:bookmarkEnd w:id="204"/>
            <w:bookmarkEnd w:id="205"/>
          </w:p>
        </w:tc>
      </w:tr>
      <w:tr w:rsidR="007B0095" w:rsidRPr="00C110F2" w14:paraId="60D30048" w14:textId="77777777" w:rsidTr="00973C72">
        <w:tblPrEx>
          <w:tblCellMar>
            <w:left w:w="70" w:type="dxa"/>
            <w:right w:w="70" w:type="dxa"/>
          </w:tblCellMar>
        </w:tblPrEx>
        <w:trPr>
          <w:trHeight w:val="1729"/>
        </w:trPr>
        <w:tc>
          <w:tcPr>
            <w:tcW w:w="2347" w:type="pct"/>
            <w:vAlign w:val="center"/>
          </w:tcPr>
          <w:p w14:paraId="767FBC82" w14:textId="77777777" w:rsidR="007B0095" w:rsidRPr="00C110F2" w:rsidRDefault="007B0095" w:rsidP="00973C72">
            <w:pPr>
              <w:spacing w:line="276" w:lineRule="auto"/>
              <w:ind w:right="49"/>
              <w:contextualSpacing/>
              <w:jc w:val="center"/>
              <w:rPr>
                <w:rFonts w:ascii="Times New Roman" w:eastAsia="Times New Roman" w:hAnsi="Times New Roman"/>
                <w:lang w:val="es-MX" w:eastAsia="es-ES"/>
              </w:rPr>
            </w:pPr>
            <w:r w:rsidRPr="00C110F2">
              <w:rPr>
                <w:rFonts w:ascii="Times New Roman" w:eastAsia="Times New Roman" w:hAnsi="Times New Roman"/>
                <w:noProof/>
                <w:lang w:eastAsia="es-ES"/>
              </w:rPr>
              <w:drawing>
                <wp:inline distT="0" distB="0" distL="0" distR="0" wp14:anchorId="5D3F753A" wp14:editId="7A815C78">
                  <wp:extent cx="2417196" cy="1772920"/>
                  <wp:effectExtent l="0" t="0" r="254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c>
          <w:tcPr>
            <w:tcW w:w="2653" w:type="pct"/>
            <w:vAlign w:val="center"/>
          </w:tcPr>
          <w:p w14:paraId="1D6FB081" w14:textId="77777777" w:rsidR="007B0095" w:rsidRPr="00C110F2" w:rsidRDefault="007B0095" w:rsidP="00973C72">
            <w:pPr>
              <w:spacing w:line="276" w:lineRule="auto"/>
              <w:ind w:right="49"/>
              <w:contextualSpacing/>
              <w:jc w:val="center"/>
              <w:rPr>
                <w:rFonts w:ascii="Times New Roman" w:eastAsia="Times New Roman" w:hAnsi="Times New Roman"/>
                <w:lang w:val="es-MX" w:eastAsia="es-ES"/>
              </w:rPr>
            </w:pPr>
            <w:r w:rsidRPr="00C110F2">
              <w:rPr>
                <w:noProof/>
              </w:rPr>
              <w:drawing>
                <wp:inline distT="0" distB="0" distL="0" distR="0" wp14:anchorId="004274DB" wp14:editId="7F264711">
                  <wp:extent cx="2472856" cy="1741170"/>
                  <wp:effectExtent l="0" t="0" r="3810" b="0"/>
                  <wp:docPr id="26" name="Gráfico 26">
                    <a:extLst xmlns:a="http://schemas.openxmlformats.org/drawingml/2006/main">
                      <a:ext uri="{FF2B5EF4-FFF2-40B4-BE49-F238E27FC236}">
                        <a16:creationId xmlns:a16="http://schemas.microsoft.com/office/drawing/2014/main" id="{9E1C4A3D-51C0-4A4A-A9F3-2D31977D1E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r w:rsidR="007B0095" w:rsidRPr="00C110F2" w14:paraId="41E29C98" w14:textId="77777777" w:rsidTr="00973C72">
        <w:trPr>
          <w:trHeight w:val="104"/>
        </w:trPr>
        <w:tc>
          <w:tcPr>
            <w:tcW w:w="5000" w:type="pct"/>
            <w:gridSpan w:val="2"/>
            <w:vAlign w:val="center"/>
          </w:tcPr>
          <w:p w14:paraId="19BEA592" w14:textId="77777777" w:rsidR="007B0095" w:rsidRPr="00C110F2" w:rsidRDefault="007B0095" w:rsidP="00973C72">
            <w:pPr>
              <w:spacing w:line="276" w:lineRule="auto"/>
              <w:ind w:right="49"/>
              <w:contextualSpacing/>
              <w:rPr>
                <w:rFonts w:ascii="Times New Roman" w:eastAsia="Times New Roman" w:hAnsi="Times New Roman"/>
                <w:sz w:val="18"/>
                <w:szCs w:val="18"/>
                <w:lang w:val="es-MX" w:eastAsia="es-ES"/>
              </w:rPr>
            </w:pPr>
            <w:r w:rsidRPr="00C110F2">
              <w:rPr>
                <w:rFonts w:ascii="Times New Roman" w:eastAsia="Times New Roman" w:hAnsi="Times New Roman"/>
                <w:sz w:val="18"/>
                <w:szCs w:val="18"/>
                <w:lang w:val="es-ES_tradnl" w:eastAsia="es-ES"/>
              </w:rPr>
              <w:t xml:space="preserve">Fuente: Administración de Información de Energía de EE.UU. e </w:t>
            </w:r>
            <w:proofErr w:type="spellStart"/>
            <w:r w:rsidRPr="00C110F2">
              <w:rPr>
                <w:rFonts w:ascii="Times New Roman" w:eastAsia="Times New Roman" w:hAnsi="Times New Roman"/>
                <w:sz w:val="18"/>
                <w:szCs w:val="18"/>
                <w:lang w:val="es-ES_tradnl" w:eastAsia="es-ES"/>
              </w:rPr>
              <w:t>Investing</w:t>
            </w:r>
            <w:proofErr w:type="spellEnd"/>
          </w:p>
        </w:tc>
      </w:tr>
    </w:tbl>
    <w:p w14:paraId="2D9E42CB" w14:textId="77777777" w:rsidR="007B0095" w:rsidRPr="00C110F2" w:rsidRDefault="007B0095" w:rsidP="007B0095">
      <w:pPr>
        <w:spacing w:line="276" w:lineRule="auto"/>
        <w:ind w:left="1080"/>
        <w:contextualSpacing/>
        <w:jc w:val="both"/>
        <w:rPr>
          <w:rFonts w:ascii="Times New Roman" w:eastAsia="Times New Roman" w:hAnsi="Times New Roman" w:cs="Times New Roman"/>
          <w:sz w:val="22"/>
          <w:szCs w:val="22"/>
        </w:rPr>
      </w:pPr>
    </w:p>
    <w:p w14:paraId="2B753BD7" w14:textId="77777777" w:rsidR="007B0095" w:rsidRPr="00C110F2" w:rsidRDefault="007B0095" w:rsidP="00053BEC">
      <w:pPr>
        <w:contextualSpacing/>
        <w:rPr>
          <w:rFonts w:ascii="Times New Roman" w:eastAsia="Times New Roman" w:hAnsi="Times New Roman" w:cs="Times New Roman"/>
          <w:sz w:val="22"/>
          <w:szCs w:val="22"/>
        </w:rPr>
      </w:pPr>
    </w:p>
    <w:p w14:paraId="4B8575A1" w14:textId="7112EFFD" w:rsidR="007B0095" w:rsidRPr="00C110F2" w:rsidRDefault="007B0095" w:rsidP="002C0B5C">
      <w:pPr>
        <w:numPr>
          <w:ilvl w:val="0"/>
          <w:numId w:val="12"/>
        </w:numPr>
        <w:ind w:left="709" w:hanging="283"/>
        <w:contextualSpacing/>
        <w:jc w:val="both"/>
        <w:rPr>
          <w:rFonts w:ascii="Times New Roman" w:eastAsia="Times New Roman" w:hAnsi="Times New Roman" w:cs="Times New Roman"/>
          <w:sz w:val="22"/>
          <w:szCs w:val="22"/>
        </w:rPr>
      </w:pPr>
      <w:r w:rsidRPr="00C110F2">
        <w:rPr>
          <w:rFonts w:ascii="Times New Roman" w:eastAsia="Times New Roman" w:hAnsi="Times New Roman" w:cs="Times New Roman"/>
          <w:sz w:val="22"/>
          <w:szCs w:val="22"/>
        </w:rPr>
        <w:t>Los precios de las materias prima</w:t>
      </w:r>
      <w:r>
        <w:rPr>
          <w:rFonts w:ascii="Times New Roman" w:eastAsia="Times New Roman" w:hAnsi="Times New Roman" w:cs="Times New Roman"/>
          <w:sz w:val="22"/>
          <w:szCs w:val="22"/>
        </w:rPr>
        <w:t>s</w:t>
      </w:r>
      <w:r w:rsidRPr="00C110F2">
        <w:rPr>
          <w:rFonts w:ascii="Times New Roman" w:eastAsia="Times New Roman" w:hAnsi="Times New Roman" w:cs="Times New Roman"/>
          <w:sz w:val="22"/>
          <w:szCs w:val="22"/>
        </w:rPr>
        <w:t xml:space="preserve"> de agricultura disminuyeron 7.2% en promedio el 2023, esto principalmente por robustas cosechas de cereales, compensando las perturbaciones relacionadas con el clima y los conflictos geopolíticos. No obstante, el fenómeno del Niño caus</w:t>
      </w:r>
      <w:r>
        <w:rPr>
          <w:rFonts w:ascii="Times New Roman" w:eastAsia="Times New Roman" w:hAnsi="Times New Roman" w:cs="Times New Roman"/>
          <w:sz w:val="22"/>
          <w:szCs w:val="22"/>
        </w:rPr>
        <w:t>ó</w:t>
      </w:r>
      <w:r w:rsidRPr="00C110F2">
        <w:rPr>
          <w:rFonts w:ascii="Times New Roman" w:eastAsia="Times New Roman" w:hAnsi="Times New Roman" w:cs="Times New Roman"/>
          <w:sz w:val="22"/>
          <w:szCs w:val="22"/>
        </w:rPr>
        <w:t xml:space="preserve"> el aumento de algunos productos básicos en regiones susceptibles a los efectos del clima, por lo que los precios del arroz y cacao tuvieron alzas en dicho año. Por su parte</w:t>
      </w:r>
      <w:r>
        <w:rPr>
          <w:rFonts w:ascii="Times New Roman" w:eastAsia="Times New Roman" w:hAnsi="Times New Roman" w:cs="Times New Roman"/>
          <w:sz w:val="22"/>
          <w:szCs w:val="22"/>
        </w:rPr>
        <w:t>,</w:t>
      </w:r>
      <w:r w:rsidRPr="00C110F2">
        <w:rPr>
          <w:rFonts w:ascii="Times New Roman" w:eastAsia="Times New Roman" w:hAnsi="Times New Roman" w:cs="Times New Roman"/>
          <w:sz w:val="22"/>
          <w:szCs w:val="22"/>
        </w:rPr>
        <w:t xml:space="preserve"> los precios de los metales y minerales disminuyeron 9.6% en promedio e</w:t>
      </w:r>
      <w:r w:rsidR="00EB0A11">
        <w:rPr>
          <w:rFonts w:ascii="Times New Roman" w:eastAsia="Times New Roman" w:hAnsi="Times New Roman" w:cs="Times New Roman"/>
          <w:sz w:val="22"/>
          <w:szCs w:val="22"/>
        </w:rPr>
        <w:t>n</w:t>
      </w:r>
      <w:r w:rsidRPr="00C110F2">
        <w:rPr>
          <w:rFonts w:ascii="Times New Roman" w:eastAsia="Times New Roman" w:hAnsi="Times New Roman" w:cs="Times New Roman"/>
          <w:sz w:val="22"/>
          <w:szCs w:val="22"/>
        </w:rPr>
        <w:t xml:space="preserve"> 2023, esto debido a la reducción de la producción industrial en las economías avanzadas y una alta oferta, principalmente de cobre, níquel y zinc. Además, la demanda de metales básicos y hierro se debilit</w:t>
      </w:r>
      <w:r>
        <w:rPr>
          <w:rFonts w:ascii="Times New Roman" w:eastAsia="Times New Roman" w:hAnsi="Times New Roman" w:cs="Times New Roman"/>
          <w:sz w:val="22"/>
          <w:szCs w:val="22"/>
        </w:rPr>
        <w:t>ó</w:t>
      </w:r>
      <w:r w:rsidRPr="00C110F2">
        <w:rPr>
          <w:rFonts w:ascii="Times New Roman" w:eastAsia="Times New Roman" w:hAnsi="Times New Roman" w:cs="Times New Roman"/>
          <w:sz w:val="22"/>
          <w:szCs w:val="22"/>
        </w:rPr>
        <w:t xml:space="preserve"> por la ralentización del mercado inmobiliario de China. </w:t>
      </w:r>
    </w:p>
    <w:p w14:paraId="59FE891D" w14:textId="77777777" w:rsidR="007B0095" w:rsidRPr="00C110F2" w:rsidRDefault="007B0095" w:rsidP="00053BEC">
      <w:pPr>
        <w:ind w:left="360"/>
        <w:rPr>
          <w:rFonts w:ascii="Times New Roman" w:eastAsiaTheme="majorEastAsia" w:hAnsi="Times New Roman" w:cs="Times New Roman"/>
          <w:b/>
          <w:bCs/>
        </w:rPr>
      </w:pPr>
      <w:bookmarkStart w:id="206" w:name="_Toc93398037"/>
      <w:bookmarkStart w:id="207" w:name="_Toc94259661"/>
    </w:p>
    <w:p w14:paraId="14DEFF65" w14:textId="77777777" w:rsidR="007B0095" w:rsidRPr="00F22DD8" w:rsidRDefault="007B0095" w:rsidP="00053BEC">
      <w:pPr>
        <w:pStyle w:val="Prrafodelista"/>
        <w:keepNext/>
        <w:keepLines/>
        <w:numPr>
          <w:ilvl w:val="3"/>
          <w:numId w:val="28"/>
        </w:numPr>
        <w:tabs>
          <w:tab w:val="left" w:pos="1134"/>
        </w:tabs>
        <w:spacing w:line="276" w:lineRule="auto"/>
        <w:ind w:left="1418"/>
        <w:jc w:val="both"/>
        <w:outlineLvl w:val="2"/>
        <w:rPr>
          <w:rFonts w:ascii="Times New Roman" w:eastAsiaTheme="majorEastAsia" w:hAnsi="Times New Roman" w:cs="Times New Roman"/>
          <w:b/>
          <w:bCs/>
          <w:sz w:val="24"/>
          <w:szCs w:val="24"/>
        </w:rPr>
      </w:pPr>
      <w:bookmarkStart w:id="208" w:name="_Toc160196871"/>
      <w:r w:rsidRPr="00F22DD8">
        <w:rPr>
          <w:rFonts w:ascii="Times New Roman" w:eastAsiaTheme="majorEastAsia" w:hAnsi="Times New Roman" w:cs="Times New Roman"/>
          <w:b/>
          <w:bCs/>
          <w:sz w:val="24"/>
          <w:szCs w:val="24"/>
        </w:rPr>
        <w:t>Desempeño económico de los principales socios comerciales</w:t>
      </w:r>
      <w:bookmarkEnd w:id="206"/>
      <w:bookmarkEnd w:id="207"/>
      <w:bookmarkEnd w:id="208"/>
    </w:p>
    <w:p w14:paraId="49F881B5" w14:textId="77777777" w:rsidR="007B0095" w:rsidRPr="00C110F2" w:rsidRDefault="007B0095" w:rsidP="00053BEC">
      <w:pPr>
        <w:pStyle w:val="Prrafodelista"/>
        <w:rPr>
          <w:rFonts w:ascii="Times New Roman" w:eastAsia="Times New Roman" w:hAnsi="Times New Roman" w:cs="Times New Roman"/>
          <w:b/>
          <w:bCs/>
        </w:rPr>
      </w:pPr>
    </w:p>
    <w:p w14:paraId="5D94E98C" w14:textId="1AE59B11" w:rsidR="007B0095" w:rsidRPr="00C110F2" w:rsidRDefault="007B0095" w:rsidP="002C0B5C">
      <w:pPr>
        <w:numPr>
          <w:ilvl w:val="0"/>
          <w:numId w:val="12"/>
        </w:numPr>
        <w:ind w:left="709" w:hanging="283"/>
        <w:contextualSpacing/>
        <w:jc w:val="both"/>
        <w:rPr>
          <w:rFonts w:ascii="Times New Roman" w:eastAsia="Times New Roman" w:hAnsi="Times New Roman" w:cs="Times New Roman"/>
          <w:sz w:val="22"/>
          <w:szCs w:val="22"/>
        </w:rPr>
      </w:pPr>
      <w:r w:rsidRPr="00C110F2">
        <w:rPr>
          <w:rFonts w:ascii="Times New Roman" w:eastAsia="Times New Roman" w:hAnsi="Times New Roman" w:cs="Times New Roman"/>
          <w:sz w:val="22"/>
          <w:szCs w:val="22"/>
        </w:rPr>
        <w:t>La economía de Estados Unidos proyecta crecimiento en 2023 de 2.1%, al igual que en el año 2022. De acuerdo al FMI el crecimiento en 2023 se revisó al alza en 0.3 puntos porcentuales desde julio, como reflejo por el dinamismo en la inversión observada en los últimos trimestres y la resiliencia del consumo ante el aumento de las tasas de interés y condiciones crediticias menos favorables. El gasto en consumo se mantuvo s</w:t>
      </w:r>
      <w:r w:rsidR="009A546A">
        <w:rPr>
          <w:rFonts w:ascii="Times New Roman" w:eastAsia="Times New Roman" w:hAnsi="Times New Roman" w:cs="Times New Roman"/>
          <w:sz w:val="22"/>
          <w:szCs w:val="22"/>
        </w:rPr>
        <w:t>ó</w:t>
      </w:r>
      <w:r w:rsidRPr="00C110F2">
        <w:rPr>
          <w:rFonts w:ascii="Times New Roman" w:eastAsia="Times New Roman" w:hAnsi="Times New Roman" w:cs="Times New Roman"/>
          <w:sz w:val="22"/>
          <w:szCs w:val="22"/>
        </w:rPr>
        <w:t xml:space="preserve">lido por los ahorros acumulados, las rigideces del mercado laboral y por </w:t>
      </w:r>
      <w:r w:rsidR="009A546A">
        <w:rPr>
          <w:rFonts w:ascii="Times New Roman" w:eastAsia="Times New Roman" w:hAnsi="Times New Roman" w:cs="Times New Roman"/>
          <w:sz w:val="22"/>
          <w:szCs w:val="22"/>
        </w:rPr>
        <w:t xml:space="preserve">la </w:t>
      </w:r>
      <w:r w:rsidRPr="00C110F2">
        <w:rPr>
          <w:rFonts w:ascii="Times New Roman" w:eastAsia="Times New Roman" w:hAnsi="Times New Roman" w:cs="Times New Roman"/>
          <w:sz w:val="22"/>
          <w:szCs w:val="22"/>
        </w:rPr>
        <w:t>política fiscal expansiva.</w:t>
      </w:r>
    </w:p>
    <w:p w14:paraId="34D0962C" w14:textId="77777777" w:rsidR="007B0095" w:rsidRPr="00C110F2" w:rsidRDefault="007B0095" w:rsidP="002C0B5C">
      <w:pPr>
        <w:ind w:left="709" w:hanging="283"/>
        <w:contextualSpacing/>
        <w:jc w:val="both"/>
        <w:rPr>
          <w:rFonts w:ascii="Times New Roman" w:eastAsia="Times New Roman" w:hAnsi="Times New Roman" w:cs="Times New Roman"/>
          <w:sz w:val="22"/>
          <w:szCs w:val="22"/>
        </w:rPr>
      </w:pPr>
    </w:p>
    <w:p w14:paraId="411DE88E" w14:textId="757AA2E1" w:rsidR="007B0095" w:rsidRPr="00C110F2" w:rsidRDefault="007B0095" w:rsidP="002C0B5C">
      <w:pPr>
        <w:numPr>
          <w:ilvl w:val="0"/>
          <w:numId w:val="12"/>
        </w:numPr>
        <w:ind w:left="709" w:hanging="283"/>
        <w:contextualSpacing/>
        <w:jc w:val="both"/>
        <w:rPr>
          <w:rFonts w:ascii="Times New Roman" w:eastAsia="Times New Roman" w:hAnsi="Times New Roman" w:cs="Times New Roman"/>
          <w:sz w:val="22"/>
          <w:szCs w:val="22"/>
        </w:rPr>
      </w:pPr>
      <w:r w:rsidRPr="00C110F2">
        <w:rPr>
          <w:rFonts w:ascii="Times New Roman" w:eastAsia="Times New Roman" w:hAnsi="Times New Roman" w:cs="Times New Roman"/>
          <w:sz w:val="22"/>
          <w:szCs w:val="22"/>
        </w:rPr>
        <w:t xml:space="preserve">En la Zona del </w:t>
      </w:r>
      <w:proofErr w:type="gramStart"/>
      <w:r w:rsidRPr="00C110F2">
        <w:rPr>
          <w:rFonts w:ascii="Times New Roman" w:eastAsia="Times New Roman" w:hAnsi="Times New Roman" w:cs="Times New Roman"/>
          <w:sz w:val="22"/>
          <w:szCs w:val="22"/>
        </w:rPr>
        <w:t>Euro</w:t>
      </w:r>
      <w:proofErr w:type="gramEnd"/>
      <w:r w:rsidRPr="00C110F2">
        <w:rPr>
          <w:rFonts w:ascii="Times New Roman" w:eastAsia="Times New Roman" w:hAnsi="Times New Roman" w:cs="Times New Roman"/>
          <w:sz w:val="22"/>
          <w:szCs w:val="22"/>
        </w:rPr>
        <w:t xml:space="preserve"> el crecimiento se desaceleró bruscamente, pasando de un crecimiento de 3.3% en 2022 a 0.7% en 2023, ya que los altos precios de energía por el conflicto entre Rusia y Ucrania pesaron sobre el gasto de los hogares y las actividades de la firmas, particularmente en el sector manufacturero. Asimismo, se tuvo una desaceleración a finales del 2023, debido a que el debilitamiento de la economía se extendió al sector de servicios, parcialmente atribuido a la disminución de las exportaciones y la p</w:t>
      </w:r>
      <w:r w:rsidR="009A546A">
        <w:rPr>
          <w:rFonts w:ascii="Times New Roman" w:eastAsia="Times New Roman" w:hAnsi="Times New Roman" w:cs="Times New Roman"/>
          <w:sz w:val="22"/>
          <w:szCs w:val="22"/>
        </w:rPr>
        <w:t>é</w:t>
      </w:r>
      <w:r w:rsidRPr="00C110F2">
        <w:rPr>
          <w:rFonts w:ascii="Times New Roman" w:eastAsia="Times New Roman" w:hAnsi="Times New Roman" w:cs="Times New Roman"/>
          <w:sz w:val="22"/>
          <w:szCs w:val="22"/>
        </w:rPr>
        <w:t>rdida en la competitividad.</w:t>
      </w:r>
    </w:p>
    <w:p w14:paraId="336F6FDF" w14:textId="77777777" w:rsidR="007B0095" w:rsidRPr="00C110F2" w:rsidRDefault="007B0095" w:rsidP="002C0B5C">
      <w:pPr>
        <w:ind w:left="709" w:hanging="283"/>
        <w:contextualSpacing/>
        <w:jc w:val="both"/>
        <w:rPr>
          <w:rFonts w:ascii="Times New Roman" w:eastAsia="Times New Roman" w:hAnsi="Times New Roman" w:cs="Times New Roman"/>
          <w:sz w:val="22"/>
          <w:szCs w:val="22"/>
        </w:rPr>
      </w:pPr>
    </w:p>
    <w:p w14:paraId="55238126" w14:textId="26CDFB8A" w:rsidR="007B0095" w:rsidRPr="00C110F2" w:rsidRDefault="007B0095" w:rsidP="002C0B5C">
      <w:pPr>
        <w:numPr>
          <w:ilvl w:val="0"/>
          <w:numId w:val="12"/>
        </w:numPr>
        <w:ind w:left="709" w:hanging="283"/>
        <w:contextualSpacing/>
        <w:jc w:val="both"/>
        <w:rPr>
          <w:rFonts w:ascii="Times New Roman" w:eastAsia="Times New Roman" w:hAnsi="Times New Roman" w:cs="Times New Roman"/>
          <w:sz w:val="22"/>
          <w:szCs w:val="22"/>
        </w:rPr>
      </w:pPr>
      <w:r w:rsidRPr="00C110F2">
        <w:rPr>
          <w:rFonts w:ascii="Times New Roman" w:eastAsia="Times New Roman" w:hAnsi="Times New Roman" w:cs="Times New Roman"/>
          <w:sz w:val="22"/>
          <w:szCs w:val="22"/>
        </w:rPr>
        <w:t>De acuerdo con el FMI, la región de América Latina y el Caribe</w:t>
      </w:r>
      <w:r w:rsidR="001F10FC">
        <w:rPr>
          <w:rFonts w:ascii="Times New Roman" w:eastAsia="Times New Roman" w:hAnsi="Times New Roman" w:cs="Times New Roman"/>
          <w:sz w:val="22"/>
          <w:szCs w:val="22"/>
        </w:rPr>
        <w:t xml:space="preserve"> podrá cerrar</w:t>
      </w:r>
      <w:r w:rsidR="001F10FC" w:rsidRPr="00C110F2">
        <w:rPr>
          <w:rFonts w:ascii="Times New Roman" w:eastAsia="Times New Roman" w:hAnsi="Times New Roman" w:cs="Times New Roman"/>
          <w:sz w:val="22"/>
          <w:szCs w:val="22"/>
        </w:rPr>
        <w:t xml:space="preserve"> </w:t>
      </w:r>
      <w:r w:rsidRPr="00C110F2">
        <w:rPr>
          <w:rFonts w:ascii="Times New Roman" w:eastAsia="Times New Roman" w:hAnsi="Times New Roman" w:cs="Times New Roman"/>
          <w:sz w:val="22"/>
          <w:szCs w:val="22"/>
        </w:rPr>
        <w:t>con crecimiento de 2.4% en 202</w:t>
      </w:r>
      <w:r w:rsidR="00DB315C">
        <w:rPr>
          <w:rFonts w:ascii="Times New Roman" w:eastAsia="Times New Roman" w:hAnsi="Times New Roman" w:cs="Times New Roman"/>
          <w:sz w:val="22"/>
          <w:szCs w:val="22"/>
        </w:rPr>
        <w:t>3</w:t>
      </w:r>
      <w:r w:rsidRPr="00C110F2">
        <w:rPr>
          <w:rFonts w:ascii="Times New Roman" w:eastAsia="Times New Roman" w:hAnsi="Times New Roman" w:cs="Times New Roman"/>
          <w:sz w:val="22"/>
          <w:szCs w:val="22"/>
        </w:rPr>
        <w:t>, menor en 1.8 puntos porcentuales al del 2022, como reflejo a la normalización del crecimiento y políticas restrictivas, tanto monetarias como fiscales, además de un débil comercio exterior y la disminución de los precios de las materias prima. Por su parte</w:t>
      </w:r>
      <w:r w:rsidR="00CC0BC5">
        <w:rPr>
          <w:rFonts w:ascii="Times New Roman" w:eastAsia="Times New Roman" w:hAnsi="Times New Roman" w:cs="Times New Roman"/>
          <w:sz w:val="22"/>
          <w:szCs w:val="22"/>
        </w:rPr>
        <w:t>,</w:t>
      </w:r>
      <w:r w:rsidRPr="00C110F2">
        <w:rPr>
          <w:rFonts w:ascii="Times New Roman" w:eastAsia="Times New Roman" w:hAnsi="Times New Roman" w:cs="Times New Roman"/>
          <w:sz w:val="22"/>
          <w:szCs w:val="22"/>
        </w:rPr>
        <w:t xml:space="preserve"> México tuvo una revisión de mejora para el cierre de 2023 de 0.6 puntos porcentuales, con respecto a la perspectiva de julio, situando su crecimiento en 3.2%, debido al rezago en la recuperación de la pandemia, una mejora en los sectores de servicios y construcción, y a la demanda de Estados Unidos.</w:t>
      </w:r>
    </w:p>
    <w:p w14:paraId="4E1E5F0D" w14:textId="77777777" w:rsidR="007B0095" w:rsidRPr="00C110F2" w:rsidRDefault="007B0095" w:rsidP="002C0B5C">
      <w:pPr>
        <w:pStyle w:val="Prrafodelista"/>
        <w:ind w:left="709" w:hanging="283"/>
        <w:rPr>
          <w:rFonts w:ascii="Times New Roman" w:eastAsia="Times New Roman" w:hAnsi="Times New Roman" w:cs="Times New Roman"/>
        </w:rPr>
      </w:pPr>
    </w:p>
    <w:p w14:paraId="7E31642A" w14:textId="18AFDEEB" w:rsidR="007B0095" w:rsidRPr="00C110F2" w:rsidRDefault="00CC0BC5" w:rsidP="002C0B5C">
      <w:pPr>
        <w:numPr>
          <w:ilvl w:val="0"/>
          <w:numId w:val="12"/>
        </w:numPr>
        <w:ind w:left="709" w:hanging="283"/>
        <w:contextualSpacing/>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E</w:t>
      </w:r>
      <w:r w:rsidR="007B0095" w:rsidRPr="00C110F2">
        <w:rPr>
          <w:rFonts w:ascii="Times New Roman" w:eastAsia="Times New Roman" w:hAnsi="Times New Roman" w:cs="Times New Roman"/>
          <w:sz w:val="22"/>
          <w:szCs w:val="22"/>
        </w:rPr>
        <w:t xml:space="preserve">l Banco Mundial prevé </w:t>
      </w:r>
      <w:r>
        <w:rPr>
          <w:rFonts w:ascii="Times New Roman" w:eastAsia="Times New Roman" w:hAnsi="Times New Roman" w:cs="Times New Roman"/>
          <w:sz w:val="22"/>
          <w:szCs w:val="22"/>
        </w:rPr>
        <w:t>l</w:t>
      </w:r>
      <w:r w:rsidRPr="00C110F2">
        <w:rPr>
          <w:rFonts w:ascii="Times New Roman" w:eastAsia="Times New Roman" w:hAnsi="Times New Roman" w:cs="Times New Roman"/>
          <w:sz w:val="22"/>
          <w:szCs w:val="22"/>
        </w:rPr>
        <w:t xml:space="preserve">a </w:t>
      </w:r>
      <w:r w:rsidR="007B0095" w:rsidRPr="00C110F2">
        <w:rPr>
          <w:rFonts w:ascii="Times New Roman" w:eastAsia="Times New Roman" w:hAnsi="Times New Roman" w:cs="Times New Roman"/>
          <w:sz w:val="22"/>
          <w:szCs w:val="22"/>
        </w:rPr>
        <w:t xml:space="preserve">tasa de crecimiento de cierre de 4.1% </w:t>
      </w:r>
      <w:r>
        <w:rPr>
          <w:rFonts w:ascii="Times New Roman" w:eastAsia="Times New Roman" w:hAnsi="Times New Roman" w:cs="Times New Roman"/>
          <w:sz w:val="22"/>
          <w:szCs w:val="22"/>
        </w:rPr>
        <w:t>p</w:t>
      </w:r>
      <w:r w:rsidRPr="00C110F2">
        <w:rPr>
          <w:rFonts w:ascii="Times New Roman" w:eastAsia="Times New Roman" w:hAnsi="Times New Roman" w:cs="Times New Roman"/>
          <w:sz w:val="22"/>
          <w:szCs w:val="22"/>
        </w:rPr>
        <w:t xml:space="preserve">ara Centroamérica </w:t>
      </w:r>
      <w:r>
        <w:rPr>
          <w:rFonts w:ascii="Times New Roman" w:eastAsia="Times New Roman" w:hAnsi="Times New Roman" w:cs="Times New Roman"/>
          <w:sz w:val="22"/>
          <w:szCs w:val="22"/>
        </w:rPr>
        <w:t xml:space="preserve">en </w:t>
      </w:r>
      <w:r w:rsidR="007B0095" w:rsidRPr="00C110F2">
        <w:rPr>
          <w:rFonts w:ascii="Times New Roman" w:eastAsia="Times New Roman" w:hAnsi="Times New Roman" w:cs="Times New Roman"/>
          <w:sz w:val="22"/>
          <w:szCs w:val="22"/>
        </w:rPr>
        <w:t>202</w:t>
      </w:r>
      <w:r w:rsidR="00DB315C">
        <w:rPr>
          <w:rFonts w:ascii="Times New Roman" w:eastAsia="Times New Roman" w:hAnsi="Times New Roman" w:cs="Times New Roman"/>
          <w:sz w:val="22"/>
          <w:szCs w:val="22"/>
        </w:rPr>
        <w:t>3</w:t>
      </w:r>
      <w:r w:rsidR="007B0095" w:rsidRPr="00C110F2">
        <w:rPr>
          <w:rFonts w:ascii="Times New Roman" w:eastAsia="Times New Roman" w:hAnsi="Times New Roman" w:cs="Times New Roman"/>
          <w:sz w:val="22"/>
          <w:szCs w:val="22"/>
        </w:rPr>
        <w:t>, después de</w:t>
      </w:r>
      <w:r>
        <w:rPr>
          <w:rFonts w:ascii="Times New Roman" w:eastAsia="Times New Roman" w:hAnsi="Times New Roman" w:cs="Times New Roman"/>
          <w:sz w:val="22"/>
          <w:szCs w:val="22"/>
        </w:rPr>
        <w:t>l</w:t>
      </w:r>
      <w:r w:rsidR="007B0095" w:rsidRPr="00C110F2">
        <w:rPr>
          <w:rFonts w:ascii="Times New Roman" w:eastAsia="Times New Roman" w:hAnsi="Times New Roman" w:cs="Times New Roman"/>
          <w:sz w:val="22"/>
          <w:szCs w:val="22"/>
        </w:rPr>
        <w:t xml:space="preserve"> crecimiento de 5.2% en el 2022. La desaceleración es menor a la observada en América del Sur. En general se observa que fue una de las únicas regiones </w:t>
      </w:r>
      <w:r>
        <w:rPr>
          <w:rFonts w:ascii="Times New Roman" w:eastAsia="Times New Roman" w:hAnsi="Times New Roman" w:cs="Times New Roman"/>
          <w:sz w:val="22"/>
          <w:szCs w:val="22"/>
        </w:rPr>
        <w:t>donde</w:t>
      </w:r>
      <w:r w:rsidRPr="00C110F2">
        <w:rPr>
          <w:rFonts w:ascii="Times New Roman" w:eastAsia="Times New Roman" w:hAnsi="Times New Roman" w:cs="Times New Roman"/>
          <w:sz w:val="22"/>
          <w:szCs w:val="22"/>
        </w:rPr>
        <w:t xml:space="preserve"> </w:t>
      </w:r>
      <w:r w:rsidR="007B0095" w:rsidRPr="00C110F2">
        <w:rPr>
          <w:rFonts w:ascii="Times New Roman" w:eastAsia="Times New Roman" w:hAnsi="Times New Roman" w:cs="Times New Roman"/>
          <w:sz w:val="22"/>
          <w:szCs w:val="22"/>
        </w:rPr>
        <w:t>el turismo super</w:t>
      </w:r>
      <w:r>
        <w:rPr>
          <w:rFonts w:ascii="Times New Roman" w:eastAsia="Times New Roman" w:hAnsi="Times New Roman" w:cs="Times New Roman"/>
          <w:sz w:val="22"/>
          <w:szCs w:val="22"/>
        </w:rPr>
        <w:t>ó</w:t>
      </w:r>
      <w:r w:rsidR="007B0095" w:rsidRPr="00C110F2">
        <w:rPr>
          <w:rFonts w:ascii="Times New Roman" w:eastAsia="Times New Roman" w:hAnsi="Times New Roman" w:cs="Times New Roman"/>
          <w:sz w:val="22"/>
          <w:szCs w:val="22"/>
        </w:rPr>
        <w:t xml:space="preserve"> el nivel prepandemia en los primeros meses del año, además la tasa de crecimiento de las remesas es similar a la observada previo </w:t>
      </w:r>
      <w:r>
        <w:rPr>
          <w:rFonts w:ascii="Times New Roman" w:eastAsia="Times New Roman" w:hAnsi="Times New Roman" w:cs="Times New Roman"/>
          <w:sz w:val="22"/>
          <w:szCs w:val="22"/>
        </w:rPr>
        <w:t xml:space="preserve">a </w:t>
      </w:r>
      <w:r w:rsidR="007B0095" w:rsidRPr="00C110F2">
        <w:rPr>
          <w:rFonts w:ascii="Times New Roman" w:eastAsia="Times New Roman" w:hAnsi="Times New Roman" w:cs="Times New Roman"/>
          <w:sz w:val="22"/>
          <w:szCs w:val="22"/>
        </w:rPr>
        <w:t>la pandemia. Por su parte la inflación en general disminuyó en todos los países, no obstante, la inflación en componente de alimentos sigue siendo alta.</w:t>
      </w:r>
    </w:p>
    <w:p w14:paraId="0BD591ED" w14:textId="501495B8" w:rsidR="00053BEC" w:rsidRPr="00F22DD8" w:rsidRDefault="00053BEC" w:rsidP="00F22DD8">
      <w:pPr>
        <w:rPr>
          <w:rFonts w:ascii="Times New Roman" w:eastAsia="Times New Roman" w:hAnsi="Times New Roman" w:cs="Times New Roman"/>
        </w:rPr>
      </w:pPr>
    </w:p>
    <w:p w14:paraId="40C09EC4" w14:textId="77777777" w:rsidR="00053BEC" w:rsidRPr="00C110F2" w:rsidRDefault="00053BEC" w:rsidP="00053BEC">
      <w:pPr>
        <w:pStyle w:val="Prrafodelista"/>
        <w:rPr>
          <w:rFonts w:ascii="Times New Roman" w:eastAsia="Times New Roman" w:hAnsi="Times New Roman" w:cs="Times New Roman"/>
        </w:rPr>
      </w:pPr>
    </w:p>
    <w:p w14:paraId="745D14F1" w14:textId="053877C2" w:rsidR="007B0095" w:rsidRPr="00053BEC" w:rsidRDefault="00053BEC" w:rsidP="00053BEC">
      <w:pPr>
        <w:pStyle w:val="Descripcin"/>
        <w:keepNext/>
        <w:spacing w:after="0"/>
        <w:jc w:val="center"/>
        <w:rPr>
          <w:sz w:val="22"/>
          <w:szCs w:val="22"/>
        </w:rPr>
      </w:pPr>
      <w:bookmarkStart w:id="209" w:name="_Toc160196932"/>
      <w:r w:rsidRPr="00053BEC">
        <w:rPr>
          <w:sz w:val="22"/>
          <w:szCs w:val="22"/>
        </w:rPr>
        <w:t xml:space="preserve">Tabla </w:t>
      </w:r>
      <w:r w:rsidRPr="00053BEC">
        <w:rPr>
          <w:sz w:val="22"/>
          <w:szCs w:val="22"/>
        </w:rPr>
        <w:fldChar w:fldCharType="begin"/>
      </w:r>
      <w:r w:rsidRPr="00053BEC">
        <w:rPr>
          <w:sz w:val="22"/>
          <w:szCs w:val="22"/>
        </w:rPr>
        <w:instrText xml:space="preserve"> SEQ Tabla \* ARABIC </w:instrText>
      </w:r>
      <w:r w:rsidRPr="00053BEC">
        <w:rPr>
          <w:sz w:val="22"/>
          <w:szCs w:val="22"/>
        </w:rPr>
        <w:fldChar w:fldCharType="separate"/>
      </w:r>
      <w:r w:rsidR="00C015DC">
        <w:rPr>
          <w:noProof/>
          <w:sz w:val="22"/>
          <w:szCs w:val="22"/>
        </w:rPr>
        <w:t>17</w:t>
      </w:r>
      <w:r w:rsidRPr="00053BEC">
        <w:rPr>
          <w:sz w:val="22"/>
          <w:szCs w:val="22"/>
        </w:rPr>
        <w:fldChar w:fldCharType="end"/>
      </w:r>
      <w:r w:rsidRPr="00053BEC">
        <w:rPr>
          <w:sz w:val="22"/>
          <w:szCs w:val="22"/>
        </w:rPr>
        <w:t xml:space="preserve">.  </w:t>
      </w:r>
      <w:r w:rsidR="007B0095" w:rsidRPr="00053BEC">
        <w:rPr>
          <w:rFonts w:cs="Times New Roman"/>
          <w:sz w:val="22"/>
          <w:szCs w:val="22"/>
        </w:rPr>
        <w:t>Principales indicadores Macroeconómicos y Fiscales de la región</w:t>
      </w:r>
      <w:bookmarkEnd w:id="209"/>
    </w:p>
    <w:p w14:paraId="31F9510C" w14:textId="77777777" w:rsidR="007B0095" w:rsidRPr="00C110F2" w:rsidRDefault="007B0095" w:rsidP="007B0095">
      <w:pPr>
        <w:jc w:val="center"/>
        <w:rPr>
          <w:rFonts w:ascii="Times New Roman" w:hAnsi="Times New Roman" w:cs="Times New Roman"/>
          <w:sz w:val="18"/>
        </w:rPr>
      </w:pPr>
      <w:r w:rsidRPr="00C110F2">
        <w:rPr>
          <w:rFonts w:ascii="Times New Roman" w:hAnsi="Times New Roman" w:cs="Times New Roman"/>
          <w:sz w:val="18"/>
        </w:rPr>
        <w:t>Millones de US$ y variación interanual</w:t>
      </w:r>
    </w:p>
    <w:p w14:paraId="44A6F7A0" w14:textId="77777777" w:rsidR="007B0095" w:rsidRPr="00C110F2" w:rsidRDefault="007B0095" w:rsidP="007B0095">
      <w:pPr>
        <w:spacing w:line="276" w:lineRule="auto"/>
        <w:contextualSpacing/>
        <w:jc w:val="center"/>
        <w:rPr>
          <w:rFonts w:ascii="Times New Roman" w:eastAsia="Times New Roman" w:hAnsi="Times New Roman" w:cs="Times New Roman"/>
          <w:sz w:val="12"/>
          <w:lang w:val="es-ES_tradnl" w:eastAsia="es-ES"/>
        </w:rPr>
      </w:pPr>
      <w:r w:rsidRPr="00C110F2">
        <w:rPr>
          <w:rFonts w:ascii="Times New Roman" w:eastAsia="Times New Roman" w:hAnsi="Times New Roman" w:cs="Times New Roman"/>
          <w:sz w:val="18"/>
          <w:lang w:val="es-ES_tradnl" w:eastAsia="es-ES"/>
        </w:rPr>
        <w:t>Cifras a diciembre 2023, actualización en enero de 2023</w:t>
      </w:r>
    </w:p>
    <w:tbl>
      <w:tblPr>
        <w:tblStyle w:val="Tablaconcuadrcula"/>
        <w:tblW w:w="9067" w:type="dxa"/>
        <w:jc w:val="center"/>
        <w:tblLook w:val="04A0" w:firstRow="1" w:lastRow="0" w:firstColumn="1" w:lastColumn="0" w:noHBand="0" w:noVBand="1"/>
      </w:tblPr>
      <w:tblGrid>
        <w:gridCol w:w="1304"/>
        <w:gridCol w:w="1104"/>
        <w:gridCol w:w="1112"/>
        <w:gridCol w:w="1128"/>
        <w:gridCol w:w="1047"/>
        <w:gridCol w:w="1140"/>
        <w:gridCol w:w="1140"/>
        <w:gridCol w:w="1092"/>
      </w:tblGrid>
      <w:tr w:rsidR="007B0095" w:rsidRPr="00C110F2" w14:paraId="6F940DA0" w14:textId="77777777" w:rsidTr="00973C72">
        <w:trPr>
          <w:trHeight w:val="248"/>
          <w:tblHeader/>
          <w:jc w:val="center"/>
        </w:trPr>
        <w:tc>
          <w:tcPr>
            <w:tcW w:w="1304" w:type="dxa"/>
            <w:shd w:val="clear" w:color="auto" w:fill="2E74B5" w:themeFill="accent5" w:themeFillShade="BF"/>
            <w:vAlign w:val="center"/>
          </w:tcPr>
          <w:p w14:paraId="54768CCA" w14:textId="77777777" w:rsidR="007B0095" w:rsidRPr="00C110F2" w:rsidRDefault="007B0095" w:rsidP="00973C72">
            <w:pPr>
              <w:jc w:val="center"/>
              <w:rPr>
                <w:rFonts w:ascii="Times New Roman" w:hAnsi="Times New Roman" w:cs="Times New Roman"/>
                <w:b/>
                <w:bCs/>
                <w:color w:val="E7E6E6" w:themeColor="background2"/>
                <w:sz w:val="14"/>
                <w:szCs w:val="16"/>
              </w:rPr>
            </w:pPr>
            <w:r w:rsidRPr="00C110F2">
              <w:rPr>
                <w:rFonts w:ascii="Times New Roman" w:hAnsi="Times New Roman" w:cs="Times New Roman"/>
                <w:b/>
                <w:bCs/>
                <w:color w:val="E7E6E6" w:themeColor="background2"/>
                <w:sz w:val="14"/>
                <w:szCs w:val="16"/>
              </w:rPr>
              <w:t>Variables Macroeconómicas</w:t>
            </w:r>
          </w:p>
        </w:tc>
        <w:tc>
          <w:tcPr>
            <w:tcW w:w="1104" w:type="dxa"/>
            <w:shd w:val="clear" w:color="auto" w:fill="2E74B5" w:themeFill="accent5" w:themeFillShade="BF"/>
            <w:vAlign w:val="center"/>
          </w:tcPr>
          <w:p w14:paraId="63040F27" w14:textId="77777777" w:rsidR="007B0095" w:rsidRPr="00C110F2" w:rsidRDefault="007B0095" w:rsidP="00973C72">
            <w:pPr>
              <w:jc w:val="center"/>
              <w:rPr>
                <w:rFonts w:ascii="Times New Roman" w:hAnsi="Times New Roman" w:cs="Times New Roman"/>
                <w:b/>
                <w:bCs/>
                <w:color w:val="E7E6E6" w:themeColor="background2"/>
                <w:sz w:val="14"/>
                <w:szCs w:val="16"/>
              </w:rPr>
            </w:pPr>
            <w:r w:rsidRPr="00C110F2">
              <w:rPr>
                <w:rFonts w:ascii="Times New Roman" w:hAnsi="Times New Roman" w:cs="Times New Roman"/>
                <w:b/>
                <w:bCs/>
                <w:color w:val="E7E6E6" w:themeColor="background2"/>
                <w:sz w:val="14"/>
                <w:szCs w:val="16"/>
              </w:rPr>
              <w:t>Costa Rica</w:t>
            </w:r>
          </w:p>
        </w:tc>
        <w:tc>
          <w:tcPr>
            <w:tcW w:w="1112" w:type="dxa"/>
            <w:shd w:val="clear" w:color="auto" w:fill="2E74B5" w:themeFill="accent5" w:themeFillShade="BF"/>
            <w:vAlign w:val="center"/>
          </w:tcPr>
          <w:p w14:paraId="2DC628FB" w14:textId="77777777" w:rsidR="007B0095" w:rsidRPr="00C110F2" w:rsidRDefault="007B0095" w:rsidP="00973C72">
            <w:pPr>
              <w:jc w:val="center"/>
              <w:rPr>
                <w:rFonts w:ascii="Times New Roman" w:hAnsi="Times New Roman" w:cs="Times New Roman"/>
                <w:b/>
                <w:bCs/>
                <w:color w:val="E7E6E6" w:themeColor="background2"/>
                <w:sz w:val="14"/>
                <w:szCs w:val="16"/>
              </w:rPr>
            </w:pPr>
            <w:r w:rsidRPr="00C110F2">
              <w:rPr>
                <w:rFonts w:ascii="Times New Roman" w:hAnsi="Times New Roman" w:cs="Times New Roman"/>
                <w:b/>
                <w:bCs/>
                <w:color w:val="E7E6E6" w:themeColor="background2"/>
                <w:sz w:val="14"/>
                <w:szCs w:val="16"/>
              </w:rPr>
              <w:t>El Salvador</w:t>
            </w:r>
          </w:p>
        </w:tc>
        <w:tc>
          <w:tcPr>
            <w:tcW w:w="1128" w:type="dxa"/>
            <w:shd w:val="clear" w:color="auto" w:fill="2E74B5" w:themeFill="accent5" w:themeFillShade="BF"/>
            <w:vAlign w:val="center"/>
          </w:tcPr>
          <w:p w14:paraId="261EE88C" w14:textId="77777777" w:rsidR="007B0095" w:rsidRPr="00C110F2" w:rsidRDefault="007B0095" w:rsidP="00973C72">
            <w:pPr>
              <w:jc w:val="center"/>
              <w:rPr>
                <w:rFonts w:ascii="Times New Roman" w:hAnsi="Times New Roman" w:cs="Times New Roman"/>
                <w:b/>
                <w:bCs/>
                <w:color w:val="E7E6E6" w:themeColor="background2"/>
                <w:sz w:val="14"/>
                <w:szCs w:val="16"/>
              </w:rPr>
            </w:pPr>
            <w:r w:rsidRPr="00C110F2">
              <w:rPr>
                <w:rFonts w:ascii="Times New Roman" w:hAnsi="Times New Roman" w:cs="Times New Roman"/>
                <w:b/>
                <w:bCs/>
                <w:color w:val="E7E6E6" w:themeColor="background2"/>
                <w:sz w:val="14"/>
                <w:szCs w:val="16"/>
              </w:rPr>
              <w:t>Guatemala</w:t>
            </w:r>
          </w:p>
        </w:tc>
        <w:tc>
          <w:tcPr>
            <w:tcW w:w="1047" w:type="dxa"/>
            <w:shd w:val="clear" w:color="auto" w:fill="2E74B5" w:themeFill="accent5" w:themeFillShade="BF"/>
            <w:vAlign w:val="center"/>
          </w:tcPr>
          <w:p w14:paraId="0ACC01A7" w14:textId="77777777" w:rsidR="007B0095" w:rsidRPr="00C110F2" w:rsidRDefault="007B0095" w:rsidP="00973C72">
            <w:pPr>
              <w:jc w:val="center"/>
              <w:rPr>
                <w:rFonts w:ascii="Times New Roman" w:hAnsi="Times New Roman" w:cs="Times New Roman"/>
                <w:b/>
                <w:bCs/>
                <w:color w:val="E7E6E6" w:themeColor="background2"/>
                <w:sz w:val="14"/>
                <w:szCs w:val="16"/>
              </w:rPr>
            </w:pPr>
            <w:r w:rsidRPr="00C110F2">
              <w:rPr>
                <w:rFonts w:ascii="Times New Roman" w:hAnsi="Times New Roman" w:cs="Times New Roman"/>
                <w:b/>
                <w:bCs/>
                <w:color w:val="E7E6E6" w:themeColor="background2"/>
                <w:sz w:val="14"/>
                <w:szCs w:val="16"/>
              </w:rPr>
              <w:t>Honduras</w:t>
            </w:r>
          </w:p>
        </w:tc>
        <w:tc>
          <w:tcPr>
            <w:tcW w:w="1140" w:type="dxa"/>
            <w:shd w:val="clear" w:color="auto" w:fill="2E74B5" w:themeFill="accent5" w:themeFillShade="BF"/>
            <w:vAlign w:val="center"/>
          </w:tcPr>
          <w:p w14:paraId="4F681F63" w14:textId="77777777" w:rsidR="007B0095" w:rsidRPr="00C110F2" w:rsidRDefault="007B0095" w:rsidP="00973C72">
            <w:pPr>
              <w:jc w:val="center"/>
              <w:rPr>
                <w:rFonts w:ascii="Times New Roman" w:hAnsi="Times New Roman" w:cs="Times New Roman"/>
                <w:b/>
                <w:bCs/>
                <w:color w:val="E7E6E6" w:themeColor="background2"/>
                <w:sz w:val="14"/>
                <w:szCs w:val="16"/>
              </w:rPr>
            </w:pPr>
            <w:r w:rsidRPr="00C110F2">
              <w:rPr>
                <w:rFonts w:ascii="Times New Roman" w:hAnsi="Times New Roman" w:cs="Times New Roman"/>
                <w:b/>
                <w:bCs/>
                <w:color w:val="E7E6E6" w:themeColor="background2"/>
                <w:sz w:val="14"/>
                <w:szCs w:val="16"/>
              </w:rPr>
              <w:t>Nicaragua</w:t>
            </w:r>
          </w:p>
        </w:tc>
        <w:tc>
          <w:tcPr>
            <w:tcW w:w="1140" w:type="dxa"/>
            <w:shd w:val="clear" w:color="auto" w:fill="2E74B5" w:themeFill="accent5" w:themeFillShade="BF"/>
            <w:vAlign w:val="center"/>
          </w:tcPr>
          <w:p w14:paraId="6888E9E3" w14:textId="77777777" w:rsidR="007B0095" w:rsidRPr="00C110F2" w:rsidRDefault="007B0095" w:rsidP="00973C72">
            <w:pPr>
              <w:jc w:val="center"/>
              <w:rPr>
                <w:rFonts w:ascii="Times New Roman" w:hAnsi="Times New Roman" w:cs="Times New Roman"/>
                <w:b/>
                <w:bCs/>
                <w:color w:val="E7E6E6" w:themeColor="background2"/>
                <w:sz w:val="14"/>
                <w:szCs w:val="16"/>
              </w:rPr>
            </w:pPr>
            <w:r w:rsidRPr="00C110F2">
              <w:rPr>
                <w:rFonts w:ascii="Times New Roman" w:hAnsi="Times New Roman" w:cs="Times New Roman"/>
                <w:b/>
                <w:bCs/>
                <w:color w:val="E7E6E6" w:themeColor="background2"/>
                <w:sz w:val="14"/>
                <w:szCs w:val="16"/>
              </w:rPr>
              <w:t>República Dominicana</w:t>
            </w:r>
          </w:p>
        </w:tc>
        <w:tc>
          <w:tcPr>
            <w:tcW w:w="1092" w:type="dxa"/>
            <w:shd w:val="clear" w:color="auto" w:fill="2E74B5" w:themeFill="accent5" w:themeFillShade="BF"/>
            <w:vAlign w:val="center"/>
          </w:tcPr>
          <w:p w14:paraId="678189E5" w14:textId="77777777" w:rsidR="007B0095" w:rsidRPr="00C110F2" w:rsidRDefault="007B0095" w:rsidP="00973C72">
            <w:pPr>
              <w:jc w:val="center"/>
              <w:rPr>
                <w:rFonts w:ascii="Times New Roman" w:hAnsi="Times New Roman" w:cs="Times New Roman"/>
                <w:b/>
                <w:bCs/>
                <w:color w:val="E7E6E6" w:themeColor="background2"/>
                <w:sz w:val="14"/>
                <w:szCs w:val="16"/>
              </w:rPr>
            </w:pPr>
            <w:r w:rsidRPr="00C110F2">
              <w:rPr>
                <w:rFonts w:ascii="Times New Roman" w:hAnsi="Times New Roman" w:cs="Times New Roman"/>
                <w:b/>
                <w:bCs/>
                <w:color w:val="E7E6E6" w:themeColor="background2"/>
                <w:sz w:val="14"/>
                <w:szCs w:val="16"/>
              </w:rPr>
              <w:t>Panamá</w:t>
            </w:r>
          </w:p>
        </w:tc>
      </w:tr>
      <w:tr w:rsidR="007B0095" w:rsidRPr="00C110F2" w14:paraId="0E2C63CC" w14:textId="77777777" w:rsidTr="00973C72">
        <w:trPr>
          <w:trHeight w:val="392"/>
          <w:jc w:val="center"/>
        </w:trPr>
        <w:tc>
          <w:tcPr>
            <w:tcW w:w="1304" w:type="dxa"/>
            <w:vAlign w:val="center"/>
          </w:tcPr>
          <w:p w14:paraId="1DDBA17F" w14:textId="77777777" w:rsidR="007B0095" w:rsidRPr="00C110F2" w:rsidRDefault="007B0095" w:rsidP="00973C72">
            <w:pPr>
              <w:rPr>
                <w:rFonts w:ascii="Times New Roman" w:hAnsi="Times New Roman" w:cs="Times New Roman"/>
                <w:sz w:val="14"/>
                <w:szCs w:val="16"/>
              </w:rPr>
            </w:pPr>
            <w:r w:rsidRPr="00C110F2">
              <w:rPr>
                <w:rFonts w:ascii="Times New Roman" w:hAnsi="Times New Roman" w:cs="Times New Roman"/>
                <w:sz w:val="14"/>
                <w:szCs w:val="16"/>
              </w:rPr>
              <w:t>PIB trimestral en constantes</w:t>
            </w:r>
          </w:p>
        </w:tc>
        <w:tc>
          <w:tcPr>
            <w:tcW w:w="1104" w:type="dxa"/>
            <w:vAlign w:val="center"/>
          </w:tcPr>
          <w:p w14:paraId="0DCF4E0C"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septiembre 2023</w:t>
            </w:r>
          </w:p>
          <w:p w14:paraId="64F1CBB8" w14:textId="77777777" w:rsidR="007B0095" w:rsidRPr="00C110F2" w:rsidRDefault="007B0095" w:rsidP="00973C72">
            <w:pPr>
              <w:jc w:val="center"/>
              <w:rPr>
                <w:rFonts w:ascii="Times New Roman" w:hAnsi="Times New Roman" w:cs="Times New Roman"/>
                <w:sz w:val="11"/>
                <w:szCs w:val="11"/>
              </w:rPr>
            </w:pPr>
            <w:r w:rsidRPr="00C110F2">
              <w:rPr>
                <w:noProof/>
                <w:sz w:val="11"/>
                <w:szCs w:val="11"/>
              </w:rPr>
              <w:drawing>
                <wp:inline distT="0" distB="0" distL="0" distR="0" wp14:anchorId="09F3294B" wp14:editId="5083E5BD">
                  <wp:extent cx="76200" cy="6350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jpg"/>
                          <pic:cNvPicPr/>
                        </pic:nvPicPr>
                        <pic:blipFill>
                          <a:blip r:embed="rId68"/>
                          <a:stretch>
                            <a:fillRect/>
                          </a:stretch>
                        </pic:blipFill>
                        <pic:spPr>
                          <a:xfrm>
                            <a:off x="0" y="0"/>
                            <a:ext cx="76200" cy="63500"/>
                          </a:xfrm>
                          <a:prstGeom prst="rect">
                            <a:avLst/>
                          </a:prstGeom>
                        </pic:spPr>
                      </pic:pic>
                    </a:graphicData>
                  </a:graphic>
                </wp:inline>
              </w:drawing>
            </w:r>
            <w:r w:rsidRPr="00C110F2">
              <w:rPr>
                <w:rFonts w:ascii="Times New Roman" w:hAnsi="Times New Roman" w:cs="Times New Roman"/>
                <w:sz w:val="11"/>
                <w:szCs w:val="11"/>
              </w:rPr>
              <w:t>5.89%</w:t>
            </w:r>
          </w:p>
        </w:tc>
        <w:tc>
          <w:tcPr>
            <w:tcW w:w="1112" w:type="dxa"/>
            <w:vAlign w:val="center"/>
          </w:tcPr>
          <w:p w14:paraId="2B2135E0"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septiembre 2023</w:t>
            </w:r>
          </w:p>
          <w:p w14:paraId="341C98A9" w14:textId="77777777" w:rsidR="007B0095" w:rsidRPr="00C110F2" w:rsidRDefault="007B0095" w:rsidP="00973C72">
            <w:pPr>
              <w:jc w:val="center"/>
              <w:rPr>
                <w:rFonts w:ascii="Times New Roman" w:hAnsi="Times New Roman" w:cs="Times New Roman"/>
                <w:sz w:val="11"/>
                <w:szCs w:val="11"/>
              </w:rPr>
            </w:pPr>
            <w:r w:rsidRPr="00C110F2">
              <w:rPr>
                <w:noProof/>
                <w:sz w:val="11"/>
                <w:szCs w:val="11"/>
              </w:rPr>
              <w:drawing>
                <wp:inline distT="0" distB="0" distL="0" distR="0" wp14:anchorId="6F11583C" wp14:editId="0772DA48">
                  <wp:extent cx="76200" cy="63500"/>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jpg"/>
                          <pic:cNvPicPr/>
                        </pic:nvPicPr>
                        <pic:blipFill>
                          <a:blip r:embed="rId68"/>
                          <a:stretch>
                            <a:fillRect/>
                          </a:stretch>
                        </pic:blipFill>
                        <pic:spPr>
                          <a:xfrm>
                            <a:off x="0" y="0"/>
                            <a:ext cx="76200" cy="63500"/>
                          </a:xfrm>
                          <a:prstGeom prst="rect">
                            <a:avLst/>
                          </a:prstGeom>
                        </pic:spPr>
                      </pic:pic>
                    </a:graphicData>
                  </a:graphic>
                </wp:inline>
              </w:drawing>
            </w:r>
            <w:r w:rsidRPr="00C110F2">
              <w:rPr>
                <w:rFonts w:ascii="Times New Roman" w:hAnsi="Times New Roman" w:cs="Times New Roman"/>
                <w:sz w:val="11"/>
                <w:szCs w:val="11"/>
              </w:rPr>
              <w:t>3.51%</w:t>
            </w:r>
          </w:p>
        </w:tc>
        <w:tc>
          <w:tcPr>
            <w:tcW w:w="1128" w:type="dxa"/>
            <w:vAlign w:val="center"/>
          </w:tcPr>
          <w:p w14:paraId="48194D68"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septiembre 2023</w:t>
            </w:r>
          </w:p>
          <w:p w14:paraId="0DBB6999" w14:textId="77777777" w:rsidR="007B0095" w:rsidRPr="00C110F2" w:rsidRDefault="007B0095" w:rsidP="00973C72">
            <w:pPr>
              <w:jc w:val="center"/>
              <w:rPr>
                <w:rFonts w:ascii="Times New Roman" w:hAnsi="Times New Roman" w:cs="Times New Roman"/>
                <w:sz w:val="11"/>
                <w:szCs w:val="11"/>
              </w:rPr>
            </w:pPr>
            <w:r w:rsidRPr="00C110F2">
              <w:rPr>
                <w:noProof/>
                <w:sz w:val="11"/>
                <w:szCs w:val="11"/>
              </w:rPr>
              <w:drawing>
                <wp:inline distT="0" distB="0" distL="0" distR="0" wp14:anchorId="5C2C9F99" wp14:editId="36F38733">
                  <wp:extent cx="76200" cy="63500"/>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jpg"/>
                          <pic:cNvPicPr/>
                        </pic:nvPicPr>
                        <pic:blipFill>
                          <a:blip r:embed="rId68"/>
                          <a:stretch>
                            <a:fillRect/>
                          </a:stretch>
                        </pic:blipFill>
                        <pic:spPr>
                          <a:xfrm>
                            <a:off x="0" y="0"/>
                            <a:ext cx="76200" cy="63500"/>
                          </a:xfrm>
                          <a:prstGeom prst="rect">
                            <a:avLst/>
                          </a:prstGeom>
                        </pic:spPr>
                      </pic:pic>
                    </a:graphicData>
                  </a:graphic>
                </wp:inline>
              </w:drawing>
            </w:r>
            <w:r w:rsidRPr="00C110F2">
              <w:rPr>
                <w:rFonts w:ascii="Times New Roman" w:hAnsi="Times New Roman" w:cs="Times New Roman"/>
                <w:sz w:val="11"/>
                <w:szCs w:val="11"/>
              </w:rPr>
              <w:t>3.74%</w:t>
            </w:r>
          </w:p>
        </w:tc>
        <w:tc>
          <w:tcPr>
            <w:tcW w:w="1047" w:type="dxa"/>
            <w:vAlign w:val="center"/>
          </w:tcPr>
          <w:p w14:paraId="69CECBC0"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septiembre 2023</w:t>
            </w:r>
          </w:p>
          <w:p w14:paraId="3D6B754B" w14:textId="77777777" w:rsidR="007B0095" w:rsidRPr="00C110F2" w:rsidRDefault="007B0095" w:rsidP="00973C72">
            <w:pPr>
              <w:jc w:val="center"/>
              <w:rPr>
                <w:rFonts w:ascii="Times New Roman" w:hAnsi="Times New Roman" w:cs="Times New Roman"/>
                <w:sz w:val="11"/>
                <w:szCs w:val="11"/>
              </w:rPr>
            </w:pPr>
            <w:r w:rsidRPr="00C110F2">
              <w:rPr>
                <w:noProof/>
                <w:sz w:val="11"/>
                <w:szCs w:val="11"/>
              </w:rPr>
              <w:drawing>
                <wp:inline distT="0" distB="0" distL="0" distR="0" wp14:anchorId="37968878" wp14:editId="24FE2E60">
                  <wp:extent cx="76200" cy="6350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jpg"/>
                          <pic:cNvPicPr/>
                        </pic:nvPicPr>
                        <pic:blipFill>
                          <a:blip r:embed="rId68"/>
                          <a:stretch>
                            <a:fillRect/>
                          </a:stretch>
                        </pic:blipFill>
                        <pic:spPr>
                          <a:xfrm>
                            <a:off x="0" y="0"/>
                            <a:ext cx="76200" cy="63500"/>
                          </a:xfrm>
                          <a:prstGeom prst="rect">
                            <a:avLst/>
                          </a:prstGeom>
                        </pic:spPr>
                      </pic:pic>
                    </a:graphicData>
                  </a:graphic>
                </wp:inline>
              </w:drawing>
            </w:r>
            <w:r w:rsidRPr="00C110F2">
              <w:rPr>
                <w:rFonts w:ascii="Times New Roman" w:hAnsi="Times New Roman" w:cs="Times New Roman"/>
                <w:sz w:val="11"/>
                <w:szCs w:val="11"/>
              </w:rPr>
              <w:t>3.88%</w:t>
            </w:r>
          </w:p>
        </w:tc>
        <w:tc>
          <w:tcPr>
            <w:tcW w:w="1140" w:type="dxa"/>
            <w:vAlign w:val="center"/>
          </w:tcPr>
          <w:p w14:paraId="5E7F9157"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junio 2023</w:t>
            </w:r>
          </w:p>
          <w:p w14:paraId="5EF7A14D" w14:textId="77777777" w:rsidR="007B0095" w:rsidRPr="00C110F2" w:rsidRDefault="007B0095" w:rsidP="00973C72">
            <w:pPr>
              <w:jc w:val="center"/>
              <w:rPr>
                <w:rFonts w:ascii="Times New Roman" w:hAnsi="Times New Roman" w:cs="Times New Roman"/>
                <w:sz w:val="11"/>
                <w:szCs w:val="11"/>
              </w:rPr>
            </w:pPr>
            <w:r w:rsidRPr="00C110F2">
              <w:rPr>
                <w:noProof/>
                <w:sz w:val="11"/>
                <w:szCs w:val="11"/>
              </w:rPr>
              <w:drawing>
                <wp:inline distT="0" distB="0" distL="0" distR="0" wp14:anchorId="4645D6FE" wp14:editId="00559802">
                  <wp:extent cx="76200" cy="63500"/>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jpg"/>
                          <pic:cNvPicPr/>
                        </pic:nvPicPr>
                        <pic:blipFill>
                          <a:blip r:embed="rId68"/>
                          <a:stretch>
                            <a:fillRect/>
                          </a:stretch>
                        </pic:blipFill>
                        <pic:spPr>
                          <a:xfrm>
                            <a:off x="0" y="0"/>
                            <a:ext cx="76200" cy="63500"/>
                          </a:xfrm>
                          <a:prstGeom prst="rect">
                            <a:avLst/>
                          </a:prstGeom>
                        </pic:spPr>
                      </pic:pic>
                    </a:graphicData>
                  </a:graphic>
                </wp:inline>
              </w:drawing>
            </w:r>
            <w:r w:rsidRPr="00C110F2">
              <w:rPr>
                <w:rFonts w:ascii="Times New Roman" w:hAnsi="Times New Roman" w:cs="Times New Roman"/>
                <w:sz w:val="11"/>
                <w:szCs w:val="11"/>
              </w:rPr>
              <w:t>3.96%</w:t>
            </w:r>
          </w:p>
        </w:tc>
        <w:tc>
          <w:tcPr>
            <w:tcW w:w="1140" w:type="dxa"/>
            <w:vAlign w:val="center"/>
          </w:tcPr>
          <w:p w14:paraId="5CF3F9FC"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septiembre 2023</w:t>
            </w:r>
          </w:p>
          <w:p w14:paraId="16CA31C9" w14:textId="77777777" w:rsidR="007B0095" w:rsidRPr="00C110F2" w:rsidRDefault="007B0095" w:rsidP="00973C72">
            <w:pPr>
              <w:jc w:val="center"/>
              <w:rPr>
                <w:rFonts w:ascii="Times New Roman" w:hAnsi="Times New Roman" w:cs="Times New Roman"/>
                <w:sz w:val="11"/>
                <w:szCs w:val="11"/>
              </w:rPr>
            </w:pPr>
            <w:r w:rsidRPr="00C110F2">
              <w:rPr>
                <w:noProof/>
                <w:sz w:val="11"/>
                <w:szCs w:val="11"/>
              </w:rPr>
              <w:drawing>
                <wp:inline distT="0" distB="0" distL="0" distR="0" wp14:anchorId="6EB52E02" wp14:editId="37B30627">
                  <wp:extent cx="76200" cy="63500"/>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jpg"/>
                          <pic:cNvPicPr/>
                        </pic:nvPicPr>
                        <pic:blipFill>
                          <a:blip r:embed="rId68"/>
                          <a:stretch>
                            <a:fillRect/>
                          </a:stretch>
                        </pic:blipFill>
                        <pic:spPr>
                          <a:xfrm>
                            <a:off x="0" y="0"/>
                            <a:ext cx="76200" cy="63500"/>
                          </a:xfrm>
                          <a:prstGeom prst="rect">
                            <a:avLst/>
                          </a:prstGeom>
                        </pic:spPr>
                      </pic:pic>
                    </a:graphicData>
                  </a:graphic>
                </wp:inline>
              </w:drawing>
            </w:r>
            <w:r w:rsidRPr="00C110F2">
              <w:rPr>
                <w:rFonts w:ascii="Times New Roman" w:hAnsi="Times New Roman" w:cs="Times New Roman"/>
                <w:sz w:val="11"/>
                <w:szCs w:val="11"/>
              </w:rPr>
              <w:t>2.63%</w:t>
            </w:r>
          </w:p>
        </w:tc>
        <w:tc>
          <w:tcPr>
            <w:tcW w:w="1092" w:type="dxa"/>
            <w:vAlign w:val="center"/>
          </w:tcPr>
          <w:p w14:paraId="65E49B72"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No reportada</w:t>
            </w:r>
          </w:p>
        </w:tc>
      </w:tr>
      <w:tr w:rsidR="007B0095" w:rsidRPr="00C110F2" w14:paraId="679297CE" w14:textId="77777777" w:rsidTr="00973C72">
        <w:trPr>
          <w:trHeight w:val="297"/>
          <w:jc w:val="center"/>
        </w:trPr>
        <w:tc>
          <w:tcPr>
            <w:tcW w:w="1304" w:type="dxa"/>
            <w:vAlign w:val="center"/>
          </w:tcPr>
          <w:p w14:paraId="57FD347E" w14:textId="77777777" w:rsidR="007B0095" w:rsidRPr="00C110F2" w:rsidRDefault="007B0095" w:rsidP="00973C72">
            <w:pPr>
              <w:rPr>
                <w:rFonts w:ascii="Times New Roman" w:hAnsi="Times New Roman" w:cs="Times New Roman"/>
                <w:sz w:val="16"/>
                <w:szCs w:val="16"/>
              </w:rPr>
            </w:pPr>
            <w:r w:rsidRPr="00C110F2">
              <w:rPr>
                <w:rFonts w:ascii="Times New Roman" w:hAnsi="Times New Roman" w:cs="Times New Roman"/>
                <w:sz w:val="14"/>
                <w:szCs w:val="16"/>
              </w:rPr>
              <w:t>IPC general</w:t>
            </w:r>
          </w:p>
        </w:tc>
        <w:tc>
          <w:tcPr>
            <w:tcW w:w="1104" w:type="dxa"/>
            <w:vAlign w:val="center"/>
          </w:tcPr>
          <w:p w14:paraId="27D3A622"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diciembre 2023</w:t>
            </w:r>
          </w:p>
          <w:p w14:paraId="7D993074" w14:textId="77777777" w:rsidR="007B0095" w:rsidRPr="00C110F2" w:rsidRDefault="007B0095" w:rsidP="00973C72">
            <w:pPr>
              <w:jc w:val="center"/>
              <w:rPr>
                <w:rFonts w:ascii="Times New Roman" w:hAnsi="Times New Roman" w:cs="Times New Roman"/>
                <w:sz w:val="11"/>
                <w:szCs w:val="11"/>
              </w:rPr>
            </w:pPr>
            <w:r w:rsidRPr="00C110F2">
              <w:rPr>
                <w:noProof/>
                <w:sz w:val="11"/>
                <w:szCs w:val="11"/>
              </w:rPr>
              <w:drawing>
                <wp:inline distT="0" distB="0" distL="0" distR="0" wp14:anchorId="69FFDEF5" wp14:editId="18194036">
                  <wp:extent cx="76200" cy="63500"/>
                  <wp:effectExtent l="0" t="0" r="0" b="0"/>
                  <wp:docPr id="1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jpg"/>
                          <pic:cNvPicPr/>
                        </pic:nvPicPr>
                        <pic:blipFill>
                          <a:blip r:embed="rId68"/>
                          <a:stretch>
                            <a:fillRect/>
                          </a:stretch>
                        </pic:blipFill>
                        <pic:spPr>
                          <a:xfrm>
                            <a:off x="0" y="0"/>
                            <a:ext cx="76200" cy="63500"/>
                          </a:xfrm>
                          <a:prstGeom prst="rect">
                            <a:avLst/>
                          </a:prstGeom>
                        </pic:spPr>
                      </pic:pic>
                    </a:graphicData>
                  </a:graphic>
                </wp:inline>
              </w:drawing>
            </w:r>
            <w:r w:rsidRPr="00C110F2">
              <w:rPr>
                <w:rFonts w:ascii="Times New Roman" w:hAnsi="Times New Roman" w:cs="Times New Roman"/>
                <w:sz w:val="11"/>
                <w:szCs w:val="11"/>
              </w:rPr>
              <w:t>-1.77%</w:t>
            </w:r>
          </w:p>
        </w:tc>
        <w:tc>
          <w:tcPr>
            <w:tcW w:w="1112" w:type="dxa"/>
            <w:vAlign w:val="center"/>
          </w:tcPr>
          <w:p w14:paraId="78E4C4A1"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diciembre 2023</w:t>
            </w:r>
          </w:p>
          <w:p w14:paraId="7B58434E" w14:textId="77777777" w:rsidR="007B0095" w:rsidRPr="00C110F2" w:rsidRDefault="007B0095" w:rsidP="00973C72">
            <w:pPr>
              <w:jc w:val="center"/>
              <w:rPr>
                <w:rFonts w:ascii="Times New Roman" w:hAnsi="Times New Roman" w:cs="Times New Roman"/>
                <w:sz w:val="11"/>
                <w:szCs w:val="11"/>
              </w:rPr>
            </w:pPr>
            <w:r w:rsidRPr="00C110F2">
              <w:rPr>
                <w:noProof/>
                <w:sz w:val="11"/>
                <w:szCs w:val="11"/>
              </w:rPr>
              <w:drawing>
                <wp:inline distT="0" distB="0" distL="0" distR="0" wp14:anchorId="1BC11DFA" wp14:editId="5AA7C8CD">
                  <wp:extent cx="57150" cy="57150"/>
                  <wp:effectExtent l="0" t="0" r="0" b="0"/>
                  <wp:docPr id="1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jpg"/>
                          <pic:cNvPicPr/>
                        </pic:nvPicPr>
                        <pic:blipFill>
                          <a:blip r:embed="rId69"/>
                          <a:stretch>
                            <a:fillRect/>
                          </a:stretch>
                        </pic:blipFill>
                        <pic:spPr>
                          <a:xfrm>
                            <a:off x="0" y="0"/>
                            <a:ext cx="57150" cy="57150"/>
                          </a:xfrm>
                          <a:prstGeom prst="rect">
                            <a:avLst/>
                          </a:prstGeom>
                        </pic:spPr>
                      </pic:pic>
                    </a:graphicData>
                  </a:graphic>
                </wp:inline>
              </w:drawing>
            </w:r>
            <w:r w:rsidRPr="00C110F2">
              <w:rPr>
                <w:rFonts w:ascii="Times New Roman" w:hAnsi="Times New Roman" w:cs="Times New Roman"/>
                <w:sz w:val="11"/>
                <w:szCs w:val="11"/>
              </w:rPr>
              <w:t>1.23%</w:t>
            </w:r>
          </w:p>
        </w:tc>
        <w:tc>
          <w:tcPr>
            <w:tcW w:w="1128" w:type="dxa"/>
            <w:vAlign w:val="center"/>
          </w:tcPr>
          <w:p w14:paraId="041AFA0E"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diciembre 2023</w:t>
            </w:r>
          </w:p>
          <w:p w14:paraId="19F7A229" w14:textId="77777777" w:rsidR="007B0095" w:rsidRPr="00C110F2" w:rsidRDefault="007B0095" w:rsidP="00973C72">
            <w:pPr>
              <w:jc w:val="center"/>
              <w:rPr>
                <w:rFonts w:ascii="Times New Roman" w:hAnsi="Times New Roman" w:cs="Times New Roman"/>
                <w:sz w:val="11"/>
                <w:szCs w:val="11"/>
              </w:rPr>
            </w:pPr>
            <w:r w:rsidRPr="00C110F2">
              <w:rPr>
                <w:noProof/>
                <w:sz w:val="11"/>
                <w:szCs w:val="11"/>
              </w:rPr>
              <w:drawing>
                <wp:inline distT="0" distB="0" distL="0" distR="0" wp14:anchorId="71CF3729" wp14:editId="3584262B">
                  <wp:extent cx="76200" cy="63500"/>
                  <wp:effectExtent l="0" t="0" r="0" b="0"/>
                  <wp:docPr id="1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jpg"/>
                          <pic:cNvPicPr/>
                        </pic:nvPicPr>
                        <pic:blipFill>
                          <a:blip r:embed="rId68"/>
                          <a:stretch>
                            <a:fillRect/>
                          </a:stretch>
                        </pic:blipFill>
                        <pic:spPr>
                          <a:xfrm>
                            <a:off x="0" y="0"/>
                            <a:ext cx="76200" cy="63500"/>
                          </a:xfrm>
                          <a:prstGeom prst="rect">
                            <a:avLst/>
                          </a:prstGeom>
                        </pic:spPr>
                      </pic:pic>
                    </a:graphicData>
                  </a:graphic>
                </wp:inline>
              </w:drawing>
            </w:r>
            <w:r w:rsidRPr="00C110F2">
              <w:rPr>
                <w:rFonts w:ascii="Times New Roman" w:hAnsi="Times New Roman" w:cs="Times New Roman"/>
                <w:sz w:val="11"/>
                <w:szCs w:val="11"/>
              </w:rPr>
              <w:t>4.18%</w:t>
            </w:r>
          </w:p>
        </w:tc>
        <w:tc>
          <w:tcPr>
            <w:tcW w:w="1047" w:type="dxa"/>
            <w:vAlign w:val="center"/>
          </w:tcPr>
          <w:p w14:paraId="4C14C5C7"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diciembre 2023</w:t>
            </w:r>
          </w:p>
          <w:p w14:paraId="53F436B0" w14:textId="77777777" w:rsidR="007B0095" w:rsidRPr="00C110F2" w:rsidRDefault="007B0095" w:rsidP="00973C72">
            <w:pPr>
              <w:jc w:val="center"/>
              <w:rPr>
                <w:rFonts w:ascii="Times New Roman" w:hAnsi="Times New Roman" w:cs="Times New Roman"/>
                <w:sz w:val="11"/>
                <w:szCs w:val="11"/>
              </w:rPr>
            </w:pPr>
            <w:r w:rsidRPr="00C110F2">
              <w:rPr>
                <w:noProof/>
                <w:sz w:val="11"/>
                <w:szCs w:val="11"/>
              </w:rPr>
              <w:drawing>
                <wp:inline distT="0" distB="0" distL="0" distR="0" wp14:anchorId="29B90648" wp14:editId="3A32B6A6">
                  <wp:extent cx="76200" cy="63500"/>
                  <wp:effectExtent l="0" t="0" r="0" b="0"/>
                  <wp:docPr id="1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jpg"/>
                          <pic:cNvPicPr/>
                        </pic:nvPicPr>
                        <pic:blipFill>
                          <a:blip r:embed="rId68"/>
                          <a:stretch>
                            <a:fillRect/>
                          </a:stretch>
                        </pic:blipFill>
                        <pic:spPr>
                          <a:xfrm>
                            <a:off x="0" y="0"/>
                            <a:ext cx="76200" cy="63500"/>
                          </a:xfrm>
                          <a:prstGeom prst="rect">
                            <a:avLst/>
                          </a:prstGeom>
                        </pic:spPr>
                      </pic:pic>
                    </a:graphicData>
                  </a:graphic>
                </wp:inline>
              </w:drawing>
            </w:r>
            <w:r w:rsidRPr="00C110F2">
              <w:rPr>
                <w:rFonts w:ascii="Times New Roman" w:hAnsi="Times New Roman" w:cs="Times New Roman"/>
                <w:sz w:val="11"/>
                <w:szCs w:val="11"/>
              </w:rPr>
              <w:t>5.19%</w:t>
            </w:r>
          </w:p>
        </w:tc>
        <w:tc>
          <w:tcPr>
            <w:tcW w:w="1140" w:type="dxa"/>
            <w:vAlign w:val="center"/>
          </w:tcPr>
          <w:p w14:paraId="5AE2DE25"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diciembre 2023</w:t>
            </w:r>
          </w:p>
          <w:p w14:paraId="4C7113F9" w14:textId="77777777" w:rsidR="007B0095" w:rsidRPr="00C110F2" w:rsidRDefault="007B0095" w:rsidP="00973C72">
            <w:pPr>
              <w:jc w:val="center"/>
              <w:rPr>
                <w:rFonts w:ascii="Times New Roman" w:hAnsi="Times New Roman" w:cs="Times New Roman"/>
                <w:sz w:val="11"/>
                <w:szCs w:val="11"/>
              </w:rPr>
            </w:pPr>
            <w:r w:rsidRPr="00C110F2">
              <w:rPr>
                <w:noProof/>
                <w:sz w:val="11"/>
                <w:szCs w:val="11"/>
              </w:rPr>
              <w:drawing>
                <wp:inline distT="0" distB="0" distL="0" distR="0" wp14:anchorId="4695C483" wp14:editId="7AA0B6FE">
                  <wp:extent cx="76200" cy="63500"/>
                  <wp:effectExtent l="0" t="0" r="0" b="0"/>
                  <wp:docPr id="1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jpg"/>
                          <pic:cNvPicPr/>
                        </pic:nvPicPr>
                        <pic:blipFill>
                          <a:blip r:embed="rId68"/>
                          <a:stretch>
                            <a:fillRect/>
                          </a:stretch>
                        </pic:blipFill>
                        <pic:spPr>
                          <a:xfrm>
                            <a:off x="0" y="0"/>
                            <a:ext cx="76200" cy="63500"/>
                          </a:xfrm>
                          <a:prstGeom prst="rect">
                            <a:avLst/>
                          </a:prstGeom>
                        </pic:spPr>
                      </pic:pic>
                    </a:graphicData>
                  </a:graphic>
                </wp:inline>
              </w:drawing>
            </w:r>
            <w:r w:rsidRPr="00C110F2">
              <w:rPr>
                <w:rFonts w:ascii="Times New Roman" w:hAnsi="Times New Roman" w:cs="Times New Roman"/>
                <w:sz w:val="11"/>
                <w:szCs w:val="11"/>
              </w:rPr>
              <w:t>5.6%</w:t>
            </w:r>
          </w:p>
        </w:tc>
        <w:tc>
          <w:tcPr>
            <w:tcW w:w="1140" w:type="dxa"/>
            <w:vAlign w:val="center"/>
          </w:tcPr>
          <w:p w14:paraId="29180BD4"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diciembre 2023</w:t>
            </w:r>
          </w:p>
          <w:p w14:paraId="1A8A8BBA" w14:textId="77777777" w:rsidR="007B0095" w:rsidRPr="00C110F2" w:rsidRDefault="007B0095" w:rsidP="00973C72">
            <w:pPr>
              <w:jc w:val="center"/>
              <w:rPr>
                <w:rFonts w:ascii="Times New Roman" w:hAnsi="Times New Roman" w:cs="Times New Roman"/>
                <w:sz w:val="11"/>
                <w:szCs w:val="11"/>
              </w:rPr>
            </w:pPr>
            <w:r w:rsidRPr="00C110F2">
              <w:rPr>
                <w:noProof/>
                <w:sz w:val="11"/>
                <w:szCs w:val="11"/>
              </w:rPr>
              <w:drawing>
                <wp:inline distT="0" distB="0" distL="0" distR="0" wp14:anchorId="02993393" wp14:editId="4A5C4746">
                  <wp:extent cx="76200" cy="63500"/>
                  <wp:effectExtent l="0" t="0" r="0" b="0"/>
                  <wp:docPr id="1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jpg"/>
                          <pic:cNvPicPr/>
                        </pic:nvPicPr>
                        <pic:blipFill>
                          <a:blip r:embed="rId68"/>
                          <a:stretch>
                            <a:fillRect/>
                          </a:stretch>
                        </pic:blipFill>
                        <pic:spPr>
                          <a:xfrm>
                            <a:off x="0" y="0"/>
                            <a:ext cx="76200" cy="63500"/>
                          </a:xfrm>
                          <a:prstGeom prst="rect">
                            <a:avLst/>
                          </a:prstGeom>
                        </pic:spPr>
                      </pic:pic>
                    </a:graphicData>
                  </a:graphic>
                </wp:inline>
              </w:drawing>
            </w:r>
            <w:r w:rsidRPr="00C110F2">
              <w:rPr>
                <w:rFonts w:ascii="Times New Roman" w:hAnsi="Times New Roman" w:cs="Times New Roman"/>
                <w:sz w:val="11"/>
                <w:szCs w:val="11"/>
              </w:rPr>
              <w:t>3.57%</w:t>
            </w:r>
          </w:p>
        </w:tc>
        <w:tc>
          <w:tcPr>
            <w:tcW w:w="1092" w:type="dxa"/>
            <w:vAlign w:val="center"/>
          </w:tcPr>
          <w:p w14:paraId="501F0B87"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octubre 2023</w:t>
            </w:r>
          </w:p>
          <w:p w14:paraId="520A1348" w14:textId="77777777" w:rsidR="007B0095" w:rsidRPr="00C110F2" w:rsidRDefault="007B0095" w:rsidP="00973C72">
            <w:pPr>
              <w:jc w:val="center"/>
              <w:rPr>
                <w:rFonts w:ascii="Times New Roman" w:hAnsi="Times New Roman" w:cs="Times New Roman"/>
                <w:sz w:val="11"/>
                <w:szCs w:val="11"/>
              </w:rPr>
            </w:pPr>
            <w:r w:rsidRPr="00C110F2">
              <w:rPr>
                <w:noProof/>
                <w:sz w:val="11"/>
                <w:szCs w:val="11"/>
              </w:rPr>
              <w:drawing>
                <wp:inline distT="0" distB="0" distL="0" distR="0" wp14:anchorId="51271D1A" wp14:editId="649442AA">
                  <wp:extent cx="76200" cy="63500"/>
                  <wp:effectExtent l="0" t="0" r="0" b="0"/>
                  <wp:docPr id="1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jpg"/>
                          <pic:cNvPicPr/>
                        </pic:nvPicPr>
                        <pic:blipFill>
                          <a:blip r:embed="rId68"/>
                          <a:stretch>
                            <a:fillRect/>
                          </a:stretch>
                        </pic:blipFill>
                        <pic:spPr>
                          <a:xfrm>
                            <a:off x="0" y="0"/>
                            <a:ext cx="76200" cy="63500"/>
                          </a:xfrm>
                          <a:prstGeom prst="rect">
                            <a:avLst/>
                          </a:prstGeom>
                        </pic:spPr>
                      </pic:pic>
                    </a:graphicData>
                  </a:graphic>
                </wp:inline>
              </w:drawing>
            </w:r>
            <w:r w:rsidRPr="00C110F2">
              <w:rPr>
                <w:rFonts w:ascii="Times New Roman" w:hAnsi="Times New Roman" w:cs="Times New Roman"/>
                <w:sz w:val="11"/>
                <w:szCs w:val="11"/>
              </w:rPr>
              <w:t>2.08%</w:t>
            </w:r>
          </w:p>
        </w:tc>
      </w:tr>
      <w:tr w:rsidR="007B0095" w:rsidRPr="00C110F2" w14:paraId="5F18FD3C" w14:textId="77777777" w:rsidTr="00973C72">
        <w:trPr>
          <w:trHeight w:val="292"/>
          <w:jc w:val="center"/>
        </w:trPr>
        <w:tc>
          <w:tcPr>
            <w:tcW w:w="1304" w:type="dxa"/>
            <w:vAlign w:val="center"/>
          </w:tcPr>
          <w:p w14:paraId="7DD6B431" w14:textId="77777777" w:rsidR="007B0095" w:rsidRPr="00C110F2" w:rsidRDefault="007B0095" w:rsidP="00973C72">
            <w:pPr>
              <w:rPr>
                <w:rFonts w:ascii="Times New Roman" w:hAnsi="Times New Roman" w:cs="Times New Roman"/>
                <w:sz w:val="14"/>
                <w:szCs w:val="16"/>
              </w:rPr>
            </w:pPr>
            <w:r w:rsidRPr="00C110F2">
              <w:rPr>
                <w:rFonts w:ascii="Times New Roman" w:hAnsi="Times New Roman" w:cs="Times New Roman"/>
                <w:sz w:val="14"/>
                <w:szCs w:val="16"/>
              </w:rPr>
              <w:t>Tasa de política monetaria</w:t>
            </w:r>
          </w:p>
        </w:tc>
        <w:tc>
          <w:tcPr>
            <w:tcW w:w="1104" w:type="dxa"/>
            <w:vAlign w:val="center"/>
          </w:tcPr>
          <w:p w14:paraId="30CBAD65"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enero 2024</w:t>
            </w:r>
          </w:p>
          <w:p w14:paraId="10C7BD42" w14:textId="77777777" w:rsidR="007B0095" w:rsidRPr="00C110F2" w:rsidRDefault="007B0095" w:rsidP="00973C72">
            <w:pPr>
              <w:jc w:val="center"/>
              <w:rPr>
                <w:rFonts w:ascii="Times New Roman" w:hAnsi="Times New Roman" w:cs="Times New Roman"/>
                <w:sz w:val="11"/>
                <w:szCs w:val="11"/>
              </w:rPr>
            </w:pPr>
            <w:r w:rsidRPr="00C110F2">
              <w:rPr>
                <w:noProof/>
                <w:sz w:val="11"/>
                <w:szCs w:val="11"/>
              </w:rPr>
              <w:drawing>
                <wp:inline distT="0" distB="0" distL="0" distR="0" wp14:anchorId="26CE53E5" wp14:editId="54752D64">
                  <wp:extent cx="57150" cy="57150"/>
                  <wp:effectExtent l="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jpg"/>
                          <pic:cNvPicPr/>
                        </pic:nvPicPr>
                        <pic:blipFill>
                          <a:blip r:embed="rId69"/>
                          <a:stretch>
                            <a:fillRect/>
                          </a:stretch>
                        </pic:blipFill>
                        <pic:spPr>
                          <a:xfrm>
                            <a:off x="0" y="0"/>
                            <a:ext cx="57150" cy="57150"/>
                          </a:xfrm>
                          <a:prstGeom prst="rect">
                            <a:avLst/>
                          </a:prstGeom>
                        </pic:spPr>
                      </pic:pic>
                    </a:graphicData>
                  </a:graphic>
                </wp:inline>
              </w:drawing>
            </w:r>
            <w:r w:rsidRPr="00C110F2">
              <w:rPr>
                <w:rFonts w:ascii="Times New Roman" w:hAnsi="Times New Roman" w:cs="Times New Roman"/>
                <w:sz w:val="11"/>
                <w:szCs w:val="11"/>
              </w:rPr>
              <w:t>6.0%</w:t>
            </w:r>
          </w:p>
        </w:tc>
        <w:tc>
          <w:tcPr>
            <w:tcW w:w="1112" w:type="dxa"/>
            <w:vAlign w:val="center"/>
          </w:tcPr>
          <w:p w14:paraId="59B43DFA"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No aplica</w:t>
            </w:r>
          </w:p>
        </w:tc>
        <w:tc>
          <w:tcPr>
            <w:tcW w:w="1128" w:type="dxa"/>
            <w:vAlign w:val="center"/>
          </w:tcPr>
          <w:p w14:paraId="72BA9814"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enero 2024</w:t>
            </w:r>
          </w:p>
          <w:p w14:paraId="7B69258F" w14:textId="77777777" w:rsidR="007B0095" w:rsidRPr="00C110F2" w:rsidRDefault="007B0095" w:rsidP="00973C72">
            <w:pPr>
              <w:jc w:val="center"/>
              <w:rPr>
                <w:rFonts w:ascii="Times New Roman" w:hAnsi="Times New Roman" w:cs="Times New Roman"/>
                <w:sz w:val="11"/>
                <w:szCs w:val="11"/>
              </w:rPr>
            </w:pPr>
            <w:r w:rsidRPr="00C110F2">
              <w:rPr>
                <w:noProof/>
                <w:sz w:val="11"/>
                <w:szCs w:val="11"/>
              </w:rPr>
              <w:drawing>
                <wp:inline distT="0" distB="0" distL="0" distR="0" wp14:anchorId="2E5B2DD2" wp14:editId="7AF9989E">
                  <wp:extent cx="76200" cy="63500"/>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jpg"/>
                          <pic:cNvPicPr/>
                        </pic:nvPicPr>
                        <pic:blipFill>
                          <a:blip r:embed="rId68"/>
                          <a:stretch>
                            <a:fillRect/>
                          </a:stretch>
                        </pic:blipFill>
                        <pic:spPr>
                          <a:xfrm>
                            <a:off x="0" y="0"/>
                            <a:ext cx="76200" cy="63500"/>
                          </a:xfrm>
                          <a:prstGeom prst="rect">
                            <a:avLst/>
                          </a:prstGeom>
                        </pic:spPr>
                      </pic:pic>
                    </a:graphicData>
                  </a:graphic>
                </wp:inline>
              </w:drawing>
            </w:r>
            <w:r w:rsidRPr="00C110F2">
              <w:rPr>
                <w:rFonts w:ascii="Times New Roman" w:hAnsi="Times New Roman" w:cs="Times New Roman"/>
                <w:sz w:val="11"/>
                <w:szCs w:val="11"/>
              </w:rPr>
              <w:t>5.0%</w:t>
            </w:r>
          </w:p>
        </w:tc>
        <w:tc>
          <w:tcPr>
            <w:tcW w:w="1047" w:type="dxa"/>
            <w:vAlign w:val="center"/>
          </w:tcPr>
          <w:p w14:paraId="0BD2C72E"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enero 2024</w:t>
            </w:r>
          </w:p>
          <w:p w14:paraId="302FD64D" w14:textId="77777777" w:rsidR="007B0095" w:rsidRPr="00C110F2" w:rsidRDefault="007B0095" w:rsidP="00973C72">
            <w:pPr>
              <w:jc w:val="center"/>
              <w:rPr>
                <w:rFonts w:ascii="Times New Roman" w:hAnsi="Times New Roman" w:cs="Times New Roman"/>
                <w:sz w:val="11"/>
                <w:szCs w:val="11"/>
              </w:rPr>
            </w:pPr>
            <w:r w:rsidRPr="00C110F2">
              <w:rPr>
                <w:noProof/>
                <w:sz w:val="11"/>
                <w:szCs w:val="11"/>
              </w:rPr>
              <w:drawing>
                <wp:inline distT="0" distB="0" distL="0" distR="0" wp14:anchorId="5460E29A" wp14:editId="23E21BDE">
                  <wp:extent cx="76200" cy="63500"/>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l.jpg"/>
                          <pic:cNvPicPr/>
                        </pic:nvPicPr>
                        <pic:blipFill>
                          <a:blip r:embed="rId70"/>
                          <a:stretch>
                            <a:fillRect/>
                          </a:stretch>
                        </pic:blipFill>
                        <pic:spPr>
                          <a:xfrm>
                            <a:off x="0" y="0"/>
                            <a:ext cx="76200" cy="63500"/>
                          </a:xfrm>
                          <a:prstGeom prst="rect">
                            <a:avLst/>
                          </a:prstGeom>
                        </pic:spPr>
                      </pic:pic>
                    </a:graphicData>
                  </a:graphic>
                </wp:inline>
              </w:drawing>
            </w:r>
            <w:r w:rsidRPr="00C110F2">
              <w:rPr>
                <w:rFonts w:ascii="Times New Roman" w:hAnsi="Times New Roman" w:cs="Times New Roman"/>
                <w:sz w:val="11"/>
                <w:szCs w:val="11"/>
              </w:rPr>
              <w:t>3.0%</w:t>
            </w:r>
          </w:p>
        </w:tc>
        <w:tc>
          <w:tcPr>
            <w:tcW w:w="1140" w:type="dxa"/>
            <w:vAlign w:val="center"/>
          </w:tcPr>
          <w:p w14:paraId="363D105B"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enero 2024</w:t>
            </w:r>
          </w:p>
          <w:p w14:paraId="5FA9385E" w14:textId="77777777" w:rsidR="007B0095" w:rsidRPr="00C110F2" w:rsidRDefault="007B0095" w:rsidP="00973C72">
            <w:pPr>
              <w:jc w:val="center"/>
              <w:rPr>
                <w:rFonts w:ascii="Times New Roman" w:hAnsi="Times New Roman" w:cs="Times New Roman"/>
                <w:sz w:val="11"/>
                <w:szCs w:val="11"/>
              </w:rPr>
            </w:pPr>
            <w:r w:rsidRPr="00C110F2">
              <w:rPr>
                <w:noProof/>
                <w:sz w:val="11"/>
                <w:szCs w:val="11"/>
              </w:rPr>
              <w:drawing>
                <wp:inline distT="0" distB="0" distL="0" distR="0" wp14:anchorId="3453D908" wp14:editId="0FB9E964">
                  <wp:extent cx="76200" cy="635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l.jpg"/>
                          <pic:cNvPicPr/>
                        </pic:nvPicPr>
                        <pic:blipFill>
                          <a:blip r:embed="rId70"/>
                          <a:stretch>
                            <a:fillRect/>
                          </a:stretch>
                        </pic:blipFill>
                        <pic:spPr>
                          <a:xfrm>
                            <a:off x="0" y="0"/>
                            <a:ext cx="76200" cy="63500"/>
                          </a:xfrm>
                          <a:prstGeom prst="rect">
                            <a:avLst/>
                          </a:prstGeom>
                        </pic:spPr>
                      </pic:pic>
                    </a:graphicData>
                  </a:graphic>
                </wp:inline>
              </w:drawing>
            </w:r>
            <w:r w:rsidRPr="00C110F2">
              <w:rPr>
                <w:rFonts w:ascii="Times New Roman" w:hAnsi="Times New Roman" w:cs="Times New Roman"/>
                <w:sz w:val="11"/>
                <w:szCs w:val="11"/>
              </w:rPr>
              <w:t>7.0%</w:t>
            </w:r>
          </w:p>
        </w:tc>
        <w:tc>
          <w:tcPr>
            <w:tcW w:w="1140" w:type="dxa"/>
            <w:vAlign w:val="center"/>
          </w:tcPr>
          <w:p w14:paraId="79E448A9"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enero 2024</w:t>
            </w:r>
          </w:p>
          <w:p w14:paraId="45C4656B" w14:textId="77777777" w:rsidR="007B0095" w:rsidRPr="00C110F2" w:rsidRDefault="007B0095" w:rsidP="00973C72">
            <w:pPr>
              <w:jc w:val="center"/>
              <w:rPr>
                <w:rFonts w:ascii="Times New Roman" w:hAnsi="Times New Roman" w:cs="Times New Roman"/>
                <w:sz w:val="11"/>
                <w:szCs w:val="11"/>
              </w:rPr>
            </w:pPr>
            <w:r w:rsidRPr="00C110F2">
              <w:rPr>
                <w:noProof/>
                <w:sz w:val="11"/>
                <w:szCs w:val="11"/>
              </w:rPr>
              <w:drawing>
                <wp:inline distT="0" distB="0" distL="0" distR="0" wp14:anchorId="6A3B60DD" wp14:editId="02FFFFB1">
                  <wp:extent cx="57150" cy="5715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jpg"/>
                          <pic:cNvPicPr/>
                        </pic:nvPicPr>
                        <pic:blipFill>
                          <a:blip r:embed="rId69"/>
                          <a:stretch>
                            <a:fillRect/>
                          </a:stretch>
                        </pic:blipFill>
                        <pic:spPr>
                          <a:xfrm>
                            <a:off x="0" y="0"/>
                            <a:ext cx="57150" cy="57150"/>
                          </a:xfrm>
                          <a:prstGeom prst="rect">
                            <a:avLst/>
                          </a:prstGeom>
                        </pic:spPr>
                      </pic:pic>
                    </a:graphicData>
                  </a:graphic>
                </wp:inline>
              </w:drawing>
            </w:r>
            <w:r w:rsidRPr="00C110F2">
              <w:rPr>
                <w:rFonts w:ascii="Times New Roman" w:hAnsi="Times New Roman" w:cs="Times New Roman"/>
                <w:sz w:val="11"/>
                <w:szCs w:val="11"/>
              </w:rPr>
              <w:t>7.0%</w:t>
            </w:r>
          </w:p>
        </w:tc>
        <w:tc>
          <w:tcPr>
            <w:tcW w:w="1092" w:type="dxa"/>
            <w:vAlign w:val="center"/>
          </w:tcPr>
          <w:p w14:paraId="1A73949D"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No aplica</w:t>
            </w:r>
          </w:p>
        </w:tc>
      </w:tr>
      <w:tr w:rsidR="007B0095" w:rsidRPr="00C110F2" w14:paraId="18335848" w14:textId="77777777" w:rsidTr="00973C72">
        <w:trPr>
          <w:trHeight w:val="518"/>
          <w:jc w:val="center"/>
        </w:trPr>
        <w:tc>
          <w:tcPr>
            <w:tcW w:w="1304" w:type="dxa"/>
            <w:vAlign w:val="center"/>
          </w:tcPr>
          <w:p w14:paraId="5CB7DB75" w14:textId="77777777" w:rsidR="007B0095" w:rsidRPr="00C110F2" w:rsidRDefault="007B0095" w:rsidP="00973C72">
            <w:pPr>
              <w:rPr>
                <w:rFonts w:ascii="Times New Roman" w:hAnsi="Times New Roman" w:cs="Times New Roman"/>
                <w:sz w:val="16"/>
                <w:szCs w:val="16"/>
              </w:rPr>
            </w:pPr>
            <w:r w:rsidRPr="00C110F2">
              <w:rPr>
                <w:rFonts w:ascii="Times New Roman" w:hAnsi="Times New Roman" w:cs="Times New Roman"/>
                <w:sz w:val="14"/>
                <w:szCs w:val="16"/>
              </w:rPr>
              <w:t>Exportaciones totales</w:t>
            </w:r>
          </w:p>
        </w:tc>
        <w:tc>
          <w:tcPr>
            <w:tcW w:w="1104" w:type="dxa"/>
            <w:vAlign w:val="center"/>
          </w:tcPr>
          <w:p w14:paraId="146B1097"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agosto 2023</w:t>
            </w:r>
          </w:p>
          <w:p w14:paraId="6A6838B6" w14:textId="77777777" w:rsidR="007B0095" w:rsidRPr="00C110F2" w:rsidRDefault="007B0095" w:rsidP="00973C72">
            <w:pPr>
              <w:jc w:val="center"/>
              <w:rPr>
                <w:rFonts w:ascii="Times New Roman" w:hAnsi="Times New Roman" w:cs="Times New Roman"/>
                <w:sz w:val="11"/>
                <w:szCs w:val="11"/>
              </w:rPr>
            </w:pPr>
            <w:r w:rsidRPr="00C110F2">
              <w:rPr>
                <w:noProof/>
                <w:sz w:val="11"/>
                <w:szCs w:val="11"/>
              </w:rPr>
              <w:drawing>
                <wp:inline distT="0" distB="0" distL="0" distR="0" wp14:anchorId="3200D104" wp14:editId="645F4445">
                  <wp:extent cx="76200" cy="63500"/>
                  <wp:effectExtent l="0" t="0" r="0" b="0"/>
                  <wp:docPr id="1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jpg"/>
                          <pic:cNvPicPr/>
                        </pic:nvPicPr>
                        <pic:blipFill>
                          <a:blip r:embed="rId68"/>
                          <a:stretch>
                            <a:fillRect/>
                          </a:stretch>
                        </pic:blipFill>
                        <pic:spPr>
                          <a:xfrm>
                            <a:off x="0" y="0"/>
                            <a:ext cx="76200" cy="63500"/>
                          </a:xfrm>
                          <a:prstGeom prst="rect">
                            <a:avLst/>
                          </a:prstGeom>
                        </pic:spPr>
                      </pic:pic>
                    </a:graphicData>
                  </a:graphic>
                </wp:inline>
              </w:drawing>
            </w:r>
            <w:r w:rsidRPr="00C110F2">
              <w:rPr>
                <w:rFonts w:ascii="Times New Roman" w:hAnsi="Times New Roman" w:cs="Times New Roman"/>
                <w:sz w:val="11"/>
                <w:szCs w:val="11"/>
              </w:rPr>
              <w:t>17.5%</w:t>
            </w:r>
          </w:p>
          <w:p w14:paraId="3B547F60"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$ 12,020.21</w:t>
            </w:r>
          </w:p>
        </w:tc>
        <w:tc>
          <w:tcPr>
            <w:tcW w:w="1112" w:type="dxa"/>
            <w:vAlign w:val="center"/>
          </w:tcPr>
          <w:p w14:paraId="33A756E0"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octubre 2023</w:t>
            </w:r>
          </w:p>
          <w:p w14:paraId="35BC906A" w14:textId="77777777" w:rsidR="007B0095" w:rsidRPr="00C110F2" w:rsidRDefault="007B0095" w:rsidP="00973C72">
            <w:pPr>
              <w:jc w:val="center"/>
              <w:rPr>
                <w:rFonts w:ascii="Times New Roman" w:hAnsi="Times New Roman" w:cs="Times New Roman"/>
                <w:sz w:val="11"/>
                <w:szCs w:val="11"/>
              </w:rPr>
            </w:pPr>
            <w:r w:rsidRPr="00C110F2">
              <w:rPr>
                <w:noProof/>
                <w:sz w:val="11"/>
                <w:szCs w:val="11"/>
              </w:rPr>
              <w:drawing>
                <wp:inline distT="0" distB="0" distL="0" distR="0" wp14:anchorId="35CAF64A" wp14:editId="46574BF3">
                  <wp:extent cx="57150" cy="57150"/>
                  <wp:effectExtent l="0" t="0" r="0" b="0"/>
                  <wp:docPr id="1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jpg"/>
                          <pic:cNvPicPr/>
                        </pic:nvPicPr>
                        <pic:blipFill>
                          <a:blip r:embed="rId69"/>
                          <a:stretch>
                            <a:fillRect/>
                          </a:stretch>
                        </pic:blipFill>
                        <pic:spPr>
                          <a:xfrm>
                            <a:off x="0" y="0"/>
                            <a:ext cx="57150" cy="57150"/>
                          </a:xfrm>
                          <a:prstGeom prst="rect">
                            <a:avLst/>
                          </a:prstGeom>
                        </pic:spPr>
                      </pic:pic>
                    </a:graphicData>
                  </a:graphic>
                </wp:inline>
              </w:drawing>
            </w:r>
            <w:r w:rsidRPr="00C110F2">
              <w:rPr>
                <w:rFonts w:ascii="Times New Roman" w:hAnsi="Times New Roman" w:cs="Times New Roman"/>
                <w:sz w:val="11"/>
                <w:szCs w:val="11"/>
              </w:rPr>
              <w:t>-9.2%</w:t>
            </w:r>
          </w:p>
          <w:p w14:paraId="1DFCFF76"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$ 5,545.83</w:t>
            </w:r>
          </w:p>
        </w:tc>
        <w:tc>
          <w:tcPr>
            <w:tcW w:w="1128" w:type="dxa"/>
            <w:vAlign w:val="center"/>
          </w:tcPr>
          <w:p w14:paraId="0DE11A40"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noviembre 2023</w:t>
            </w:r>
          </w:p>
          <w:p w14:paraId="0FB8CE90" w14:textId="77777777" w:rsidR="007B0095" w:rsidRPr="00C110F2" w:rsidRDefault="007B0095" w:rsidP="00973C72">
            <w:pPr>
              <w:jc w:val="center"/>
              <w:rPr>
                <w:rFonts w:ascii="Times New Roman" w:hAnsi="Times New Roman" w:cs="Times New Roman"/>
                <w:sz w:val="11"/>
                <w:szCs w:val="11"/>
              </w:rPr>
            </w:pPr>
            <w:r w:rsidRPr="00C110F2">
              <w:rPr>
                <w:noProof/>
                <w:sz w:val="11"/>
                <w:szCs w:val="11"/>
              </w:rPr>
              <w:drawing>
                <wp:inline distT="0" distB="0" distL="0" distR="0" wp14:anchorId="1E0985AB" wp14:editId="6E59A32C">
                  <wp:extent cx="57150" cy="57150"/>
                  <wp:effectExtent l="0" t="0" r="0" b="0"/>
                  <wp:docPr id="1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jpg"/>
                          <pic:cNvPicPr/>
                        </pic:nvPicPr>
                        <pic:blipFill>
                          <a:blip r:embed="rId69"/>
                          <a:stretch>
                            <a:fillRect/>
                          </a:stretch>
                        </pic:blipFill>
                        <pic:spPr>
                          <a:xfrm>
                            <a:off x="0" y="0"/>
                            <a:ext cx="57150" cy="57150"/>
                          </a:xfrm>
                          <a:prstGeom prst="rect">
                            <a:avLst/>
                          </a:prstGeom>
                        </pic:spPr>
                      </pic:pic>
                    </a:graphicData>
                  </a:graphic>
                </wp:inline>
              </w:drawing>
            </w:r>
            <w:r w:rsidRPr="00C110F2">
              <w:rPr>
                <w:rFonts w:ascii="Times New Roman" w:hAnsi="Times New Roman" w:cs="Times New Roman"/>
                <w:sz w:val="11"/>
                <w:szCs w:val="11"/>
              </w:rPr>
              <w:t>-9.3%</w:t>
            </w:r>
          </w:p>
          <w:p w14:paraId="3FD91E77"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$ 13,039.90</w:t>
            </w:r>
          </w:p>
        </w:tc>
        <w:tc>
          <w:tcPr>
            <w:tcW w:w="1047" w:type="dxa"/>
            <w:vAlign w:val="center"/>
          </w:tcPr>
          <w:p w14:paraId="07727EE5"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septiembre 2023</w:t>
            </w:r>
          </w:p>
          <w:p w14:paraId="4E7ACB7E" w14:textId="77777777" w:rsidR="007B0095" w:rsidRPr="00C110F2" w:rsidRDefault="007B0095" w:rsidP="00973C72">
            <w:pPr>
              <w:jc w:val="center"/>
              <w:rPr>
                <w:rFonts w:ascii="Times New Roman" w:hAnsi="Times New Roman" w:cs="Times New Roman"/>
                <w:sz w:val="11"/>
                <w:szCs w:val="11"/>
              </w:rPr>
            </w:pPr>
            <w:r w:rsidRPr="00C110F2">
              <w:rPr>
                <w:noProof/>
                <w:sz w:val="11"/>
                <w:szCs w:val="11"/>
              </w:rPr>
              <w:drawing>
                <wp:inline distT="0" distB="0" distL="0" distR="0" wp14:anchorId="7FD5B5B5" wp14:editId="44A8E228">
                  <wp:extent cx="57150" cy="57150"/>
                  <wp:effectExtent l="0" t="0" r="0" b="0"/>
                  <wp:docPr id="1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jpg"/>
                          <pic:cNvPicPr/>
                        </pic:nvPicPr>
                        <pic:blipFill>
                          <a:blip r:embed="rId69"/>
                          <a:stretch>
                            <a:fillRect/>
                          </a:stretch>
                        </pic:blipFill>
                        <pic:spPr>
                          <a:xfrm>
                            <a:off x="0" y="0"/>
                            <a:ext cx="57150" cy="57150"/>
                          </a:xfrm>
                          <a:prstGeom prst="rect">
                            <a:avLst/>
                          </a:prstGeom>
                        </pic:spPr>
                      </pic:pic>
                    </a:graphicData>
                  </a:graphic>
                </wp:inline>
              </w:drawing>
            </w:r>
            <w:r w:rsidRPr="00C110F2">
              <w:rPr>
                <w:rFonts w:ascii="Times New Roman" w:hAnsi="Times New Roman" w:cs="Times New Roman"/>
                <w:sz w:val="11"/>
                <w:szCs w:val="11"/>
              </w:rPr>
              <w:t>-7.1%</w:t>
            </w:r>
          </w:p>
          <w:p w14:paraId="57DD725F"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$ 8,941.02</w:t>
            </w:r>
          </w:p>
        </w:tc>
        <w:tc>
          <w:tcPr>
            <w:tcW w:w="1140" w:type="dxa"/>
            <w:vAlign w:val="center"/>
          </w:tcPr>
          <w:p w14:paraId="657978EE"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septiembre 2023</w:t>
            </w:r>
          </w:p>
          <w:p w14:paraId="00213B2D" w14:textId="77777777" w:rsidR="007B0095" w:rsidRPr="00C110F2" w:rsidRDefault="007B0095" w:rsidP="00973C72">
            <w:pPr>
              <w:jc w:val="center"/>
              <w:rPr>
                <w:rFonts w:ascii="Times New Roman" w:hAnsi="Times New Roman" w:cs="Times New Roman"/>
                <w:sz w:val="11"/>
                <w:szCs w:val="11"/>
              </w:rPr>
            </w:pPr>
            <w:r w:rsidRPr="00C110F2">
              <w:rPr>
                <w:noProof/>
                <w:sz w:val="11"/>
                <w:szCs w:val="11"/>
              </w:rPr>
              <w:drawing>
                <wp:inline distT="0" distB="0" distL="0" distR="0" wp14:anchorId="1DF8E6AF" wp14:editId="70B68C5B">
                  <wp:extent cx="57150" cy="57150"/>
                  <wp:effectExtent l="0" t="0" r="0" b="0"/>
                  <wp:docPr id="1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jpg"/>
                          <pic:cNvPicPr/>
                        </pic:nvPicPr>
                        <pic:blipFill>
                          <a:blip r:embed="rId69"/>
                          <a:stretch>
                            <a:fillRect/>
                          </a:stretch>
                        </pic:blipFill>
                        <pic:spPr>
                          <a:xfrm>
                            <a:off x="0" y="0"/>
                            <a:ext cx="57150" cy="57150"/>
                          </a:xfrm>
                          <a:prstGeom prst="rect">
                            <a:avLst/>
                          </a:prstGeom>
                        </pic:spPr>
                      </pic:pic>
                    </a:graphicData>
                  </a:graphic>
                </wp:inline>
              </w:drawing>
            </w:r>
            <w:r w:rsidRPr="00C110F2">
              <w:rPr>
                <w:rFonts w:ascii="Times New Roman" w:hAnsi="Times New Roman" w:cs="Times New Roman"/>
                <w:sz w:val="11"/>
                <w:szCs w:val="11"/>
              </w:rPr>
              <w:t>-2.3%</w:t>
            </w:r>
          </w:p>
          <w:p w14:paraId="15E7D25D"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$ 5,879.15</w:t>
            </w:r>
          </w:p>
        </w:tc>
        <w:tc>
          <w:tcPr>
            <w:tcW w:w="1140" w:type="dxa"/>
            <w:vAlign w:val="center"/>
          </w:tcPr>
          <w:p w14:paraId="797E0948"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junio 2023</w:t>
            </w:r>
          </w:p>
          <w:p w14:paraId="73371302" w14:textId="77777777" w:rsidR="007B0095" w:rsidRPr="00C110F2" w:rsidRDefault="007B0095" w:rsidP="00973C72">
            <w:pPr>
              <w:jc w:val="center"/>
              <w:rPr>
                <w:rFonts w:ascii="Times New Roman" w:hAnsi="Times New Roman" w:cs="Times New Roman"/>
                <w:sz w:val="11"/>
                <w:szCs w:val="11"/>
              </w:rPr>
            </w:pPr>
            <w:r w:rsidRPr="00C110F2">
              <w:rPr>
                <w:noProof/>
                <w:sz w:val="11"/>
                <w:szCs w:val="11"/>
              </w:rPr>
              <w:drawing>
                <wp:inline distT="0" distB="0" distL="0" distR="0" wp14:anchorId="26337586" wp14:editId="1F304FE7">
                  <wp:extent cx="76200" cy="63500"/>
                  <wp:effectExtent l="0" t="0" r="0" b="0"/>
                  <wp:docPr id="1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jpg"/>
                          <pic:cNvPicPr/>
                        </pic:nvPicPr>
                        <pic:blipFill>
                          <a:blip r:embed="rId68"/>
                          <a:stretch>
                            <a:fillRect/>
                          </a:stretch>
                        </pic:blipFill>
                        <pic:spPr>
                          <a:xfrm>
                            <a:off x="0" y="0"/>
                            <a:ext cx="76200" cy="63500"/>
                          </a:xfrm>
                          <a:prstGeom prst="rect">
                            <a:avLst/>
                          </a:prstGeom>
                        </pic:spPr>
                      </pic:pic>
                    </a:graphicData>
                  </a:graphic>
                </wp:inline>
              </w:drawing>
            </w:r>
            <w:r w:rsidRPr="00C110F2">
              <w:rPr>
                <w:rFonts w:ascii="Times New Roman" w:hAnsi="Times New Roman" w:cs="Times New Roman"/>
                <w:sz w:val="11"/>
                <w:szCs w:val="11"/>
              </w:rPr>
              <w:t>-4.6%</w:t>
            </w:r>
          </w:p>
          <w:p w14:paraId="22E12FE3"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$ 6,677.2</w:t>
            </w:r>
          </w:p>
        </w:tc>
        <w:tc>
          <w:tcPr>
            <w:tcW w:w="1092" w:type="dxa"/>
            <w:vAlign w:val="center"/>
          </w:tcPr>
          <w:p w14:paraId="33F6CA31"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septiembre 2023</w:t>
            </w:r>
          </w:p>
          <w:p w14:paraId="1DB79285" w14:textId="77777777" w:rsidR="007B0095" w:rsidRPr="00C110F2" w:rsidRDefault="007B0095" w:rsidP="00973C72">
            <w:pPr>
              <w:jc w:val="center"/>
              <w:rPr>
                <w:rFonts w:ascii="Times New Roman" w:hAnsi="Times New Roman" w:cs="Times New Roman"/>
                <w:sz w:val="11"/>
                <w:szCs w:val="11"/>
              </w:rPr>
            </w:pPr>
            <w:r w:rsidRPr="00C110F2">
              <w:rPr>
                <w:noProof/>
                <w:sz w:val="11"/>
                <w:szCs w:val="11"/>
              </w:rPr>
              <w:drawing>
                <wp:inline distT="0" distB="0" distL="0" distR="0" wp14:anchorId="1B760991" wp14:editId="1A59BF71">
                  <wp:extent cx="76200" cy="63500"/>
                  <wp:effectExtent l="0" t="0" r="0" b="0"/>
                  <wp:docPr id="1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jpg"/>
                          <pic:cNvPicPr/>
                        </pic:nvPicPr>
                        <pic:blipFill>
                          <a:blip r:embed="rId68"/>
                          <a:stretch>
                            <a:fillRect/>
                          </a:stretch>
                        </pic:blipFill>
                        <pic:spPr>
                          <a:xfrm>
                            <a:off x="0" y="0"/>
                            <a:ext cx="76200" cy="63500"/>
                          </a:xfrm>
                          <a:prstGeom prst="rect">
                            <a:avLst/>
                          </a:prstGeom>
                        </pic:spPr>
                      </pic:pic>
                    </a:graphicData>
                  </a:graphic>
                </wp:inline>
              </w:drawing>
            </w:r>
            <w:r w:rsidRPr="00C110F2">
              <w:rPr>
                <w:rFonts w:ascii="Times New Roman" w:hAnsi="Times New Roman" w:cs="Times New Roman"/>
                <w:sz w:val="11"/>
                <w:szCs w:val="11"/>
              </w:rPr>
              <w:t>9.8%</w:t>
            </w:r>
          </w:p>
          <w:p w14:paraId="267CAE31"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$ 12,395.49</w:t>
            </w:r>
          </w:p>
        </w:tc>
      </w:tr>
      <w:tr w:rsidR="007B0095" w:rsidRPr="00C110F2" w14:paraId="4CA3DA70" w14:textId="77777777" w:rsidTr="00973C72">
        <w:trPr>
          <w:trHeight w:val="508"/>
          <w:jc w:val="center"/>
        </w:trPr>
        <w:tc>
          <w:tcPr>
            <w:tcW w:w="1304" w:type="dxa"/>
            <w:vAlign w:val="center"/>
          </w:tcPr>
          <w:p w14:paraId="04CE8AC4" w14:textId="77777777" w:rsidR="007B0095" w:rsidRPr="00C110F2" w:rsidRDefault="007B0095" w:rsidP="00973C72">
            <w:pPr>
              <w:rPr>
                <w:rFonts w:ascii="Times New Roman" w:hAnsi="Times New Roman" w:cs="Times New Roman"/>
                <w:sz w:val="16"/>
                <w:szCs w:val="16"/>
              </w:rPr>
            </w:pPr>
            <w:r w:rsidRPr="00C110F2">
              <w:rPr>
                <w:rFonts w:ascii="Times New Roman" w:hAnsi="Times New Roman" w:cs="Times New Roman"/>
                <w:sz w:val="14"/>
                <w:szCs w:val="16"/>
              </w:rPr>
              <w:t>Importaciones totales</w:t>
            </w:r>
          </w:p>
        </w:tc>
        <w:tc>
          <w:tcPr>
            <w:tcW w:w="1104" w:type="dxa"/>
            <w:vAlign w:val="center"/>
          </w:tcPr>
          <w:p w14:paraId="02AE350F"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agosto 2023</w:t>
            </w:r>
          </w:p>
          <w:p w14:paraId="7036283C" w14:textId="77777777" w:rsidR="007B0095" w:rsidRPr="00C110F2" w:rsidRDefault="007B0095" w:rsidP="00973C72">
            <w:pPr>
              <w:jc w:val="center"/>
              <w:rPr>
                <w:rFonts w:ascii="Times New Roman" w:hAnsi="Times New Roman" w:cs="Times New Roman"/>
                <w:sz w:val="11"/>
                <w:szCs w:val="11"/>
              </w:rPr>
            </w:pPr>
            <w:r w:rsidRPr="00C110F2">
              <w:rPr>
                <w:noProof/>
                <w:sz w:val="11"/>
                <w:szCs w:val="11"/>
              </w:rPr>
              <w:drawing>
                <wp:inline distT="0" distB="0" distL="0" distR="0" wp14:anchorId="00121BA2" wp14:editId="51BAD790">
                  <wp:extent cx="76200" cy="63500"/>
                  <wp:effectExtent l="0" t="0" r="0" b="0"/>
                  <wp:docPr id="1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jpg"/>
                          <pic:cNvPicPr/>
                        </pic:nvPicPr>
                        <pic:blipFill>
                          <a:blip r:embed="rId68"/>
                          <a:stretch>
                            <a:fillRect/>
                          </a:stretch>
                        </pic:blipFill>
                        <pic:spPr>
                          <a:xfrm>
                            <a:off x="0" y="0"/>
                            <a:ext cx="76200" cy="63500"/>
                          </a:xfrm>
                          <a:prstGeom prst="rect">
                            <a:avLst/>
                          </a:prstGeom>
                        </pic:spPr>
                      </pic:pic>
                    </a:graphicData>
                  </a:graphic>
                </wp:inline>
              </w:drawing>
            </w:r>
            <w:r w:rsidRPr="00C110F2">
              <w:rPr>
                <w:rFonts w:ascii="Times New Roman" w:hAnsi="Times New Roman" w:cs="Times New Roman"/>
                <w:sz w:val="11"/>
                <w:szCs w:val="11"/>
              </w:rPr>
              <w:t>7.2%</w:t>
            </w:r>
          </w:p>
          <w:p w14:paraId="68B270F2"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$ 14,863.01</w:t>
            </w:r>
          </w:p>
        </w:tc>
        <w:tc>
          <w:tcPr>
            <w:tcW w:w="1112" w:type="dxa"/>
            <w:vAlign w:val="center"/>
          </w:tcPr>
          <w:p w14:paraId="20A3DB18"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octubre 2023</w:t>
            </w:r>
          </w:p>
          <w:p w14:paraId="4918DFC4" w14:textId="77777777" w:rsidR="007B0095" w:rsidRPr="00C110F2" w:rsidRDefault="007B0095" w:rsidP="00973C72">
            <w:pPr>
              <w:jc w:val="center"/>
              <w:rPr>
                <w:rFonts w:ascii="Times New Roman" w:hAnsi="Times New Roman" w:cs="Times New Roman"/>
                <w:sz w:val="11"/>
                <w:szCs w:val="11"/>
              </w:rPr>
            </w:pPr>
            <w:r w:rsidRPr="00C110F2">
              <w:rPr>
                <w:noProof/>
                <w:sz w:val="11"/>
                <w:szCs w:val="11"/>
              </w:rPr>
              <w:drawing>
                <wp:inline distT="0" distB="0" distL="0" distR="0" wp14:anchorId="07EC949F" wp14:editId="1A0E48B1">
                  <wp:extent cx="76200" cy="63500"/>
                  <wp:effectExtent l="0" t="0" r="0" b="0"/>
                  <wp:docPr id="1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jpg"/>
                          <pic:cNvPicPr/>
                        </pic:nvPicPr>
                        <pic:blipFill>
                          <a:blip r:embed="rId68"/>
                          <a:stretch>
                            <a:fillRect/>
                          </a:stretch>
                        </pic:blipFill>
                        <pic:spPr>
                          <a:xfrm>
                            <a:off x="0" y="0"/>
                            <a:ext cx="76200" cy="63500"/>
                          </a:xfrm>
                          <a:prstGeom prst="rect">
                            <a:avLst/>
                          </a:prstGeom>
                        </pic:spPr>
                      </pic:pic>
                    </a:graphicData>
                  </a:graphic>
                </wp:inline>
              </w:drawing>
            </w:r>
            <w:r w:rsidRPr="00C110F2">
              <w:rPr>
                <w:rFonts w:ascii="Times New Roman" w:hAnsi="Times New Roman" w:cs="Times New Roman"/>
                <w:sz w:val="11"/>
                <w:szCs w:val="11"/>
              </w:rPr>
              <w:t>-9.3%</w:t>
            </w:r>
          </w:p>
          <w:p w14:paraId="5A4D36F2"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$ 13,079.22</w:t>
            </w:r>
          </w:p>
        </w:tc>
        <w:tc>
          <w:tcPr>
            <w:tcW w:w="1128" w:type="dxa"/>
            <w:vAlign w:val="center"/>
          </w:tcPr>
          <w:p w14:paraId="5F41CC76"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noviembre 2023</w:t>
            </w:r>
          </w:p>
          <w:p w14:paraId="7A4DAFF1" w14:textId="77777777" w:rsidR="007B0095" w:rsidRPr="00C110F2" w:rsidRDefault="007B0095" w:rsidP="00973C72">
            <w:pPr>
              <w:jc w:val="center"/>
              <w:rPr>
                <w:rFonts w:ascii="Times New Roman" w:hAnsi="Times New Roman" w:cs="Times New Roman"/>
                <w:sz w:val="11"/>
                <w:szCs w:val="11"/>
              </w:rPr>
            </w:pPr>
            <w:r w:rsidRPr="00C110F2">
              <w:rPr>
                <w:noProof/>
                <w:sz w:val="11"/>
                <w:szCs w:val="11"/>
              </w:rPr>
              <w:drawing>
                <wp:inline distT="0" distB="0" distL="0" distR="0" wp14:anchorId="3107793B" wp14:editId="06C2987D">
                  <wp:extent cx="57150" cy="57150"/>
                  <wp:effectExtent l="0" t="0" r="0" b="0"/>
                  <wp:docPr id="1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jpg"/>
                          <pic:cNvPicPr/>
                        </pic:nvPicPr>
                        <pic:blipFill>
                          <a:blip r:embed="rId69"/>
                          <a:stretch>
                            <a:fillRect/>
                          </a:stretch>
                        </pic:blipFill>
                        <pic:spPr>
                          <a:xfrm>
                            <a:off x="0" y="0"/>
                            <a:ext cx="57150" cy="57150"/>
                          </a:xfrm>
                          <a:prstGeom prst="rect">
                            <a:avLst/>
                          </a:prstGeom>
                        </pic:spPr>
                      </pic:pic>
                    </a:graphicData>
                  </a:graphic>
                </wp:inline>
              </w:drawing>
            </w:r>
            <w:r w:rsidRPr="00C110F2">
              <w:rPr>
                <w:rFonts w:ascii="Times New Roman" w:hAnsi="Times New Roman" w:cs="Times New Roman"/>
                <w:sz w:val="11"/>
                <w:szCs w:val="11"/>
              </w:rPr>
              <w:t>-6.1%</w:t>
            </w:r>
          </w:p>
          <w:p w14:paraId="1163B208"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$ 27,899.50</w:t>
            </w:r>
          </w:p>
        </w:tc>
        <w:tc>
          <w:tcPr>
            <w:tcW w:w="1047" w:type="dxa"/>
            <w:vAlign w:val="center"/>
          </w:tcPr>
          <w:p w14:paraId="38B18B96"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septiembre 2023</w:t>
            </w:r>
          </w:p>
          <w:p w14:paraId="0E44D98E" w14:textId="77777777" w:rsidR="007B0095" w:rsidRPr="00C110F2" w:rsidRDefault="007B0095" w:rsidP="00973C72">
            <w:pPr>
              <w:jc w:val="center"/>
              <w:rPr>
                <w:rFonts w:ascii="Times New Roman" w:hAnsi="Times New Roman" w:cs="Times New Roman"/>
                <w:sz w:val="11"/>
                <w:szCs w:val="11"/>
              </w:rPr>
            </w:pPr>
            <w:r w:rsidRPr="00C110F2">
              <w:rPr>
                <w:noProof/>
                <w:sz w:val="11"/>
                <w:szCs w:val="11"/>
              </w:rPr>
              <w:drawing>
                <wp:inline distT="0" distB="0" distL="0" distR="0" wp14:anchorId="7260B4E5" wp14:editId="0308ABF5">
                  <wp:extent cx="57150" cy="57150"/>
                  <wp:effectExtent l="0" t="0" r="0" b="0"/>
                  <wp:docPr id="1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jpg"/>
                          <pic:cNvPicPr/>
                        </pic:nvPicPr>
                        <pic:blipFill>
                          <a:blip r:embed="rId69"/>
                          <a:stretch>
                            <a:fillRect/>
                          </a:stretch>
                        </pic:blipFill>
                        <pic:spPr>
                          <a:xfrm>
                            <a:off x="0" y="0"/>
                            <a:ext cx="57150" cy="57150"/>
                          </a:xfrm>
                          <a:prstGeom prst="rect">
                            <a:avLst/>
                          </a:prstGeom>
                        </pic:spPr>
                      </pic:pic>
                    </a:graphicData>
                  </a:graphic>
                </wp:inline>
              </w:drawing>
            </w:r>
            <w:r w:rsidRPr="00C110F2">
              <w:rPr>
                <w:rFonts w:ascii="Times New Roman" w:hAnsi="Times New Roman" w:cs="Times New Roman"/>
                <w:sz w:val="11"/>
                <w:szCs w:val="11"/>
              </w:rPr>
              <w:t>-7.9%</w:t>
            </w:r>
          </w:p>
          <w:p w14:paraId="025ACAD2"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$ 14,561.26</w:t>
            </w:r>
          </w:p>
        </w:tc>
        <w:tc>
          <w:tcPr>
            <w:tcW w:w="1140" w:type="dxa"/>
            <w:vAlign w:val="center"/>
          </w:tcPr>
          <w:p w14:paraId="70239089"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septiembre 2023</w:t>
            </w:r>
          </w:p>
          <w:p w14:paraId="1F6CC518" w14:textId="77777777" w:rsidR="007B0095" w:rsidRPr="00C110F2" w:rsidRDefault="007B0095" w:rsidP="00973C72">
            <w:pPr>
              <w:jc w:val="center"/>
              <w:rPr>
                <w:rFonts w:ascii="Times New Roman" w:hAnsi="Times New Roman" w:cs="Times New Roman"/>
                <w:sz w:val="11"/>
                <w:szCs w:val="11"/>
              </w:rPr>
            </w:pPr>
            <w:r w:rsidRPr="00C110F2">
              <w:rPr>
                <w:noProof/>
                <w:sz w:val="11"/>
                <w:szCs w:val="11"/>
              </w:rPr>
              <w:drawing>
                <wp:inline distT="0" distB="0" distL="0" distR="0" wp14:anchorId="7EB985BB" wp14:editId="2E4C4BD3">
                  <wp:extent cx="57150" cy="57150"/>
                  <wp:effectExtent l="0" t="0" r="0" b="0"/>
                  <wp:docPr id="1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jpg"/>
                          <pic:cNvPicPr/>
                        </pic:nvPicPr>
                        <pic:blipFill>
                          <a:blip r:embed="rId69"/>
                          <a:stretch>
                            <a:fillRect/>
                          </a:stretch>
                        </pic:blipFill>
                        <pic:spPr>
                          <a:xfrm>
                            <a:off x="0" y="0"/>
                            <a:ext cx="57150" cy="57150"/>
                          </a:xfrm>
                          <a:prstGeom prst="rect">
                            <a:avLst/>
                          </a:prstGeom>
                        </pic:spPr>
                      </pic:pic>
                    </a:graphicData>
                  </a:graphic>
                </wp:inline>
              </w:drawing>
            </w:r>
            <w:r w:rsidRPr="00C110F2">
              <w:rPr>
                <w:rFonts w:ascii="Times New Roman" w:hAnsi="Times New Roman" w:cs="Times New Roman"/>
                <w:sz w:val="11"/>
                <w:szCs w:val="11"/>
              </w:rPr>
              <w:t>-3.5%</w:t>
            </w:r>
          </w:p>
          <w:p w14:paraId="2AD1F4B9"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$ 7,343.55</w:t>
            </w:r>
          </w:p>
        </w:tc>
        <w:tc>
          <w:tcPr>
            <w:tcW w:w="1140" w:type="dxa"/>
            <w:vAlign w:val="center"/>
          </w:tcPr>
          <w:p w14:paraId="53A6303A"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junio 2023</w:t>
            </w:r>
          </w:p>
          <w:p w14:paraId="299504CD" w14:textId="77777777" w:rsidR="007B0095" w:rsidRPr="00C110F2" w:rsidRDefault="007B0095" w:rsidP="00973C72">
            <w:pPr>
              <w:jc w:val="center"/>
              <w:rPr>
                <w:rFonts w:ascii="Times New Roman" w:hAnsi="Times New Roman" w:cs="Times New Roman"/>
                <w:sz w:val="11"/>
                <w:szCs w:val="11"/>
              </w:rPr>
            </w:pPr>
            <w:r w:rsidRPr="00C110F2">
              <w:rPr>
                <w:noProof/>
                <w:sz w:val="11"/>
                <w:szCs w:val="11"/>
              </w:rPr>
              <w:drawing>
                <wp:inline distT="0" distB="0" distL="0" distR="0" wp14:anchorId="4005B5FE" wp14:editId="3623B108">
                  <wp:extent cx="57150" cy="57150"/>
                  <wp:effectExtent l="0" t="0" r="0" b="0"/>
                  <wp:docPr id="1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jpg"/>
                          <pic:cNvPicPr/>
                        </pic:nvPicPr>
                        <pic:blipFill>
                          <a:blip r:embed="rId69"/>
                          <a:stretch>
                            <a:fillRect/>
                          </a:stretch>
                        </pic:blipFill>
                        <pic:spPr>
                          <a:xfrm>
                            <a:off x="0" y="0"/>
                            <a:ext cx="57150" cy="57150"/>
                          </a:xfrm>
                          <a:prstGeom prst="rect">
                            <a:avLst/>
                          </a:prstGeom>
                        </pic:spPr>
                      </pic:pic>
                    </a:graphicData>
                  </a:graphic>
                </wp:inline>
              </w:drawing>
            </w:r>
            <w:r w:rsidRPr="00C110F2">
              <w:rPr>
                <w:rFonts w:ascii="Times New Roman" w:hAnsi="Times New Roman" w:cs="Times New Roman"/>
                <w:sz w:val="11"/>
                <w:szCs w:val="11"/>
              </w:rPr>
              <w:t>-6.1%</w:t>
            </w:r>
          </w:p>
          <w:p w14:paraId="54E5FD3F"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$ 14,052.5</w:t>
            </w:r>
          </w:p>
        </w:tc>
        <w:tc>
          <w:tcPr>
            <w:tcW w:w="1092" w:type="dxa"/>
            <w:vAlign w:val="center"/>
          </w:tcPr>
          <w:p w14:paraId="16312C63"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septiembre 2023</w:t>
            </w:r>
          </w:p>
          <w:p w14:paraId="778084EA" w14:textId="77777777" w:rsidR="007B0095" w:rsidRPr="00C110F2" w:rsidRDefault="007B0095" w:rsidP="00973C72">
            <w:pPr>
              <w:jc w:val="center"/>
              <w:rPr>
                <w:rFonts w:ascii="Times New Roman" w:hAnsi="Times New Roman" w:cs="Times New Roman"/>
                <w:sz w:val="11"/>
                <w:szCs w:val="11"/>
              </w:rPr>
            </w:pPr>
            <w:r w:rsidRPr="00C110F2">
              <w:rPr>
                <w:noProof/>
                <w:sz w:val="11"/>
                <w:szCs w:val="11"/>
              </w:rPr>
              <w:drawing>
                <wp:inline distT="0" distB="0" distL="0" distR="0" wp14:anchorId="124B5EFE" wp14:editId="7087FD01">
                  <wp:extent cx="76200" cy="63500"/>
                  <wp:effectExtent l="0" t="0" r="0" b="0"/>
                  <wp:docPr id="1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jpg"/>
                          <pic:cNvPicPr/>
                        </pic:nvPicPr>
                        <pic:blipFill>
                          <a:blip r:embed="rId68"/>
                          <a:stretch>
                            <a:fillRect/>
                          </a:stretch>
                        </pic:blipFill>
                        <pic:spPr>
                          <a:xfrm>
                            <a:off x="0" y="0"/>
                            <a:ext cx="76200" cy="63500"/>
                          </a:xfrm>
                          <a:prstGeom prst="rect">
                            <a:avLst/>
                          </a:prstGeom>
                        </pic:spPr>
                      </pic:pic>
                    </a:graphicData>
                  </a:graphic>
                </wp:inline>
              </w:drawing>
            </w:r>
            <w:r w:rsidRPr="00C110F2">
              <w:rPr>
                <w:rFonts w:ascii="Times New Roman" w:hAnsi="Times New Roman" w:cs="Times New Roman"/>
                <w:sz w:val="11"/>
                <w:szCs w:val="11"/>
              </w:rPr>
              <w:t>16.6%</w:t>
            </w:r>
          </w:p>
          <w:p w14:paraId="1877F2A1"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$ 25,942.21</w:t>
            </w:r>
          </w:p>
        </w:tc>
      </w:tr>
      <w:tr w:rsidR="007B0095" w:rsidRPr="00C110F2" w14:paraId="537306AD" w14:textId="77777777" w:rsidTr="00973C72">
        <w:trPr>
          <w:trHeight w:val="388"/>
          <w:jc w:val="center"/>
        </w:trPr>
        <w:tc>
          <w:tcPr>
            <w:tcW w:w="1304" w:type="dxa"/>
            <w:vAlign w:val="center"/>
          </w:tcPr>
          <w:p w14:paraId="44FFCD42" w14:textId="77777777" w:rsidR="007B0095" w:rsidRPr="00C110F2" w:rsidRDefault="007B0095" w:rsidP="00973C72">
            <w:pPr>
              <w:rPr>
                <w:rFonts w:ascii="Times New Roman" w:hAnsi="Times New Roman" w:cs="Times New Roman"/>
                <w:sz w:val="16"/>
                <w:szCs w:val="16"/>
              </w:rPr>
            </w:pPr>
            <w:r w:rsidRPr="00C110F2">
              <w:rPr>
                <w:rFonts w:ascii="Times New Roman" w:hAnsi="Times New Roman" w:cs="Times New Roman"/>
                <w:sz w:val="14"/>
                <w:szCs w:val="16"/>
              </w:rPr>
              <w:t xml:space="preserve"> Tipo de cambio de venta fin de mes</w:t>
            </w:r>
          </w:p>
        </w:tc>
        <w:tc>
          <w:tcPr>
            <w:tcW w:w="1104" w:type="dxa"/>
            <w:vAlign w:val="center"/>
          </w:tcPr>
          <w:p w14:paraId="24723D43"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diciembre 2023</w:t>
            </w:r>
          </w:p>
          <w:p w14:paraId="4DA4F67A" w14:textId="77777777" w:rsidR="007B0095" w:rsidRPr="00C110F2" w:rsidRDefault="007B0095" w:rsidP="00973C72">
            <w:pPr>
              <w:jc w:val="center"/>
              <w:rPr>
                <w:rFonts w:ascii="Times New Roman" w:hAnsi="Times New Roman" w:cs="Times New Roman"/>
                <w:sz w:val="11"/>
                <w:szCs w:val="11"/>
              </w:rPr>
            </w:pPr>
            <w:r w:rsidRPr="00C110F2">
              <w:rPr>
                <w:noProof/>
                <w:sz w:val="11"/>
                <w:szCs w:val="11"/>
              </w:rPr>
              <w:drawing>
                <wp:inline distT="0" distB="0" distL="0" distR="0" wp14:anchorId="2C01FB30" wp14:editId="630E2299">
                  <wp:extent cx="57150" cy="57150"/>
                  <wp:effectExtent l="0" t="0" r="0" b="0"/>
                  <wp:docPr id="1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jpg"/>
                          <pic:cNvPicPr/>
                        </pic:nvPicPr>
                        <pic:blipFill>
                          <a:blip r:embed="rId69"/>
                          <a:stretch>
                            <a:fillRect/>
                          </a:stretch>
                        </pic:blipFill>
                        <pic:spPr>
                          <a:xfrm>
                            <a:off x="0" y="0"/>
                            <a:ext cx="57150" cy="57150"/>
                          </a:xfrm>
                          <a:prstGeom prst="rect">
                            <a:avLst/>
                          </a:prstGeom>
                        </pic:spPr>
                      </pic:pic>
                    </a:graphicData>
                  </a:graphic>
                </wp:inline>
              </w:drawing>
            </w:r>
            <w:r w:rsidRPr="00C110F2">
              <w:rPr>
                <w:rFonts w:ascii="Times New Roman" w:hAnsi="Times New Roman" w:cs="Times New Roman"/>
                <w:sz w:val="11"/>
                <w:szCs w:val="11"/>
              </w:rPr>
              <w:t>526.88</w:t>
            </w:r>
          </w:p>
        </w:tc>
        <w:tc>
          <w:tcPr>
            <w:tcW w:w="1112" w:type="dxa"/>
            <w:vAlign w:val="center"/>
          </w:tcPr>
          <w:p w14:paraId="4C907691"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enero 2024</w:t>
            </w:r>
          </w:p>
          <w:p w14:paraId="5D21871E" w14:textId="3609BCA1" w:rsidR="007B0095" w:rsidRPr="00C110F2" w:rsidRDefault="007B0095" w:rsidP="00973C72">
            <w:pPr>
              <w:jc w:val="center"/>
              <w:rPr>
                <w:rFonts w:ascii="Times New Roman" w:hAnsi="Times New Roman" w:cs="Times New Roman"/>
                <w:sz w:val="11"/>
                <w:szCs w:val="11"/>
              </w:rPr>
            </w:pPr>
            <w:r>
              <w:rPr>
                <w:noProof/>
                <w:sz w:val="11"/>
                <w:szCs w:val="11"/>
              </w:rPr>
              <w:drawing>
                <wp:inline distT="0" distB="0" distL="0" distR="0" wp14:anchorId="3F37F4AF" wp14:editId="0EBE4FD8">
                  <wp:extent cx="79375" cy="635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C110F2">
              <w:rPr>
                <w:rFonts w:ascii="Times New Roman" w:hAnsi="Times New Roman" w:cs="Times New Roman"/>
                <w:sz w:val="11"/>
                <w:szCs w:val="11"/>
              </w:rPr>
              <w:t xml:space="preserve">           1.0</w:t>
            </w:r>
          </w:p>
        </w:tc>
        <w:tc>
          <w:tcPr>
            <w:tcW w:w="1128" w:type="dxa"/>
            <w:vAlign w:val="center"/>
          </w:tcPr>
          <w:p w14:paraId="6A49800F"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noviembre 2023</w:t>
            </w:r>
          </w:p>
          <w:p w14:paraId="20C2AA73" w14:textId="77777777" w:rsidR="007B0095" w:rsidRPr="00C110F2" w:rsidRDefault="007B0095" w:rsidP="00973C72">
            <w:pPr>
              <w:jc w:val="center"/>
              <w:rPr>
                <w:rFonts w:ascii="Times New Roman" w:hAnsi="Times New Roman" w:cs="Times New Roman"/>
                <w:sz w:val="11"/>
                <w:szCs w:val="11"/>
              </w:rPr>
            </w:pPr>
            <w:r w:rsidRPr="00C110F2">
              <w:rPr>
                <w:noProof/>
                <w:sz w:val="11"/>
                <w:szCs w:val="11"/>
              </w:rPr>
              <w:drawing>
                <wp:inline distT="0" distB="0" distL="0" distR="0" wp14:anchorId="30523055" wp14:editId="5C15042B">
                  <wp:extent cx="57150" cy="57150"/>
                  <wp:effectExtent l="0" t="0" r="0" b="0"/>
                  <wp:docPr id="1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jpg"/>
                          <pic:cNvPicPr/>
                        </pic:nvPicPr>
                        <pic:blipFill>
                          <a:blip r:embed="rId69"/>
                          <a:stretch>
                            <a:fillRect/>
                          </a:stretch>
                        </pic:blipFill>
                        <pic:spPr>
                          <a:xfrm>
                            <a:off x="0" y="0"/>
                            <a:ext cx="57150" cy="57150"/>
                          </a:xfrm>
                          <a:prstGeom prst="rect">
                            <a:avLst/>
                          </a:prstGeom>
                        </pic:spPr>
                      </pic:pic>
                    </a:graphicData>
                  </a:graphic>
                </wp:inline>
              </w:drawing>
            </w:r>
            <w:r w:rsidRPr="00C110F2">
              <w:rPr>
                <w:rFonts w:ascii="Times New Roman" w:hAnsi="Times New Roman" w:cs="Times New Roman"/>
                <w:sz w:val="11"/>
                <w:szCs w:val="11"/>
              </w:rPr>
              <w:t>7.85</w:t>
            </w:r>
          </w:p>
        </w:tc>
        <w:tc>
          <w:tcPr>
            <w:tcW w:w="1047" w:type="dxa"/>
            <w:vAlign w:val="center"/>
          </w:tcPr>
          <w:p w14:paraId="6711BFF0"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diciembre 2023</w:t>
            </w:r>
          </w:p>
          <w:p w14:paraId="2EFD42F0" w14:textId="77777777" w:rsidR="007B0095" w:rsidRPr="00C110F2" w:rsidRDefault="007B0095" w:rsidP="00973C72">
            <w:pPr>
              <w:jc w:val="center"/>
              <w:rPr>
                <w:rFonts w:ascii="Times New Roman" w:hAnsi="Times New Roman" w:cs="Times New Roman"/>
                <w:sz w:val="11"/>
                <w:szCs w:val="11"/>
              </w:rPr>
            </w:pPr>
            <w:r w:rsidRPr="00C110F2">
              <w:rPr>
                <w:noProof/>
                <w:sz w:val="11"/>
                <w:szCs w:val="11"/>
              </w:rPr>
              <w:drawing>
                <wp:inline distT="0" distB="0" distL="0" distR="0" wp14:anchorId="2D4DD6EA" wp14:editId="1E3A9B10">
                  <wp:extent cx="76200" cy="63500"/>
                  <wp:effectExtent l="0" t="0" r="0" b="0"/>
                  <wp:docPr id="1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jpg"/>
                          <pic:cNvPicPr/>
                        </pic:nvPicPr>
                        <pic:blipFill>
                          <a:blip r:embed="rId68"/>
                          <a:stretch>
                            <a:fillRect/>
                          </a:stretch>
                        </pic:blipFill>
                        <pic:spPr>
                          <a:xfrm>
                            <a:off x="0" y="0"/>
                            <a:ext cx="76200" cy="63500"/>
                          </a:xfrm>
                          <a:prstGeom prst="rect">
                            <a:avLst/>
                          </a:prstGeom>
                        </pic:spPr>
                      </pic:pic>
                    </a:graphicData>
                  </a:graphic>
                </wp:inline>
              </w:drawing>
            </w:r>
            <w:r w:rsidRPr="00C110F2">
              <w:rPr>
                <w:rFonts w:ascii="Times New Roman" w:hAnsi="Times New Roman" w:cs="Times New Roman"/>
                <w:sz w:val="11"/>
                <w:szCs w:val="11"/>
              </w:rPr>
              <w:t>24.78</w:t>
            </w:r>
          </w:p>
        </w:tc>
        <w:tc>
          <w:tcPr>
            <w:tcW w:w="1140" w:type="dxa"/>
            <w:vAlign w:val="center"/>
          </w:tcPr>
          <w:p w14:paraId="44FDC87B"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noviembre 2023</w:t>
            </w:r>
          </w:p>
          <w:p w14:paraId="5700E19C" w14:textId="77777777" w:rsidR="007B0095" w:rsidRPr="00C110F2" w:rsidRDefault="007B0095" w:rsidP="00973C72">
            <w:pPr>
              <w:jc w:val="center"/>
              <w:rPr>
                <w:rFonts w:ascii="Times New Roman" w:hAnsi="Times New Roman" w:cs="Times New Roman"/>
                <w:sz w:val="11"/>
                <w:szCs w:val="11"/>
              </w:rPr>
            </w:pPr>
            <w:r w:rsidRPr="00C110F2">
              <w:rPr>
                <w:noProof/>
                <w:sz w:val="11"/>
                <w:szCs w:val="11"/>
              </w:rPr>
              <w:drawing>
                <wp:inline distT="0" distB="0" distL="0" distR="0" wp14:anchorId="495B764D" wp14:editId="54D6385F">
                  <wp:extent cx="76200" cy="63500"/>
                  <wp:effectExtent l="0" t="0" r="0" b="0"/>
                  <wp:docPr id="1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jpg"/>
                          <pic:cNvPicPr/>
                        </pic:nvPicPr>
                        <pic:blipFill>
                          <a:blip r:embed="rId68"/>
                          <a:stretch>
                            <a:fillRect/>
                          </a:stretch>
                        </pic:blipFill>
                        <pic:spPr>
                          <a:xfrm>
                            <a:off x="0" y="0"/>
                            <a:ext cx="76200" cy="63500"/>
                          </a:xfrm>
                          <a:prstGeom prst="rect">
                            <a:avLst/>
                          </a:prstGeom>
                        </pic:spPr>
                      </pic:pic>
                    </a:graphicData>
                  </a:graphic>
                </wp:inline>
              </w:drawing>
            </w:r>
            <w:r w:rsidRPr="00C110F2">
              <w:rPr>
                <w:rFonts w:ascii="Times New Roman" w:hAnsi="Times New Roman" w:cs="Times New Roman"/>
                <w:sz w:val="11"/>
                <w:szCs w:val="11"/>
              </w:rPr>
              <w:t>36.69</w:t>
            </w:r>
          </w:p>
        </w:tc>
        <w:tc>
          <w:tcPr>
            <w:tcW w:w="1140" w:type="dxa"/>
            <w:vAlign w:val="center"/>
          </w:tcPr>
          <w:p w14:paraId="57DC1016"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diciembre 2023</w:t>
            </w:r>
          </w:p>
          <w:p w14:paraId="306203D8" w14:textId="77777777" w:rsidR="007B0095" w:rsidRPr="00C110F2" w:rsidRDefault="007B0095" w:rsidP="00973C72">
            <w:pPr>
              <w:jc w:val="center"/>
              <w:rPr>
                <w:rFonts w:ascii="Times New Roman" w:hAnsi="Times New Roman" w:cs="Times New Roman"/>
                <w:sz w:val="11"/>
                <w:szCs w:val="11"/>
              </w:rPr>
            </w:pPr>
            <w:r w:rsidRPr="00C110F2">
              <w:rPr>
                <w:noProof/>
                <w:sz w:val="11"/>
                <w:szCs w:val="11"/>
              </w:rPr>
              <w:drawing>
                <wp:inline distT="0" distB="0" distL="0" distR="0" wp14:anchorId="393D6A88" wp14:editId="042CAAF7">
                  <wp:extent cx="76200" cy="63500"/>
                  <wp:effectExtent l="0" t="0" r="0" b="0"/>
                  <wp:docPr id="1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l.jpg"/>
                          <pic:cNvPicPr/>
                        </pic:nvPicPr>
                        <pic:blipFill>
                          <a:blip r:embed="rId70"/>
                          <a:stretch>
                            <a:fillRect/>
                          </a:stretch>
                        </pic:blipFill>
                        <pic:spPr>
                          <a:xfrm>
                            <a:off x="0" y="0"/>
                            <a:ext cx="76200" cy="63500"/>
                          </a:xfrm>
                          <a:prstGeom prst="rect">
                            <a:avLst/>
                          </a:prstGeom>
                        </pic:spPr>
                      </pic:pic>
                    </a:graphicData>
                  </a:graphic>
                </wp:inline>
              </w:drawing>
            </w:r>
            <w:r w:rsidRPr="00C110F2">
              <w:rPr>
                <w:rFonts w:ascii="Times New Roman" w:hAnsi="Times New Roman" w:cs="Times New Roman"/>
                <w:sz w:val="11"/>
                <w:szCs w:val="11"/>
              </w:rPr>
              <w:t>58.26</w:t>
            </w:r>
          </w:p>
        </w:tc>
        <w:tc>
          <w:tcPr>
            <w:tcW w:w="1092" w:type="dxa"/>
            <w:vAlign w:val="center"/>
          </w:tcPr>
          <w:p w14:paraId="3B3A45DE"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diciembre 2023</w:t>
            </w:r>
          </w:p>
          <w:p w14:paraId="45972BAB" w14:textId="313816A0" w:rsidR="007B0095" w:rsidRPr="00C110F2" w:rsidRDefault="007B0095" w:rsidP="00973C72">
            <w:pPr>
              <w:jc w:val="center"/>
              <w:rPr>
                <w:rFonts w:ascii="Times New Roman" w:hAnsi="Times New Roman" w:cs="Times New Roman"/>
                <w:sz w:val="11"/>
                <w:szCs w:val="11"/>
              </w:rPr>
            </w:pPr>
            <w:r>
              <w:rPr>
                <w:noProof/>
                <w:sz w:val="11"/>
                <w:szCs w:val="11"/>
              </w:rPr>
              <w:drawing>
                <wp:inline distT="0" distB="0" distL="0" distR="0" wp14:anchorId="60B2A73A" wp14:editId="67653892">
                  <wp:extent cx="79375" cy="635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9375" cy="63500"/>
                          </a:xfrm>
                          <a:prstGeom prst="rect">
                            <a:avLst/>
                          </a:prstGeom>
                          <a:noFill/>
                          <a:ln>
                            <a:noFill/>
                          </a:ln>
                        </pic:spPr>
                      </pic:pic>
                    </a:graphicData>
                  </a:graphic>
                </wp:inline>
              </w:drawing>
            </w:r>
            <w:r w:rsidRPr="00C110F2">
              <w:rPr>
                <w:rFonts w:ascii="Times New Roman" w:hAnsi="Times New Roman" w:cs="Times New Roman"/>
                <w:sz w:val="11"/>
                <w:szCs w:val="11"/>
              </w:rPr>
              <w:t xml:space="preserve">           1.0</w:t>
            </w:r>
          </w:p>
        </w:tc>
      </w:tr>
      <w:tr w:rsidR="007B0095" w:rsidRPr="00C110F2" w14:paraId="7AF5AB95" w14:textId="77777777" w:rsidTr="00973C72">
        <w:trPr>
          <w:trHeight w:val="401"/>
          <w:jc w:val="center"/>
        </w:trPr>
        <w:tc>
          <w:tcPr>
            <w:tcW w:w="1304" w:type="dxa"/>
            <w:vAlign w:val="center"/>
          </w:tcPr>
          <w:p w14:paraId="7ED40697" w14:textId="77777777" w:rsidR="007B0095" w:rsidRPr="00C110F2" w:rsidRDefault="007B0095" w:rsidP="00973C72">
            <w:pPr>
              <w:rPr>
                <w:rFonts w:ascii="Times New Roman" w:hAnsi="Times New Roman" w:cs="Times New Roman"/>
                <w:sz w:val="16"/>
                <w:szCs w:val="16"/>
              </w:rPr>
            </w:pPr>
            <w:r w:rsidRPr="00C110F2">
              <w:rPr>
                <w:rFonts w:ascii="Times New Roman" w:hAnsi="Times New Roman" w:cs="Times New Roman"/>
                <w:sz w:val="14"/>
                <w:szCs w:val="16"/>
              </w:rPr>
              <w:t>ITCER global</w:t>
            </w:r>
          </w:p>
        </w:tc>
        <w:tc>
          <w:tcPr>
            <w:tcW w:w="1104" w:type="dxa"/>
            <w:vAlign w:val="center"/>
          </w:tcPr>
          <w:p w14:paraId="270DD6B4"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noviembre 2023</w:t>
            </w:r>
          </w:p>
          <w:p w14:paraId="58F27701" w14:textId="77777777" w:rsidR="007B0095" w:rsidRPr="00C110F2" w:rsidRDefault="007B0095" w:rsidP="00973C72">
            <w:pPr>
              <w:jc w:val="center"/>
              <w:rPr>
                <w:rFonts w:ascii="Times New Roman" w:hAnsi="Times New Roman" w:cs="Times New Roman"/>
                <w:sz w:val="11"/>
                <w:szCs w:val="11"/>
              </w:rPr>
            </w:pPr>
            <w:r w:rsidRPr="00C110F2">
              <w:rPr>
                <w:noProof/>
                <w:sz w:val="11"/>
                <w:szCs w:val="11"/>
              </w:rPr>
              <w:drawing>
                <wp:inline distT="0" distB="0" distL="0" distR="0" wp14:anchorId="40A78B1D" wp14:editId="7690B904">
                  <wp:extent cx="57150" cy="57150"/>
                  <wp:effectExtent l="0" t="0" r="0" b="0"/>
                  <wp:docPr id="1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jpg"/>
                          <pic:cNvPicPr/>
                        </pic:nvPicPr>
                        <pic:blipFill>
                          <a:blip r:embed="rId69"/>
                          <a:stretch>
                            <a:fillRect/>
                          </a:stretch>
                        </pic:blipFill>
                        <pic:spPr>
                          <a:xfrm>
                            <a:off x="0" y="0"/>
                            <a:ext cx="57150" cy="57150"/>
                          </a:xfrm>
                          <a:prstGeom prst="rect">
                            <a:avLst/>
                          </a:prstGeom>
                        </pic:spPr>
                      </pic:pic>
                    </a:graphicData>
                  </a:graphic>
                </wp:inline>
              </w:drawing>
            </w:r>
            <w:r w:rsidRPr="00C110F2">
              <w:rPr>
                <w:rFonts w:ascii="Times New Roman" w:hAnsi="Times New Roman" w:cs="Times New Roman"/>
                <w:sz w:val="11"/>
                <w:szCs w:val="11"/>
              </w:rPr>
              <w:t>-7.35%</w:t>
            </w:r>
          </w:p>
          <w:p w14:paraId="68CC435E" w14:textId="77777777" w:rsidR="007B0095" w:rsidRPr="00C110F2" w:rsidRDefault="007B0095" w:rsidP="00973C72">
            <w:pPr>
              <w:jc w:val="center"/>
              <w:rPr>
                <w:rFonts w:ascii="Times New Roman" w:hAnsi="Times New Roman" w:cs="Times New Roman"/>
                <w:sz w:val="11"/>
                <w:szCs w:val="11"/>
              </w:rPr>
            </w:pPr>
          </w:p>
        </w:tc>
        <w:tc>
          <w:tcPr>
            <w:tcW w:w="1112" w:type="dxa"/>
            <w:vAlign w:val="center"/>
          </w:tcPr>
          <w:p w14:paraId="7F415D76"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noviembre 2023</w:t>
            </w:r>
          </w:p>
          <w:p w14:paraId="09AB82CA" w14:textId="77777777" w:rsidR="007B0095" w:rsidRPr="00C110F2" w:rsidRDefault="007B0095" w:rsidP="00973C72">
            <w:pPr>
              <w:jc w:val="center"/>
              <w:rPr>
                <w:rFonts w:ascii="Times New Roman" w:hAnsi="Times New Roman" w:cs="Times New Roman"/>
                <w:sz w:val="11"/>
                <w:szCs w:val="11"/>
              </w:rPr>
            </w:pPr>
            <w:r w:rsidRPr="00C110F2">
              <w:rPr>
                <w:noProof/>
                <w:sz w:val="11"/>
                <w:szCs w:val="11"/>
              </w:rPr>
              <w:drawing>
                <wp:inline distT="0" distB="0" distL="0" distR="0" wp14:anchorId="2916B45B" wp14:editId="6711E218">
                  <wp:extent cx="57150" cy="57150"/>
                  <wp:effectExtent l="0" t="0" r="0" b="0"/>
                  <wp:docPr id="1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jpg"/>
                          <pic:cNvPicPr/>
                        </pic:nvPicPr>
                        <pic:blipFill>
                          <a:blip r:embed="rId69"/>
                          <a:stretch>
                            <a:fillRect/>
                          </a:stretch>
                        </pic:blipFill>
                        <pic:spPr>
                          <a:xfrm>
                            <a:off x="0" y="0"/>
                            <a:ext cx="57150" cy="57150"/>
                          </a:xfrm>
                          <a:prstGeom prst="rect">
                            <a:avLst/>
                          </a:prstGeom>
                        </pic:spPr>
                      </pic:pic>
                    </a:graphicData>
                  </a:graphic>
                </wp:inline>
              </w:drawing>
            </w:r>
            <w:r w:rsidRPr="00C110F2">
              <w:rPr>
                <w:rFonts w:ascii="Times New Roman" w:hAnsi="Times New Roman" w:cs="Times New Roman"/>
                <w:sz w:val="11"/>
                <w:szCs w:val="11"/>
              </w:rPr>
              <w:t>1.93%</w:t>
            </w:r>
          </w:p>
          <w:p w14:paraId="13C529DF" w14:textId="77777777" w:rsidR="007B0095" w:rsidRPr="00C110F2" w:rsidRDefault="007B0095" w:rsidP="00973C72">
            <w:pPr>
              <w:jc w:val="center"/>
              <w:rPr>
                <w:rFonts w:ascii="Times New Roman" w:hAnsi="Times New Roman" w:cs="Times New Roman"/>
                <w:sz w:val="11"/>
                <w:szCs w:val="11"/>
              </w:rPr>
            </w:pPr>
          </w:p>
        </w:tc>
        <w:tc>
          <w:tcPr>
            <w:tcW w:w="1128" w:type="dxa"/>
            <w:vAlign w:val="center"/>
          </w:tcPr>
          <w:p w14:paraId="0DE4031E"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noviembre 2023</w:t>
            </w:r>
          </w:p>
          <w:p w14:paraId="7F5844BA" w14:textId="77777777" w:rsidR="007B0095" w:rsidRPr="00C110F2" w:rsidRDefault="007B0095" w:rsidP="00973C72">
            <w:pPr>
              <w:jc w:val="center"/>
              <w:rPr>
                <w:rFonts w:ascii="Times New Roman" w:hAnsi="Times New Roman" w:cs="Times New Roman"/>
                <w:sz w:val="11"/>
                <w:szCs w:val="11"/>
              </w:rPr>
            </w:pPr>
            <w:r w:rsidRPr="00C110F2">
              <w:rPr>
                <w:noProof/>
                <w:sz w:val="11"/>
                <w:szCs w:val="11"/>
              </w:rPr>
              <w:drawing>
                <wp:inline distT="0" distB="0" distL="0" distR="0" wp14:anchorId="341BA729" wp14:editId="23E88DB6">
                  <wp:extent cx="57150" cy="57150"/>
                  <wp:effectExtent l="0" t="0" r="0" b="0"/>
                  <wp:docPr id="1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jpg"/>
                          <pic:cNvPicPr/>
                        </pic:nvPicPr>
                        <pic:blipFill>
                          <a:blip r:embed="rId69"/>
                          <a:stretch>
                            <a:fillRect/>
                          </a:stretch>
                        </pic:blipFill>
                        <pic:spPr>
                          <a:xfrm>
                            <a:off x="0" y="0"/>
                            <a:ext cx="57150" cy="57150"/>
                          </a:xfrm>
                          <a:prstGeom prst="rect">
                            <a:avLst/>
                          </a:prstGeom>
                        </pic:spPr>
                      </pic:pic>
                    </a:graphicData>
                  </a:graphic>
                </wp:inline>
              </w:drawing>
            </w:r>
            <w:r w:rsidRPr="00C110F2">
              <w:rPr>
                <w:rFonts w:ascii="Times New Roman" w:hAnsi="Times New Roman" w:cs="Times New Roman"/>
                <w:sz w:val="11"/>
                <w:szCs w:val="11"/>
              </w:rPr>
              <w:t>1.29%</w:t>
            </w:r>
          </w:p>
          <w:p w14:paraId="78518190" w14:textId="77777777" w:rsidR="007B0095" w:rsidRPr="00C110F2" w:rsidRDefault="007B0095" w:rsidP="00973C72">
            <w:pPr>
              <w:jc w:val="center"/>
              <w:rPr>
                <w:rFonts w:ascii="Times New Roman" w:hAnsi="Times New Roman" w:cs="Times New Roman"/>
                <w:sz w:val="11"/>
                <w:szCs w:val="11"/>
              </w:rPr>
            </w:pPr>
          </w:p>
        </w:tc>
        <w:tc>
          <w:tcPr>
            <w:tcW w:w="1047" w:type="dxa"/>
            <w:vAlign w:val="center"/>
          </w:tcPr>
          <w:p w14:paraId="69E46407"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noviembre 2023</w:t>
            </w:r>
          </w:p>
          <w:p w14:paraId="79DE3DFA" w14:textId="77777777" w:rsidR="007B0095" w:rsidRPr="00C110F2" w:rsidRDefault="007B0095" w:rsidP="00973C72">
            <w:pPr>
              <w:jc w:val="center"/>
              <w:rPr>
                <w:rFonts w:ascii="Times New Roman" w:hAnsi="Times New Roman" w:cs="Times New Roman"/>
                <w:sz w:val="11"/>
                <w:szCs w:val="11"/>
              </w:rPr>
            </w:pPr>
            <w:r w:rsidRPr="00C110F2">
              <w:rPr>
                <w:noProof/>
                <w:sz w:val="11"/>
                <w:szCs w:val="11"/>
              </w:rPr>
              <w:drawing>
                <wp:inline distT="0" distB="0" distL="0" distR="0" wp14:anchorId="2B915357" wp14:editId="0136EA61">
                  <wp:extent cx="57150" cy="57150"/>
                  <wp:effectExtent l="0" t="0" r="0" b="0"/>
                  <wp:docPr id="1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jpg"/>
                          <pic:cNvPicPr/>
                        </pic:nvPicPr>
                        <pic:blipFill>
                          <a:blip r:embed="rId69"/>
                          <a:stretch>
                            <a:fillRect/>
                          </a:stretch>
                        </pic:blipFill>
                        <pic:spPr>
                          <a:xfrm>
                            <a:off x="0" y="0"/>
                            <a:ext cx="57150" cy="57150"/>
                          </a:xfrm>
                          <a:prstGeom prst="rect">
                            <a:avLst/>
                          </a:prstGeom>
                        </pic:spPr>
                      </pic:pic>
                    </a:graphicData>
                  </a:graphic>
                </wp:inline>
              </w:drawing>
            </w:r>
            <w:r w:rsidRPr="00C110F2">
              <w:rPr>
                <w:rFonts w:ascii="Times New Roman" w:hAnsi="Times New Roman" w:cs="Times New Roman"/>
                <w:sz w:val="11"/>
                <w:szCs w:val="11"/>
              </w:rPr>
              <w:t>-0.72%</w:t>
            </w:r>
          </w:p>
          <w:p w14:paraId="5DFC8D10" w14:textId="77777777" w:rsidR="007B0095" w:rsidRPr="00C110F2" w:rsidRDefault="007B0095" w:rsidP="00973C72">
            <w:pPr>
              <w:jc w:val="center"/>
              <w:rPr>
                <w:rFonts w:ascii="Times New Roman" w:hAnsi="Times New Roman" w:cs="Times New Roman"/>
                <w:sz w:val="11"/>
                <w:szCs w:val="11"/>
              </w:rPr>
            </w:pPr>
          </w:p>
        </w:tc>
        <w:tc>
          <w:tcPr>
            <w:tcW w:w="1140" w:type="dxa"/>
            <w:vAlign w:val="center"/>
          </w:tcPr>
          <w:p w14:paraId="3CBC98B9"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noviembre 2023</w:t>
            </w:r>
          </w:p>
          <w:p w14:paraId="2A3BB8FD" w14:textId="77777777" w:rsidR="007B0095" w:rsidRPr="00C110F2" w:rsidRDefault="007B0095" w:rsidP="00973C72">
            <w:pPr>
              <w:jc w:val="center"/>
              <w:rPr>
                <w:rFonts w:ascii="Times New Roman" w:hAnsi="Times New Roman" w:cs="Times New Roman"/>
                <w:sz w:val="11"/>
                <w:szCs w:val="11"/>
              </w:rPr>
            </w:pPr>
            <w:r w:rsidRPr="00C110F2">
              <w:rPr>
                <w:noProof/>
                <w:sz w:val="11"/>
                <w:szCs w:val="11"/>
              </w:rPr>
              <w:drawing>
                <wp:inline distT="0" distB="0" distL="0" distR="0" wp14:anchorId="32CA4070" wp14:editId="1416E12F">
                  <wp:extent cx="76200" cy="63500"/>
                  <wp:effectExtent l="0" t="0" r="0" b="0"/>
                  <wp:docPr id="1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jpg"/>
                          <pic:cNvPicPr/>
                        </pic:nvPicPr>
                        <pic:blipFill>
                          <a:blip r:embed="rId68"/>
                          <a:stretch>
                            <a:fillRect/>
                          </a:stretch>
                        </pic:blipFill>
                        <pic:spPr>
                          <a:xfrm>
                            <a:off x="0" y="0"/>
                            <a:ext cx="76200" cy="63500"/>
                          </a:xfrm>
                          <a:prstGeom prst="rect">
                            <a:avLst/>
                          </a:prstGeom>
                        </pic:spPr>
                      </pic:pic>
                    </a:graphicData>
                  </a:graphic>
                </wp:inline>
              </w:drawing>
            </w:r>
            <w:r w:rsidRPr="00C110F2">
              <w:rPr>
                <w:rFonts w:ascii="Times New Roman" w:hAnsi="Times New Roman" w:cs="Times New Roman"/>
                <w:sz w:val="11"/>
                <w:szCs w:val="11"/>
              </w:rPr>
              <w:t>0.74%</w:t>
            </w:r>
          </w:p>
          <w:p w14:paraId="50349C33" w14:textId="77777777" w:rsidR="007B0095" w:rsidRPr="00C110F2" w:rsidRDefault="007B0095" w:rsidP="00973C72">
            <w:pPr>
              <w:jc w:val="center"/>
              <w:rPr>
                <w:rFonts w:ascii="Times New Roman" w:hAnsi="Times New Roman" w:cs="Times New Roman"/>
                <w:sz w:val="11"/>
                <w:szCs w:val="11"/>
              </w:rPr>
            </w:pPr>
          </w:p>
        </w:tc>
        <w:tc>
          <w:tcPr>
            <w:tcW w:w="1140" w:type="dxa"/>
            <w:vAlign w:val="center"/>
          </w:tcPr>
          <w:p w14:paraId="0D5925A6"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noviembre 2023</w:t>
            </w:r>
          </w:p>
          <w:p w14:paraId="300611F8" w14:textId="77777777" w:rsidR="007B0095" w:rsidRPr="00C110F2" w:rsidRDefault="007B0095" w:rsidP="00973C72">
            <w:pPr>
              <w:jc w:val="center"/>
              <w:rPr>
                <w:rFonts w:ascii="Times New Roman" w:hAnsi="Times New Roman" w:cs="Times New Roman"/>
                <w:sz w:val="11"/>
                <w:szCs w:val="11"/>
              </w:rPr>
            </w:pPr>
            <w:r w:rsidRPr="00C110F2">
              <w:rPr>
                <w:noProof/>
                <w:sz w:val="11"/>
                <w:szCs w:val="11"/>
              </w:rPr>
              <w:drawing>
                <wp:inline distT="0" distB="0" distL="0" distR="0" wp14:anchorId="4CC9748B" wp14:editId="6788DDFC">
                  <wp:extent cx="57150" cy="57150"/>
                  <wp:effectExtent l="0" t="0" r="0" b="0"/>
                  <wp:docPr id="1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jpg"/>
                          <pic:cNvPicPr/>
                        </pic:nvPicPr>
                        <pic:blipFill>
                          <a:blip r:embed="rId69"/>
                          <a:stretch>
                            <a:fillRect/>
                          </a:stretch>
                        </pic:blipFill>
                        <pic:spPr>
                          <a:xfrm>
                            <a:off x="0" y="0"/>
                            <a:ext cx="57150" cy="57150"/>
                          </a:xfrm>
                          <a:prstGeom prst="rect">
                            <a:avLst/>
                          </a:prstGeom>
                        </pic:spPr>
                      </pic:pic>
                    </a:graphicData>
                  </a:graphic>
                </wp:inline>
              </w:drawing>
            </w:r>
            <w:r w:rsidRPr="00C110F2">
              <w:rPr>
                <w:rFonts w:ascii="Times New Roman" w:hAnsi="Times New Roman" w:cs="Times New Roman"/>
                <w:sz w:val="11"/>
                <w:szCs w:val="11"/>
              </w:rPr>
              <w:t>4.84%</w:t>
            </w:r>
          </w:p>
          <w:p w14:paraId="73EC2790" w14:textId="77777777" w:rsidR="007B0095" w:rsidRPr="00C110F2" w:rsidRDefault="007B0095" w:rsidP="00973C72">
            <w:pPr>
              <w:jc w:val="center"/>
              <w:rPr>
                <w:rFonts w:ascii="Times New Roman" w:hAnsi="Times New Roman" w:cs="Times New Roman"/>
                <w:sz w:val="11"/>
                <w:szCs w:val="11"/>
              </w:rPr>
            </w:pPr>
          </w:p>
        </w:tc>
        <w:tc>
          <w:tcPr>
            <w:tcW w:w="1092" w:type="dxa"/>
            <w:vAlign w:val="center"/>
          </w:tcPr>
          <w:p w14:paraId="45B6C2A9"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noviembre 2023</w:t>
            </w:r>
          </w:p>
          <w:p w14:paraId="0F56B746" w14:textId="77777777" w:rsidR="007B0095" w:rsidRPr="00C110F2" w:rsidRDefault="007B0095" w:rsidP="00973C72">
            <w:pPr>
              <w:jc w:val="center"/>
              <w:rPr>
                <w:rFonts w:ascii="Times New Roman" w:hAnsi="Times New Roman" w:cs="Times New Roman"/>
                <w:sz w:val="11"/>
                <w:szCs w:val="11"/>
              </w:rPr>
            </w:pPr>
            <w:r w:rsidRPr="00C110F2">
              <w:rPr>
                <w:noProof/>
                <w:sz w:val="11"/>
                <w:szCs w:val="11"/>
              </w:rPr>
              <w:drawing>
                <wp:inline distT="0" distB="0" distL="0" distR="0" wp14:anchorId="08B8FAD8" wp14:editId="3B7BF255">
                  <wp:extent cx="76200" cy="63500"/>
                  <wp:effectExtent l="0" t="0" r="0" b="0"/>
                  <wp:docPr id="1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jpg"/>
                          <pic:cNvPicPr/>
                        </pic:nvPicPr>
                        <pic:blipFill>
                          <a:blip r:embed="rId68"/>
                          <a:stretch>
                            <a:fillRect/>
                          </a:stretch>
                        </pic:blipFill>
                        <pic:spPr>
                          <a:xfrm>
                            <a:off x="0" y="0"/>
                            <a:ext cx="76200" cy="63500"/>
                          </a:xfrm>
                          <a:prstGeom prst="rect">
                            <a:avLst/>
                          </a:prstGeom>
                        </pic:spPr>
                      </pic:pic>
                    </a:graphicData>
                  </a:graphic>
                </wp:inline>
              </w:drawing>
            </w:r>
            <w:r w:rsidRPr="00C110F2">
              <w:rPr>
                <w:rFonts w:ascii="Times New Roman" w:hAnsi="Times New Roman" w:cs="Times New Roman"/>
                <w:sz w:val="11"/>
                <w:szCs w:val="11"/>
              </w:rPr>
              <w:t>2.41%</w:t>
            </w:r>
          </w:p>
          <w:p w14:paraId="0CC19ECC" w14:textId="77777777" w:rsidR="007B0095" w:rsidRPr="00C110F2" w:rsidRDefault="007B0095" w:rsidP="00973C72">
            <w:pPr>
              <w:jc w:val="center"/>
              <w:rPr>
                <w:rFonts w:ascii="Times New Roman" w:hAnsi="Times New Roman" w:cs="Times New Roman"/>
                <w:sz w:val="11"/>
                <w:szCs w:val="11"/>
              </w:rPr>
            </w:pPr>
          </w:p>
        </w:tc>
      </w:tr>
      <w:tr w:rsidR="007B0095" w:rsidRPr="00C110F2" w14:paraId="2EAD6188" w14:textId="77777777" w:rsidTr="00973C72">
        <w:trPr>
          <w:trHeight w:val="508"/>
          <w:jc w:val="center"/>
        </w:trPr>
        <w:tc>
          <w:tcPr>
            <w:tcW w:w="1304" w:type="dxa"/>
            <w:vAlign w:val="center"/>
          </w:tcPr>
          <w:p w14:paraId="3DC46B2A" w14:textId="77777777" w:rsidR="007B0095" w:rsidRPr="00C110F2" w:rsidRDefault="007B0095" w:rsidP="00973C72">
            <w:pPr>
              <w:rPr>
                <w:rFonts w:ascii="Times New Roman" w:hAnsi="Times New Roman" w:cs="Times New Roman"/>
                <w:sz w:val="14"/>
                <w:szCs w:val="16"/>
              </w:rPr>
            </w:pPr>
            <w:r w:rsidRPr="00C110F2">
              <w:rPr>
                <w:rFonts w:ascii="Times New Roman" w:hAnsi="Times New Roman" w:cs="Times New Roman"/>
                <w:sz w:val="14"/>
                <w:szCs w:val="16"/>
              </w:rPr>
              <w:t>Remesas, ingreso</w:t>
            </w:r>
          </w:p>
        </w:tc>
        <w:tc>
          <w:tcPr>
            <w:tcW w:w="1104" w:type="dxa"/>
            <w:vAlign w:val="center"/>
          </w:tcPr>
          <w:p w14:paraId="335003CC"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septiembre 2023</w:t>
            </w:r>
          </w:p>
          <w:p w14:paraId="1FAE8546" w14:textId="77777777" w:rsidR="007B0095" w:rsidRPr="00C110F2" w:rsidRDefault="007B0095" w:rsidP="00973C72">
            <w:pPr>
              <w:jc w:val="center"/>
              <w:rPr>
                <w:rFonts w:ascii="Times New Roman" w:hAnsi="Times New Roman" w:cs="Times New Roman"/>
                <w:sz w:val="11"/>
                <w:szCs w:val="11"/>
              </w:rPr>
            </w:pPr>
            <w:r w:rsidRPr="00C110F2">
              <w:rPr>
                <w:noProof/>
                <w:sz w:val="11"/>
                <w:szCs w:val="11"/>
              </w:rPr>
              <w:drawing>
                <wp:inline distT="0" distB="0" distL="0" distR="0" wp14:anchorId="1D0C73C2" wp14:editId="01C19AE5">
                  <wp:extent cx="76200" cy="635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jpg"/>
                          <pic:cNvPicPr/>
                        </pic:nvPicPr>
                        <pic:blipFill>
                          <a:blip r:embed="rId68"/>
                          <a:stretch>
                            <a:fillRect/>
                          </a:stretch>
                        </pic:blipFill>
                        <pic:spPr>
                          <a:xfrm>
                            <a:off x="0" y="0"/>
                            <a:ext cx="76200" cy="63500"/>
                          </a:xfrm>
                          <a:prstGeom prst="rect">
                            <a:avLst/>
                          </a:prstGeom>
                        </pic:spPr>
                      </pic:pic>
                    </a:graphicData>
                  </a:graphic>
                </wp:inline>
              </w:drawing>
            </w:r>
            <w:r w:rsidRPr="00C110F2">
              <w:rPr>
                <w:rFonts w:ascii="Times New Roman" w:hAnsi="Times New Roman" w:cs="Times New Roman"/>
                <w:sz w:val="11"/>
                <w:szCs w:val="11"/>
              </w:rPr>
              <w:t>5.03%</w:t>
            </w:r>
          </w:p>
          <w:p w14:paraId="053B91F2"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$ 473.83</w:t>
            </w:r>
          </w:p>
        </w:tc>
        <w:tc>
          <w:tcPr>
            <w:tcW w:w="1112" w:type="dxa"/>
            <w:vAlign w:val="center"/>
          </w:tcPr>
          <w:p w14:paraId="595A9747"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octubre 2023</w:t>
            </w:r>
          </w:p>
          <w:p w14:paraId="036A58A3" w14:textId="77777777" w:rsidR="007B0095" w:rsidRPr="00C110F2" w:rsidRDefault="007B0095" w:rsidP="00973C72">
            <w:pPr>
              <w:jc w:val="center"/>
              <w:rPr>
                <w:rFonts w:ascii="Times New Roman" w:hAnsi="Times New Roman" w:cs="Times New Roman"/>
                <w:sz w:val="11"/>
                <w:szCs w:val="11"/>
              </w:rPr>
            </w:pPr>
            <w:r w:rsidRPr="00C110F2">
              <w:rPr>
                <w:noProof/>
                <w:sz w:val="11"/>
                <w:szCs w:val="11"/>
              </w:rPr>
              <w:drawing>
                <wp:inline distT="0" distB="0" distL="0" distR="0" wp14:anchorId="7B5FE641" wp14:editId="29114C1F">
                  <wp:extent cx="76200" cy="63500"/>
                  <wp:effectExtent l="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jpg"/>
                          <pic:cNvPicPr/>
                        </pic:nvPicPr>
                        <pic:blipFill>
                          <a:blip r:embed="rId68"/>
                          <a:stretch>
                            <a:fillRect/>
                          </a:stretch>
                        </pic:blipFill>
                        <pic:spPr>
                          <a:xfrm>
                            <a:off x="0" y="0"/>
                            <a:ext cx="76200" cy="63500"/>
                          </a:xfrm>
                          <a:prstGeom prst="rect">
                            <a:avLst/>
                          </a:prstGeom>
                        </pic:spPr>
                      </pic:pic>
                    </a:graphicData>
                  </a:graphic>
                </wp:inline>
              </w:drawing>
            </w:r>
            <w:r w:rsidRPr="00C110F2">
              <w:rPr>
                <w:rFonts w:ascii="Times New Roman" w:hAnsi="Times New Roman" w:cs="Times New Roman"/>
                <w:sz w:val="11"/>
                <w:szCs w:val="11"/>
              </w:rPr>
              <w:t>9.82%</w:t>
            </w:r>
          </w:p>
          <w:p w14:paraId="21D71087"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$ 6,742.18</w:t>
            </w:r>
          </w:p>
        </w:tc>
        <w:tc>
          <w:tcPr>
            <w:tcW w:w="1128" w:type="dxa"/>
            <w:vAlign w:val="center"/>
          </w:tcPr>
          <w:p w14:paraId="52A1BE11"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diciembre 2023</w:t>
            </w:r>
          </w:p>
          <w:p w14:paraId="220586C4" w14:textId="77777777" w:rsidR="007B0095" w:rsidRPr="00C110F2" w:rsidRDefault="007B0095" w:rsidP="00973C72">
            <w:pPr>
              <w:jc w:val="center"/>
              <w:rPr>
                <w:rFonts w:ascii="Times New Roman" w:hAnsi="Times New Roman" w:cs="Times New Roman"/>
                <w:sz w:val="11"/>
                <w:szCs w:val="11"/>
              </w:rPr>
            </w:pPr>
            <w:r w:rsidRPr="00C110F2">
              <w:rPr>
                <w:noProof/>
                <w:sz w:val="11"/>
                <w:szCs w:val="11"/>
              </w:rPr>
              <w:drawing>
                <wp:inline distT="0" distB="0" distL="0" distR="0" wp14:anchorId="17A1F916" wp14:editId="3BDD80D5">
                  <wp:extent cx="57150" cy="57150"/>
                  <wp:effectExtent l="0" t="0" r="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jpg"/>
                          <pic:cNvPicPr/>
                        </pic:nvPicPr>
                        <pic:blipFill>
                          <a:blip r:embed="rId69"/>
                          <a:stretch>
                            <a:fillRect/>
                          </a:stretch>
                        </pic:blipFill>
                        <pic:spPr>
                          <a:xfrm>
                            <a:off x="0" y="0"/>
                            <a:ext cx="57150" cy="57150"/>
                          </a:xfrm>
                          <a:prstGeom prst="rect">
                            <a:avLst/>
                          </a:prstGeom>
                        </pic:spPr>
                      </pic:pic>
                    </a:graphicData>
                  </a:graphic>
                </wp:inline>
              </w:drawing>
            </w:r>
            <w:r w:rsidRPr="00C110F2">
              <w:rPr>
                <w:rFonts w:ascii="Times New Roman" w:hAnsi="Times New Roman" w:cs="Times New Roman"/>
                <w:sz w:val="11"/>
                <w:szCs w:val="11"/>
              </w:rPr>
              <w:t>9.80%</w:t>
            </w:r>
          </w:p>
          <w:p w14:paraId="490FD8F5"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$ 21,319.4</w:t>
            </w:r>
          </w:p>
        </w:tc>
        <w:tc>
          <w:tcPr>
            <w:tcW w:w="1047" w:type="dxa"/>
            <w:vAlign w:val="center"/>
          </w:tcPr>
          <w:p w14:paraId="0002FAFC"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noviembre 2023</w:t>
            </w:r>
          </w:p>
          <w:p w14:paraId="0D635012" w14:textId="77777777" w:rsidR="007B0095" w:rsidRPr="00C110F2" w:rsidRDefault="007B0095" w:rsidP="00973C72">
            <w:pPr>
              <w:jc w:val="center"/>
              <w:rPr>
                <w:rFonts w:ascii="Times New Roman" w:hAnsi="Times New Roman" w:cs="Times New Roman"/>
                <w:sz w:val="11"/>
                <w:szCs w:val="11"/>
              </w:rPr>
            </w:pPr>
            <w:r w:rsidRPr="00C110F2">
              <w:rPr>
                <w:noProof/>
                <w:sz w:val="11"/>
                <w:szCs w:val="11"/>
              </w:rPr>
              <w:drawing>
                <wp:inline distT="0" distB="0" distL="0" distR="0" wp14:anchorId="3BA43BED" wp14:editId="269BD70E">
                  <wp:extent cx="57150" cy="57150"/>
                  <wp:effectExtent l="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jpg"/>
                          <pic:cNvPicPr/>
                        </pic:nvPicPr>
                        <pic:blipFill>
                          <a:blip r:embed="rId69"/>
                          <a:stretch>
                            <a:fillRect/>
                          </a:stretch>
                        </pic:blipFill>
                        <pic:spPr>
                          <a:xfrm>
                            <a:off x="0" y="0"/>
                            <a:ext cx="57150" cy="57150"/>
                          </a:xfrm>
                          <a:prstGeom prst="rect">
                            <a:avLst/>
                          </a:prstGeom>
                        </pic:spPr>
                      </pic:pic>
                    </a:graphicData>
                  </a:graphic>
                </wp:inline>
              </w:drawing>
            </w:r>
            <w:r w:rsidRPr="00C110F2">
              <w:rPr>
                <w:rFonts w:ascii="Times New Roman" w:hAnsi="Times New Roman" w:cs="Times New Roman"/>
                <w:sz w:val="11"/>
                <w:szCs w:val="11"/>
              </w:rPr>
              <w:t>52.03%</w:t>
            </w:r>
          </w:p>
          <w:p w14:paraId="360370B2"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$ 8,392.47</w:t>
            </w:r>
          </w:p>
        </w:tc>
        <w:tc>
          <w:tcPr>
            <w:tcW w:w="1140" w:type="dxa"/>
            <w:vAlign w:val="center"/>
          </w:tcPr>
          <w:p w14:paraId="3D074022"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septiembre 2023</w:t>
            </w:r>
          </w:p>
          <w:p w14:paraId="5A3423E1" w14:textId="77777777" w:rsidR="007B0095" w:rsidRPr="00C110F2" w:rsidRDefault="007B0095" w:rsidP="00973C72">
            <w:pPr>
              <w:jc w:val="center"/>
              <w:rPr>
                <w:rFonts w:ascii="Times New Roman" w:hAnsi="Times New Roman" w:cs="Times New Roman"/>
                <w:sz w:val="11"/>
                <w:szCs w:val="11"/>
              </w:rPr>
            </w:pPr>
            <w:r w:rsidRPr="00C110F2">
              <w:rPr>
                <w:noProof/>
                <w:sz w:val="11"/>
                <w:szCs w:val="11"/>
              </w:rPr>
              <w:drawing>
                <wp:inline distT="0" distB="0" distL="0" distR="0" wp14:anchorId="4395F367" wp14:editId="6AA77C8C">
                  <wp:extent cx="57150" cy="57150"/>
                  <wp:effectExtent l="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jpg"/>
                          <pic:cNvPicPr/>
                        </pic:nvPicPr>
                        <pic:blipFill>
                          <a:blip r:embed="rId69"/>
                          <a:stretch>
                            <a:fillRect/>
                          </a:stretch>
                        </pic:blipFill>
                        <pic:spPr>
                          <a:xfrm>
                            <a:off x="0" y="0"/>
                            <a:ext cx="57150" cy="57150"/>
                          </a:xfrm>
                          <a:prstGeom prst="rect">
                            <a:avLst/>
                          </a:prstGeom>
                        </pic:spPr>
                      </pic:pic>
                    </a:graphicData>
                  </a:graphic>
                </wp:inline>
              </w:drawing>
            </w:r>
            <w:r w:rsidRPr="00C110F2">
              <w:rPr>
                <w:rFonts w:ascii="Times New Roman" w:hAnsi="Times New Roman" w:cs="Times New Roman"/>
                <w:sz w:val="11"/>
                <w:szCs w:val="11"/>
              </w:rPr>
              <w:t>3.68%</w:t>
            </w:r>
          </w:p>
          <w:p w14:paraId="1D514C2D"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$ 3,433.5</w:t>
            </w:r>
          </w:p>
        </w:tc>
        <w:tc>
          <w:tcPr>
            <w:tcW w:w="1140" w:type="dxa"/>
            <w:vAlign w:val="center"/>
          </w:tcPr>
          <w:p w14:paraId="52E4213B"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octubre 2023</w:t>
            </w:r>
          </w:p>
          <w:p w14:paraId="14DBA7D5" w14:textId="77777777" w:rsidR="007B0095" w:rsidRPr="00C110F2" w:rsidRDefault="007B0095" w:rsidP="00973C72">
            <w:pPr>
              <w:jc w:val="center"/>
              <w:rPr>
                <w:rFonts w:ascii="Times New Roman" w:hAnsi="Times New Roman" w:cs="Times New Roman"/>
                <w:sz w:val="11"/>
                <w:szCs w:val="11"/>
              </w:rPr>
            </w:pPr>
            <w:r w:rsidRPr="00C110F2">
              <w:rPr>
                <w:noProof/>
                <w:sz w:val="11"/>
                <w:szCs w:val="11"/>
              </w:rPr>
              <w:drawing>
                <wp:inline distT="0" distB="0" distL="0" distR="0" wp14:anchorId="366207A9" wp14:editId="69CCC173">
                  <wp:extent cx="57150" cy="57150"/>
                  <wp:effectExtent l="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jpg"/>
                          <pic:cNvPicPr/>
                        </pic:nvPicPr>
                        <pic:blipFill>
                          <a:blip r:embed="rId69"/>
                          <a:stretch>
                            <a:fillRect/>
                          </a:stretch>
                        </pic:blipFill>
                        <pic:spPr>
                          <a:xfrm>
                            <a:off x="0" y="0"/>
                            <a:ext cx="57150" cy="57150"/>
                          </a:xfrm>
                          <a:prstGeom prst="rect">
                            <a:avLst/>
                          </a:prstGeom>
                        </pic:spPr>
                      </pic:pic>
                    </a:graphicData>
                  </a:graphic>
                </wp:inline>
              </w:drawing>
            </w:r>
            <w:r w:rsidRPr="00C110F2">
              <w:rPr>
                <w:rFonts w:ascii="Times New Roman" w:hAnsi="Times New Roman" w:cs="Times New Roman"/>
                <w:sz w:val="11"/>
                <w:szCs w:val="11"/>
              </w:rPr>
              <w:t>-95.44%</w:t>
            </w:r>
          </w:p>
          <w:p w14:paraId="49C25039"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$ 8,424.19</w:t>
            </w:r>
          </w:p>
        </w:tc>
        <w:tc>
          <w:tcPr>
            <w:tcW w:w="1092" w:type="dxa"/>
            <w:vAlign w:val="center"/>
          </w:tcPr>
          <w:p w14:paraId="3E8C7D3D"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No reportada</w:t>
            </w:r>
          </w:p>
        </w:tc>
      </w:tr>
      <w:tr w:rsidR="007B0095" w:rsidRPr="00C110F2" w14:paraId="6FD89CF5" w14:textId="77777777" w:rsidTr="00973C72">
        <w:trPr>
          <w:trHeight w:val="220"/>
          <w:jc w:val="center"/>
        </w:trPr>
        <w:tc>
          <w:tcPr>
            <w:tcW w:w="1304" w:type="dxa"/>
            <w:vAlign w:val="center"/>
          </w:tcPr>
          <w:p w14:paraId="4C83661D" w14:textId="77777777" w:rsidR="007B0095" w:rsidRPr="00C110F2" w:rsidRDefault="007B0095" w:rsidP="00973C72">
            <w:pPr>
              <w:rPr>
                <w:rFonts w:ascii="Times New Roman" w:hAnsi="Times New Roman" w:cs="Times New Roman"/>
                <w:sz w:val="16"/>
                <w:szCs w:val="16"/>
              </w:rPr>
            </w:pPr>
            <w:r w:rsidRPr="00C110F2">
              <w:rPr>
                <w:rFonts w:ascii="Times New Roman" w:hAnsi="Times New Roman" w:cs="Times New Roman"/>
                <w:sz w:val="14"/>
                <w:szCs w:val="16"/>
              </w:rPr>
              <w:t>RIN del Banco Central</w:t>
            </w:r>
          </w:p>
        </w:tc>
        <w:tc>
          <w:tcPr>
            <w:tcW w:w="1104" w:type="dxa"/>
            <w:vAlign w:val="center"/>
          </w:tcPr>
          <w:p w14:paraId="67F139DA"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diciembre 2023</w:t>
            </w:r>
          </w:p>
          <w:p w14:paraId="2C455FCD" w14:textId="77777777" w:rsidR="007B0095" w:rsidRPr="00C110F2" w:rsidRDefault="007B0095" w:rsidP="00973C72">
            <w:pPr>
              <w:jc w:val="center"/>
              <w:rPr>
                <w:rFonts w:ascii="Times New Roman" w:hAnsi="Times New Roman" w:cs="Times New Roman"/>
                <w:sz w:val="11"/>
                <w:szCs w:val="11"/>
              </w:rPr>
            </w:pPr>
            <w:r w:rsidRPr="00C110F2">
              <w:rPr>
                <w:noProof/>
                <w:sz w:val="11"/>
                <w:szCs w:val="11"/>
              </w:rPr>
              <w:drawing>
                <wp:inline distT="0" distB="0" distL="0" distR="0" wp14:anchorId="6F26378F" wp14:editId="282E6089">
                  <wp:extent cx="76200" cy="63500"/>
                  <wp:effectExtent l="0" t="0" r="0" b="0"/>
                  <wp:docPr id="1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jpg"/>
                          <pic:cNvPicPr/>
                        </pic:nvPicPr>
                        <pic:blipFill>
                          <a:blip r:embed="rId68"/>
                          <a:stretch>
                            <a:fillRect/>
                          </a:stretch>
                        </pic:blipFill>
                        <pic:spPr>
                          <a:xfrm>
                            <a:off x="0" y="0"/>
                            <a:ext cx="76200" cy="63500"/>
                          </a:xfrm>
                          <a:prstGeom prst="rect">
                            <a:avLst/>
                          </a:prstGeom>
                        </pic:spPr>
                      </pic:pic>
                    </a:graphicData>
                  </a:graphic>
                </wp:inline>
              </w:drawing>
            </w:r>
            <w:r w:rsidRPr="00C110F2">
              <w:rPr>
                <w:rFonts w:ascii="Times New Roman" w:hAnsi="Times New Roman" w:cs="Times New Roman"/>
                <w:sz w:val="11"/>
                <w:szCs w:val="11"/>
              </w:rPr>
              <w:t>54.61%</w:t>
            </w:r>
          </w:p>
        </w:tc>
        <w:tc>
          <w:tcPr>
            <w:tcW w:w="1112" w:type="dxa"/>
            <w:vAlign w:val="center"/>
          </w:tcPr>
          <w:p w14:paraId="7C78FBC2"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noviembre 2023</w:t>
            </w:r>
          </w:p>
          <w:p w14:paraId="485F3BD6" w14:textId="77777777" w:rsidR="007B0095" w:rsidRPr="00C110F2" w:rsidRDefault="007B0095" w:rsidP="00973C72">
            <w:pPr>
              <w:jc w:val="center"/>
              <w:rPr>
                <w:rFonts w:ascii="Times New Roman" w:hAnsi="Times New Roman" w:cs="Times New Roman"/>
                <w:sz w:val="11"/>
                <w:szCs w:val="11"/>
              </w:rPr>
            </w:pPr>
            <w:r w:rsidRPr="00C110F2">
              <w:rPr>
                <w:noProof/>
                <w:sz w:val="11"/>
                <w:szCs w:val="11"/>
              </w:rPr>
              <w:drawing>
                <wp:inline distT="0" distB="0" distL="0" distR="0" wp14:anchorId="163A3DB7" wp14:editId="535E5611">
                  <wp:extent cx="76200" cy="63500"/>
                  <wp:effectExtent l="0" t="0" r="0" b="0"/>
                  <wp:docPr id="1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jpg"/>
                          <pic:cNvPicPr/>
                        </pic:nvPicPr>
                        <pic:blipFill>
                          <a:blip r:embed="rId68"/>
                          <a:stretch>
                            <a:fillRect/>
                          </a:stretch>
                        </pic:blipFill>
                        <pic:spPr>
                          <a:xfrm>
                            <a:off x="0" y="0"/>
                            <a:ext cx="76200" cy="63500"/>
                          </a:xfrm>
                          <a:prstGeom prst="rect">
                            <a:avLst/>
                          </a:prstGeom>
                        </pic:spPr>
                      </pic:pic>
                    </a:graphicData>
                  </a:graphic>
                </wp:inline>
              </w:drawing>
            </w:r>
            <w:r w:rsidRPr="00C110F2">
              <w:rPr>
                <w:rFonts w:ascii="Times New Roman" w:hAnsi="Times New Roman" w:cs="Times New Roman"/>
                <w:sz w:val="11"/>
                <w:szCs w:val="11"/>
              </w:rPr>
              <w:t>8.1%</w:t>
            </w:r>
          </w:p>
        </w:tc>
        <w:tc>
          <w:tcPr>
            <w:tcW w:w="1128" w:type="dxa"/>
            <w:vAlign w:val="center"/>
          </w:tcPr>
          <w:p w14:paraId="08874C0D"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diciembre 2023</w:t>
            </w:r>
          </w:p>
          <w:p w14:paraId="497D30E4" w14:textId="77777777" w:rsidR="007B0095" w:rsidRPr="00C110F2" w:rsidRDefault="007B0095" w:rsidP="00973C72">
            <w:pPr>
              <w:jc w:val="center"/>
              <w:rPr>
                <w:rFonts w:ascii="Times New Roman" w:hAnsi="Times New Roman" w:cs="Times New Roman"/>
                <w:sz w:val="11"/>
                <w:szCs w:val="11"/>
              </w:rPr>
            </w:pPr>
            <w:r w:rsidRPr="00C110F2">
              <w:rPr>
                <w:noProof/>
                <w:sz w:val="11"/>
                <w:szCs w:val="11"/>
              </w:rPr>
              <w:drawing>
                <wp:inline distT="0" distB="0" distL="0" distR="0" wp14:anchorId="6518BA0B" wp14:editId="00A6191B">
                  <wp:extent cx="57150" cy="57150"/>
                  <wp:effectExtent l="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jpg"/>
                          <pic:cNvPicPr/>
                        </pic:nvPicPr>
                        <pic:blipFill>
                          <a:blip r:embed="rId69"/>
                          <a:stretch>
                            <a:fillRect/>
                          </a:stretch>
                        </pic:blipFill>
                        <pic:spPr>
                          <a:xfrm>
                            <a:off x="0" y="0"/>
                            <a:ext cx="57150" cy="57150"/>
                          </a:xfrm>
                          <a:prstGeom prst="rect">
                            <a:avLst/>
                          </a:prstGeom>
                        </pic:spPr>
                      </pic:pic>
                    </a:graphicData>
                  </a:graphic>
                </wp:inline>
              </w:drawing>
            </w:r>
            <w:r w:rsidRPr="00C110F2">
              <w:rPr>
                <w:rFonts w:ascii="Times New Roman" w:hAnsi="Times New Roman" w:cs="Times New Roman"/>
                <w:sz w:val="11"/>
                <w:szCs w:val="11"/>
              </w:rPr>
              <w:t>6.49%</w:t>
            </w:r>
          </w:p>
        </w:tc>
        <w:tc>
          <w:tcPr>
            <w:tcW w:w="1047" w:type="dxa"/>
            <w:vAlign w:val="center"/>
          </w:tcPr>
          <w:p w14:paraId="62C96E12"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noviembre 2023</w:t>
            </w:r>
          </w:p>
          <w:p w14:paraId="6490A12C" w14:textId="77777777" w:rsidR="007B0095" w:rsidRPr="00C110F2" w:rsidRDefault="007B0095" w:rsidP="00973C72">
            <w:pPr>
              <w:jc w:val="center"/>
              <w:rPr>
                <w:rFonts w:ascii="Times New Roman" w:hAnsi="Times New Roman" w:cs="Times New Roman"/>
                <w:sz w:val="11"/>
                <w:szCs w:val="11"/>
              </w:rPr>
            </w:pPr>
            <w:r w:rsidRPr="00C110F2">
              <w:rPr>
                <w:noProof/>
                <w:sz w:val="11"/>
                <w:szCs w:val="11"/>
              </w:rPr>
              <w:drawing>
                <wp:inline distT="0" distB="0" distL="0" distR="0" wp14:anchorId="7F1DE3DE" wp14:editId="38BBAB4B">
                  <wp:extent cx="57150" cy="57150"/>
                  <wp:effectExtent l="0" t="0" r="0" b="0"/>
                  <wp:docPr id="1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jpg"/>
                          <pic:cNvPicPr/>
                        </pic:nvPicPr>
                        <pic:blipFill>
                          <a:blip r:embed="rId69"/>
                          <a:stretch>
                            <a:fillRect/>
                          </a:stretch>
                        </pic:blipFill>
                        <pic:spPr>
                          <a:xfrm>
                            <a:off x="0" y="0"/>
                            <a:ext cx="57150" cy="57150"/>
                          </a:xfrm>
                          <a:prstGeom prst="rect">
                            <a:avLst/>
                          </a:prstGeom>
                        </pic:spPr>
                      </pic:pic>
                    </a:graphicData>
                  </a:graphic>
                </wp:inline>
              </w:drawing>
            </w:r>
            <w:r w:rsidRPr="00C110F2">
              <w:rPr>
                <w:rFonts w:ascii="Times New Roman" w:hAnsi="Times New Roman" w:cs="Times New Roman"/>
                <w:sz w:val="11"/>
                <w:szCs w:val="11"/>
              </w:rPr>
              <w:t>-6.52%</w:t>
            </w:r>
          </w:p>
        </w:tc>
        <w:tc>
          <w:tcPr>
            <w:tcW w:w="1140" w:type="dxa"/>
            <w:vAlign w:val="center"/>
          </w:tcPr>
          <w:p w14:paraId="1B83FFC2"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septiembre 2023</w:t>
            </w:r>
          </w:p>
          <w:p w14:paraId="31F78919" w14:textId="77777777" w:rsidR="007B0095" w:rsidRPr="00C110F2" w:rsidRDefault="007B0095" w:rsidP="00973C72">
            <w:pPr>
              <w:jc w:val="center"/>
              <w:rPr>
                <w:rFonts w:ascii="Times New Roman" w:hAnsi="Times New Roman" w:cs="Times New Roman"/>
                <w:sz w:val="11"/>
                <w:szCs w:val="11"/>
              </w:rPr>
            </w:pPr>
            <w:r w:rsidRPr="00C110F2">
              <w:rPr>
                <w:noProof/>
                <w:sz w:val="11"/>
                <w:szCs w:val="11"/>
              </w:rPr>
              <w:drawing>
                <wp:inline distT="0" distB="0" distL="0" distR="0" wp14:anchorId="12A733FD" wp14:editId="33823F49">
                  <wp:extent cx="76200" cy="63500"/>
                  <wp:effectExtent l="0" t="0" r="0" b="0"/>
                  <wp:docPr id="1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jpg"/>
                          <pic:cNvPicPr/>
                        </pic:nvPicPr>
                        <pic:blipFill>
                          <a:blip r:embed="rId68"/>
                          <a:stretch>
                            <a:fillRect/>
                          </a:stretch>
                        </pic:blipFill>
                        <pic:spPr>
                          <a:xfrm>
                            <a:off x="0" y="0"/>
                            <a:ext cx="76200" cy="63500"/>
                          </a:xfrm>
                          <a:prstGeom prst="rect">
                            <a:avLst/>
                          </a:prstGeom>
                        </pic:spPr>
                      </pic:pic>
                    </a:graphicData>
                  </a:graphic>
                </wp:inline>
              </w:drawing>
            </w:r>
            <w:r w:rsidRPr="00C110F2">
              <w:rPr>
                <w:rFonts w:ascii="Times New Roman" w:hAnsi="Times New Roman" w:cs="Times New Roman"/>
                <w:sz w:val="11"/>
                <w:szCs w:val="11"/>
              </w:rPr>
              <w:t>23.05%</w:t>
            </w:r>
          </w:p>
        </w:tc>
        <w:tc>
          <w:tcPr>
            <w:tcW w:w="1140" w:type="dxa"/>
            <w:vAlign w:val="center"/>
          </w:tcPr>
          <w:p w14:paraId="005352D6"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noviembre 2023</w:t>
            </w:r>
          </w:p>
          <w:p w14:paraId="179D8B8D" w14:textId="77777777" w:rsidR="007B0095" w:rsidRPr="00C110F2" w:rsidRDefault="007B0095" w:rsidP="00973C72">
            <w:pPr>
              <w:jc w:val="center"/>
              <w:rPr>
                <w:rFonts w:ascii="Times New Roman" w:hAnsi="Times New Roman" w:cs="Times New Roman"/>
                <w:sz w:val="11"/>
                <w:szCs w:val="11"/>
              </w:rPr>
            </w:pPr>
            <w:r w:rsidRPr="00C110F2">
              <w:rPr>
                <w:noProof/>
                <w:sz w:val="11"/>
                <w:szCs w:val="11"/>
              </w:rPr>
              <w:drawing>
                <wp:inline distT="0" distB="0" distL="0" distR="0" wp14:anchorId="26C2AD36" wp14:editId="157BB45B">
                  <wp:extent cx="57150" cy="57150"/>
                  <wp:effectExtent l="0" t="0" r="0" b="0"/>
                  <wp:docPr id="1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jpg"/>
                          <pic:cNvPicPr/>
                        </pic:nvPicPr>
                        <pic:blipFill>
                          <a:blip r:embed="rId69"/>
                          <a:stretch>
                            <a:fillRect/>
                          </a:stretch>
                        </pic:blipFill>
                        <pic:spPr>
                          <a:xfrm>
                            <a:off x="0" y="0"/>
                            <a:ext cx="57150" cy="57150"/>
                          </a:xfrm>
                          <a:prstGeom prst="rect">
                            <a:avLst/>
                          </a:prstGeom>
                        </pic:spPr>
                      </pic:pic>
                    </a:graphicData>
                  </a:graphic>
                </wp:inline>
              </w:drawing>
            </w:r>
            <w:r w:rsidRPr="00C110F2">
              <w:rPr>
                <w:rFonts w:ascii="Times New Roman" w:hAnsi="Times New Roman" w:cs="Times New Roman"/>
                <w:sz w:val="11"/>
                <w:szCs w:val="11"/>
              </w:rPr>
              <w:t>14.98%</w:t>
            </w:r>
          </w:p>
        </w:tc>
        <w:tc>
          <w:tcPr>
            <w:tcW w:w="1092" w:type="dxa"/>
            <w:vAlign w:val="center"/>
          </w:tcPr>
          <w:p w14:paraId="11FF4F5B" w14:textId="77777777" w:rsidR="007B0095" w:rsidRPr="00C110F2" w:rsidRDefault="007B0095" w:rsidP="00973C72">
            <w:pPr>
              <w:jc w:val="center"/>
              <w:rPr>
                <w:rFonts w:ascii="Times New Roman" w:hAnsi="Times New Roman" w:cs="Times New Roman"/>
                <w:sz w:val="11"/>
                <w:szCs w:val="11"/>
              </w:rPr>
            </w:pPr>
            <w:r w:rsidRPr="00C110F2">
              <w:rPr>
                <w:rFonts w:ascii="Times New Roman" w:hAnsi="Times New Roman" w:cs="Times New Roman"/>
                <w:sz w:val="11"/>
                <w:szCs w:val="11"/>
              </w:rPr>
              <w:t>a octubre 2023</w:t>
            </w:r>
          </w:p>
          <w:p w14:paraId="0A942192" w14:textId="77777777" w:rsidR="007B0095" w:rsidRPr="00C110F2" w:rsidRDefault="007B0095" w:rsidP="00973C72">
            <w:pPr>
              <w:jc w:val="center"/>
              <w:rPr>
                <w:rFonts w:ascii="Times New Roman" w:hAnsi="Times New Roman" w:cs="Times New Roman"/>
                <w:sz w:val="11"/>
                <w:szCs w:val="11"/>
              </w:rPr>
            </w:pPr>
            <w:r w:rsidRPr="00C110F2">
              <w:rPr>
                <w:noProof/>
                <w:sz w:val="11"/>
                <w:szCs w:val="11"/>
              </w:rPr>
              <w:drawing>
                <wp:inline distT="0" distB="0" distL="0" distR="0" wp14:anchorId="45C2C254" wp14:editId="5BA5DDFD">
                  <wp:extent cx="57150" cy="57150"/>
                  <wp:effectExtent l="0" t="0" r="0" b="0"/>
                  <wp:docPr id="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jpg"/>
                          <pic:cNvPicPr/>
                        </pic:nvPicPr>
                        <pic:blipFill>
                          <a:blip r:embed="rId69"/>
                          <a:stretch>
                            <a:fillRect/>
                          </a:stretch>
                        </pic:blipFill>
                        <pic:spPr>
                          <a:xfrm>
                            <a:off x="0" y="0"/>
                            <a:ext cx="57150" cy="57150"/>
                          </a:xfrm>
                          <a:prstGeom prst="rect">
                            <a:avLst/>
                          </a:prstGeom>
                        </pic:spPr>
                      </pic:pic>
                    </a:graphicData>
                  </a:graphic>
                </wp:inline>
              </w:drawing>
            </w:r>
            <w:r w:rsidRPr="00C110F2">
              <w:rPr>
                <w:rFonts w:ascii="Times New Roman" w:hAnsi="Times New Roman" w:cs="Times New Roman"/>
                <w:sz w:val="11"/>
                <w:szCs w:val="11"/>
              </w:rPr>
              <w:t>-11.22%</w:t>
            </w:r>
          </w:p>
        </w:tc>
      </w:tr>
    </w:tbl>
    <w:p w14:paraId="640A5ADE" w14:textId="77777777" w:rsidR="007B0095" w:rsidRPr="00C110F2" w:rsidRDefault="007B0095" w:rsidP="007B0095">
      <w:pPr>
        <w:rPr>
          <w:rFonts w:ascii="Times New Roman" w:hAnsi="Times New Roman" w:cs="Times New Roman"/>
          <w:sz w:val="16"/>
        </w:rPr>
      </w:pPr>
      <w:r w:rsidRPr="00C110F2">
        <w:rPr>
          <w:rFonts w:ascii="Times New Roman" w:hAnsi="Times New Roman" w:cs="Times New Roman"/>
          <w:sz w:val="16"/>
        </w:rPr>
        <w:t>Fuente: Consejo Monetario Centroamericano.</w:t>
      </w:r>
    </w:p>
    <w:p w14:paraId="7C4CF067" w14:textId="77777777" w:rsidR="007B0095" w:rsidRPr="00C110F2" w:rsidRDefault="007B0095" w:rsidP="007B0095">
      <w:pPr>
        <w:rPr>
          <w:rFonts w:ascii="Times New Roman" w:hAnsi="Times New Roman" w:cs="Times New Roman"/>
          <w:sz w:val="16"/>
        </w:rPr>
      </w:pPr>
      <w:r w:rsidRPr="00C110F2">
        <w:rPr>
          <w:rFonts w:ascii="Times New Roman" w:hAnsi="Times New Roman" w:cs="Times New Roman"/>
          <w:sz w:val="16"/>
        </w:rPr>
        <w:t>Nota: Las flechas verdes indican un aumento en la variable con respecto su valor anterior, las rojas una disminución y las amarillas que se mantuvieron.</w:t>
      </w:r>
    </w:p>
    <w:p w14:paraId="2EAFA5FE" w14:textId="77777777" w:rsidR="007B0095" w:rsidRPr="00C110F2" w:rsidRDefault="007B0095" w:rsidP="007B0095">
      <w:pPr>
        <w:rPr>
          <w:rFonts w:ascii="Times New Roman" w:hAnsi="Times New Roman" w:cs="Times New Roman"/>
          <w:sz w:val="16"/>
        </w:rPr>
      </w:pPr>
    </w:p>
    <w:p w14:paraId="237FBD71" w14:textId="77777777" w:rsidR="007B0095" w:rsidRPr="00C110F2" w:rsidRDefault="007B0095" w:rsidP="00053BEC">
      <w:pPr>
        <w:rPr>
          <w:rFonts w:ascii="Times New Roman" w:eastAsia="Times New Roman" w:hAnsi="Times New Roman" w:cs="Times New Roman"/>
          <w:sz w:val="16"/>
          <w:lang w:eastAsia="es-ES"/>
        </w:rPr>
      </w:pPr>
    </w:p>
    <w:p w14:paraId="76936C6B" w14:textId="77777777" w:rsidR="007B0095" w:rsidRPr="00F22DD8" w:rsidRDefault="007B0095" w:rsidP="00053BEC">
      <w:pPr>
        <w:pStyle w:val="Prrafodelista"/>
        <w:keepNext/>
        <w:keepLines/>
        <w:numPr>
          <w:ilvl w:val="2"/>
          <w:numId w:val="28"/>
        </w:numPr>
        <w:tabs>
          <w:tab w:val="left" w:pos="1134"/>
        </w:tabs>
        <w:spacing w:line="276" w:lineRule="auto"/>
        <w:jc w:val="both"/>
        <w:outlineLvl w:val="2"/>
        <w:rPr>
          <w:rFonts w:ascii="Times New Roman" w:eastAsiaTheme="majorEastAsia" w:hAnsi="Times New Roman" w:cs="Times New Roman"/>
          <w:b/>
          <w:bCs/>
          <w:sz w:val="24"/>
          <w:szCs w:val="24"/>
        </w:rPr>
      </w:pPr>
      <w:bookmarkStart w:id="210" w:name="_Toc125723303"/>
      <w:bookmarkStart w:id="211" w:name="_Toc160196872"/>
      <w:r w:rsidRPr="00F22DD8">
        <w:rPr>
          <w:rFonts w:ascii="Times New Roman" w:eastAsiaTheme="majorEastAsia" w:hAnsi="Times New Roman" w:cs="Times New Roman"/>
          <w:b/>
          <w:bCs/>
          <w:sz w:val="24"/>
          <w:szCs w:val="24"/>
        </w:rPr>
        <w:t>Entorno Interno</w:t>
      </w:r>
      <w:bookmarkEnd w:id="210"/>
      <w:bookmarkEnd w:id="211"/>
      <w:r w:rsidRPr="00F22DD8">
        <w:rPr>
          <w:rFonts w:ascii="Times New Roman" w:eastAsiaTheme="majorEastAsia" w:hAnsi="Times New Roman" w:cs="Times New Roman"/>
          <w:b/>
          <w:bCs/>
          <w:sz w:val="24"/>
          <w:szCs w:val="24"/>
        </w:rPr>
        <w:t xml:space="preserve"> </w:t>
      </w:r>
      <w:bookmarkStart w:id="212" w:name="_Toc94250376"/>
      <w:bookmarkStart w:id="213" w:name="_Toc94250438"/>
      <w:bookmarkStart w:id="214" w:name="_Toc94251078"/>
      <w:bookmarkStart w:id="215" w:name="_Toc94257739"/>
      <w:bookmarkStart w:id="216" w:name="_Toc94259655"/>
      <w:bookmarkStart w:id="217" w:name="_Toc125451220"/>
      <w:bookmarkStart w:id="218" w:name="_Toc125451333"/>
      <w:bookmarkStart w:id="219" w:name="_Toc94257740"/>
      <w:bookmarkStart w:id="220" w:name="_Toc94259656"/>
      <w:bookmarkStart w:id="221" w:name="_Toc125451221"/>
      <w:bookmarkStart w:id="222" w:name="_Toc125451334"/>
      <w:bookmarkStart w:id="223" w:name="_Toc94257743"/>
      <w:bookmarkStart w:id="224" w:name="_Toc94259659"/>
      <w:bookmarkStart w:id="225" w:name="_Toc125451224"/>
      <w:bookmarkStart w:id="226" w:name="_Toc125451337"/>
      <w:bookmarkStart w:id="227" w:name="_Toc93398036"/>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bookmarkEnd w:id="227"/>
    <w:p w14:paraId="10B332F2" w14:textId="77777777" w:rsidR="007B0095" w:rsidRPr="00C110F2" w:rsidRDefault="007B0095" w:rsidP="00053BEC">
      <w:pPr>
        <w:rPr>
          <w:rFonts w:ascii="Times New Roman" w:eastAsia="Times New Roman" w:hAnsi="Times New Roman" w:cs="Times New Roman"/>
          <w:sz w:val="16"/>
          <w:szCs w:val="22"/>
        </w:rPr>
      </w:pPr>
    </w:p>
    <w:p w14:paraId="45B61AF2" w14:textId="334F8591" w:rsidR="007B0095" w:rsidRPr="00C110F2" w:rsidRDefault="007B0095" w:rsidP="00053BEC">
      <w:pPr>
        <w:numPr>
          <w:ilvl w:val="0"/>
          <w:numId w:val="14"/>
        </w:numPr>
        <w:contextualSpacing/>
        <w:jc w:val="both"/>
        <w:rPr>
          <w:rFonts w:ascii="Times New Roman" w:eastAsia="Times New Roman" w:hAnsi="Times New Roman" w:cs="Times New Roman"/>
          <w:noProof/>
          <w:sz w:val="22"/>
          <w:szCs w:val="22"/>
          <w:lang w:eastAsia="es-GT"/>
        </w:rPr>
      </w:pPr>
      <w:r w:rsidRPr="00C110F2">
        <w:rPr>
          <w:rFonts w:ascii="Times New Roman" w:eastAsia="Times New Roman" w:hAnsi="Times New Roman" w:cs="Times New Roman"/>
          <w:noProof/>
          <w:sz w:val="22"/>
          <w:szCs w:val="22"/>
          <w:lang w:eastAsia="es-GT"/>
        </w:rPr>
        <w:t>El Banco de Guatemala prevé que el crecimiento económico cerrará en 3.5% en 2023, cercano al potencial. La actividad económica mostró resilencia ante los choques de origen externos e internos, relacionados al complicado entorno nacional, que destacó por la baja de la demanda externa y tensiones geopolítica, además de la incertidumbre política a nivel nacional. Esta estimación de cierre considera que el consumo privado tiene la mayor participación en el PIB del lado del gasto, crecerá 3.6%</w:t>
      </w:r>
      <w:r w:rsidR="008A29AD">
        <w:rPr>
          <w:rFonts w:ascii="Times New Roman" w:eastAsia="Times New Roman" w:hAnsi="Times New Roman" w:cs="Times New Roman"/>
          <w:noProof/>
          <w:sz w:val="22"/>
          <w:szCs w:val="22"/>
          <w:lang w:eastAsia="es-GT"/>
        </w:rPr>
        <w:t>;</w:t>
      </w:r>
      <w:r w:rsidRPr="00C110F2">
        <w:rPr>
          <w:rFonts w:ascii="Times New Roman" w:eastAsia="Times New Roman" w:hAnsi="Times New Roman" w:cs="Times New Roman"/>
          <w:noProof/>
          <w:sz w:val="22"/>
          <w:szCs w:val="22"/>
          <w:lang w:eastAsia="es-GT"/>
        </w:rPr>
        <w:t xml:space="preserve"> el consumo de gobierno 3.9%</w:t>
      </w:r>
      <w:r w:rsidR="008A29AD">
        <w:rPr>
          <w:rFonts w:ascii="Times New Roman" w:eastAsia="Times New Roman" w:hAnsi="Times New Roman" w:cs="Times New Roman"/>
          <w:noProof/>
          <w:sz w:val="22"/>
          <w:szCs w:val="22"/>
          <w:lang w:eastAsia="es-GT"/>
        </w:rPr>
        <w:t>,</w:t>
      </w:r>
      <w:r w:rsidRPr="00C110F2">
        <w:rPr>
          <w:rFonts w:ascii="Times New Roman" w:eastAsia="Times New Roman" w:hAnsi="Times New Roman" w:cs="Times New Roman"/>
          <w:noProof/>
          <w:sz w:val="22"/>
          <w:szCs w:val="22"/>
          <w:lang w:eastAsia="es-GT"/>
        </w:rPr>
        <w:t xml:space="preserve"> y la formación brutal de capital fjo 8.5%, impulsada por el crecimiento del volumen de maquinaria, equipo y otros. Por su parte </w:t>
      </w:r>
      <w:r w:rsidR="00DB315C">
        <w:rPr>
          <w:rFonts w:ascii="Times New Roman" w:eastAsia="Times New Roman" w:hAnsi="Times New Roman" w:cs="Times New Roman"/>
          <w:noProof/>
          <w:sz w:val="22"/>
          <w:szCs w:val="22"/>
          <w:lang w:eastAsia="es-GT"/>
        </w:rPr>
        <w:t>las</w:t>
      </w:r>
      <w:r w:rsidRPr="00C110F2">
        <w:rPr>
          <w:rFonts w:ascii="Times New Roman" w:eastAsia="Times New Roman" w:hAnsi="Times New Roman" w:cs="Times New Roman"/>
          <w:noProof/>
          <w:sz w:val="22"/>
          <w:szCs w:val="22"/>
          <w:lang w:eastAsia="es-GT"/>
        </w:rPr>
        <w:t xml:space="preserve"> exportaciones de bienes y servicios reales dismunirían 0.4% y las importaciones crecerían alrededor de 4.1% para dicho año.</w:t>
      </w:r>
    </w:p>
    <w:p w14:paraId="7634961E" w14:textId="77777777" w:rsidR="007B0095" w:rsidRPr="00C110F2" w:rsidRDefault="007B0095" w:rsidP="00053BEC">
      <w:pPr>
        <w:ind w:left="720"/>
        <w:contextualSpacing/>
        <w:jc w:val="both"/>
        <w:rPr>
          <w:rFonts w:ascii="Times New Roman" w:eastAsia="Times New Roman" w:hAnsi="Times New Roman" w:cs="Times New Roman"/>
          <w:noProof/>
          <w:sz w:val="22"/>
          <w:szCs w:val="22"/>
          <w:lang w:eastAsia="es-GT"/>
        </w:rPr>
      </w:pPr>
    </w:p>
    <w:p w14:paraId="5A7005CB" w14:textId="0CC3D57C" w:rsidR="007B0095" w:rsidRPr="00C110F2" w:rsidRDefault="007B0095" w:rsidP="00053BEC">
      <w:pPr>
        <w:numPr>
          <w:ilvl w:val="0"/>
          <w:numId w:val="14"/>
        </w:numPr>
        <w:contextualSpacing/>
        <w:jc w:val="both"/>
        <w:rPr>
          <w:rFonts w:ascii="Times New Roman" w:eastAsia="Times New Roman" w:hAnsi="Times New Roman" w:cs="Times New Roman"/>
          <w:noProof/>
          <w:sz w:val="22"/>
          <w:szCs w:val="22"/>
          <w:lang w:eastAsia="es-GT"/>
        </w:rPr>
      </w:pPr>
      <w:r w:rsidRPr="00C110F2">
        <w:rPr>
          <w:rFonts w:ascii="Times New Roman" w:eastAsia="Times New Roman" w:hAnsi="Times New Roman" w:cs="Times New Roman"/>
          <w:noProof/>
          <w:sz w:val="22"/>
          <w:szCs w:val="22"/>
          <w:lang w:eastAsia="es-GT"/>
        </w:rPr>
        <w:t xml:space="preserve">En lo que respecta al índice de Confianza de la Actividad Económica -ICAE-, que mide la percepción de un panel de analistas privados sobre la situación económica actual, se observó </w:t>
      </w:r>
      <w:r w:rsidR="008A29AD">
        <w:rPr>
          <w:rFonts w:ascii="Times New Roman" w:eastAsia="Times New Roman" w:hAnsi="Times New Roman" w:cs="Times New Roman"/>
          <w:noProof/>
          <w:sz w:val="22"/>
          <w:szCs w:val="22"/>
          <w:lang w:eastAsia="es-GT"/>
        </w:rPr>
        <w:t xml:space="preserve">por </w:t>
      </w:r>
      <w:r w:rsidRPr="00C110F2">
        <w:rPr>
          <w:rFonts w:ascii="Times New Roman" w:eastAsia="Times New Roman" w:hAnsi="Times New Roman" w:cs="Times New Roman"/>
          <w:noProof/>
          <w:sz w:val="22"/>
          <w:szCs w:val="22"/>
          <w:lang w:eastAsia="es-GT"/>
        </w:rPr>
        <w:t>debajo de los 50 puntos del índice y report</w:t>
      </w:r>
      <w:r>
        <w:rPr>
          <w:rFonts w:ascii="Times New Roman" w:eastAsia="Times New Roman" w:hAnsi="Times New Roman" w:cs="Times New Roman"/>
          <w:noProof/>
          <w:sz w:val="22"/>
          <w:szCs w:val="22"/>
          <w:lang w:eastAsia="es-GT"/>
        </w:rPr>
        <w:t>ó</w:t>
      </w:r>
      <w:r w:rsidRPr="00C110F2">
        <w:rPr>
          <w:rFonts w:ascii="Times New Roman" w:eastAsia="Times New Roman" w:hAnsi="Times New Roman" w:cs="Times New Roman"/>
          <w:noProof/>
          <w:sz w:val="22"/>
          <w:szCs w:val="22"/>
          <w:lang w:eastAsia="es-GT"/>
        </w:rPr>
        <w:t xml:space="preserve"> nivel de 47.1</w:t>
      </w:r>
      <w:r w:rsidR="001F10FC">
        <w:rPr>
          <w:rFonts w:ascii="Times New Roman" w:eastAsia="Times New Roman" w:hAnsi="Times New Roman" w:cs="Times New Roman"/>
          <w:noProof/>
          <w:sz w:val="22"/>
          <w:szCs w:val="22"/>
          <w:lang w:eastAsia="es-GT"/>
        </w:rPr>
        <w:t>%</w:t>
      </w:r>
      <w:r w:rsidRPr="00C110F2">
        <w:rPr>
          <w:rFonts w:ascii="Times New Roman" w:eastAsia="Times New Roman" w:hAnsi="Times New Roman" w:cs="Times New Roman"/>
          <w:noProof/>
          <w:sz w:val="22"/>
          <w:szCs w:val="22"/>
          <w:lang w:eastAsia="es-GT"/>
        </w:rPr>
        <w:t xml:space="preserve"> para diciembre de 2023, mostrando aún una perspectiva de incertidumbre en el corto plazo.</w:t>
      </w:r>
    </w:p>
    <w:p w14:paraId="169B1131" w14:textId="77777777" w:rsidR="007B0095" w:rsidRPr="00C110F2" w:rsidRDefault="007B0095" w:rsidP="00053BEC">
      <w:pPr>
        <w:pStyle w:val="Prrafodelista"/>
        <w:rPr>
          <w:rFonts w:ascii="Times New Roman" w:eastAsia="Times New Roman" w:hAnsi="Times New Roman" w:cs="Times New Roman"/>
          <w:noProof/>
          <w:lang w:eastAsia="es-GT"/>
        </w:rPr>
      </w:pPr>
    </w:p>
    <w:p w14:paraId="55EF5379" w14:textId="77777777" w:rsidR="007B0095" w:rsidRPr="00C110F2" w:rsidRDefault="007B0095" w:rsidP="00053BEC">
      <w:pPr>
        <w:numPr>
          <w:ilvl w:val="0"/>
          <w:numId w:val="14"/>
        </w:numPr>
        <w:contextualSpacing/>
        <w:jc w:val="both"/>
        <w:rPr>
          <w:rFonts w:ascii="Times New Roman" w:eastAsia="Times New Roman" w:hAnsi="Times New Roman" w:cs="Times New Roman"/>
          <w:noProof/>
          <w:color w:val="FF0000"/>
          <w:sz w:val="22"/>
          <w:szCs w:val="22"/>
          <w:lang w:eastAsia="es-GT"/>
        </w:rPr>
      </w:pPr>
      <w:r w:rsidRPr="00C110F2">
        <w:rPr>
          <w:rFonts w:ascii="Times New Roman" w:eastAsia="Times New Roman" w:hAnsi="Times New Roman" w:cs="Times New Roman"/>
          <w:noProof/>
          <w:sz w:val="22"/>
          <w:szCs w:val="22"/>
          <w:lang w:eastAsia="es-GT"/>
        </w:rPr>
        <w:lastRenderedPageBreak/>
        <w:t>El ritmo inflacionaro en Guatemala registró a diciembre de 2023 un incremento interanual de 4.2%, menor en 5.1 puntos porcentuales a la reportada en el mismo mes del año anterior. La inflación regres</w:t>
      </w:r>
      <w:r>
        <w:rPr>
          <w:rFonts w:ascii="Times New Roman" w:eastAsia="Times New Roman" w:hAnsi="Times New Roman" w:cs="Times New Roman"/>
          <w:noProof/>
          <w:sz w:val="22"/>
          <w:szCs w:val="22"/>
          <w:lang w:eastAsia="es-GT"/>
        </w:rPr>
        <w:t>ó</w:t>
      </w:r>
      <w:r w:rsidRPr="00C110F2">
        <w:rPr>
          <w:rFonts w:ascii="Times New Roman" w:eastAsia="Times New Roman" w:hAnsi="Times New Roman" w:cs="Times New Roman"/>
          <w:noProof/>
          <w:sz w:val="22"/>
          <w:szCs w:val="22"/>
          <w:lang w:eastAsia="es-GT"/>
        </w:rPr>
        <w:t xml:space="preserve"> a la meta desde mediados de año, seis meses antes de lo que se tenía previsto, además la inflación importada fue negativa en noviembre de 2023. La inflación nacional comenz</w:t>
      </w:r>
      <w:r>
        <w:rPr>
          <w:rFonts w:ascii="Times New Roman" w:eastAsia="Times New Roman" w:hAnsi="Times New Roman" w:cs="Times New Roman"/>
          <w:noProof/>
          <w:sz w:val="22"/>
          <w:szCs w:val="22"/>
          <w:lang w:eastAsia="es-GT"/>
        </w:rPr>
        <w:t>ó</w:t>
      </w:r>
      <w:r w:rsidRPr="00C110F2">
        <w:rPr>
          <w:rFonts w:ascii="Times New Roman" w:eastAsia="Times New Roman" w:hAnsi="Times New Roman" w:cs="Times New Roman"/>
          <w:noProof/>
          <w:sz w:val="22"/>
          <w:szCs w:val="22"/>
          <w:lang w:eastAsia="es-GT"/>
        </w:rPr>
        <w:t xml:space="preserve"> a ceder por una política monetaría restrictiva, menor presión de la demanda agregada y la disminución de precios de los bienes internacionales. Por su parte</w:t>
      </w:r>
      <w:r>
        <w:rPr>
          <w:rFonts w:ascii="Times New Roman" w:eastAsia="Times New Roman" w:hAnsi="Times New Roman" w:cs="Times New Roman"/>
          <w:noProof/>
          <w:sz w:val="22"/>
          <w:szCs w:val="22"/>
          <w:lang w:eastAsia="es-GT"/>
        </w:rPr>
        <w:t>,</w:t>
      </w:r>
      <w:r w:rsidRPr="00C110F2">
        <w:rPr>
          <w:rFonts w:ascii="Times New Roman" w:eastAsia="Times New Roman" w:hAnsi="Times New Roman" w:cs="Times New Roman"/>
          <w:noProof/>
          <w:sz w:val="22"/>
          <w:szCs w:val="22"/>
          <w:lang w:eastAsia="es-GT"/>
        </w:rPr>
        <w:t xml:space="preserve"> la inflación subyacente se encontró en 3.9% en diciembre del 2023, menor que la de diciembre del año anterior de 5.0%.</w:t>
      </w:r>
    </w:p>
    <w:p w14:paraId="59623E85" w14:textId="1700FF42" w:rsidR="007B0095" w:rsidRDefault="007B0095" w:rsidP="007B0095"/>
    <w:p w14:paraId="1C4D4086" w14:textId="77777777" w:rsidR="00053BEC" w:rsidRPr="00C110F2" w:rsidRDefault="00053BEC" w:rsidP="007B0095"/>
    <w:tbl>
      <w:tblPr>
        <w:tblStyle w:val="Tablaconcuadrcu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0"/>
        <w:gridCol w:w="4648"/>
      </w:tblGrid>
      <w:tr w:rsidR="007B0095" w:rsidRPr="00C110F2" w14:paraId="096A11C7" w14:textId="77777777" w:rsidTr="00973C72">
        <w:tc>
          <w:tcPr>
            <w:tcW w:w="4190" w:type="dxa"/>
            <w:vAlign w:val="center"/>
          </w:tcPr>
          <w:p w14:paraId="29054DEF" w14:textId="7B9F6A73" w:rsidR="007B0095" w:rsidRPr="00C110F2" w:rsidRDefault="007B0095" w:rsidP="00973C72">
            <w:pPr>
              <w:spacing w:line="276" w:lineRule="auto"/>
              <w:contextualSpacing/>
              <w:jc w:val="center"/>
              <w:rPr>
                <w:rFonts w:ascii="Times New Roman" w:eastAsia="Times New Roman" w:hAnsi="Times New Roman"/>
                <w:b/>
                <w:bCs/>
              </w:rPr>
            </w:pPr>
            <w:bookmarkStart w:id="228" w:name="_Toc125733231"/>
            <w:bookmarkStart w:id="229" w:name="_Toc158103882"/>
            <w:r w:rsidRPr="00C110F2">
              <w:rPr>
                <w:rFonts w:ascii="Times New Roman" w:eastAsia="Times New Roman" w:hAnsi="Times New Roman"/>
                <w:b/>
              </w:rPr>
              <w:t xml:space="preserve">Gráfico </w:t>
            </w:r>
            <w:r w:rsidR="00DA2155">
              <w:rPr>
                <w:rFonts w:ascii="Times New Roman" w:eastAsia="Times New Roman" w:hAnsi="Times New Roman"/>
                <w:b/>
              </w:rPr>
              <w:fldChar w:fldCharType="begin"/>
            </w:r>
            <w:r w:rsidR="00DA2155">
              <w:rPr>
                <w:rFonts w:ascii="Times New Roman" w:eastAsia="Times New Roman" w:hAnsi="Times New Roman"/>
                <w:b/>
              </w:rPr>
              <w:instrText xml:space="preserve"> SEQ Gráfico \* ARABIC </w:instrText>
            </w:r>
            <w:r w:rsidR="00DA2155">
              <w:rPr>
                <w:rFonts w:ascii="Times New Roman" w:eastAsia="Times New Roman" w:hAnsi="Times New Roman"/>
                <w:b/>
              </w:rPr>
              <w:fldChar w:fldCharType="separate"/>
            </w:r>
            <w:r w:rsidR="00C015DC">
              <w:rPr>
                <w:rFonts w:ascii="Times New Roman" w:eastAsia="Times New Roman" w:hAnsi="Times New Roman"/>
                <w:b/>
                <w:noProof/>
              </w:rPr>
              <w:t>37</w:t>
            </w:r>
            <w:r w:rsidR="00DA2155">
              <w:rPr>
                <w:rFonts w:ascii="Times New Roman" w:eastAsia="Times New Roman" w:hAnsi="Times New Roman"/>
                <w:b/>
              </w:rPr>
              <w:fldChar w:fldCharType="end"/>
            </w:r>
            <w:r w:rsidRPr="00C110F2">
              <w:rPr>
                <w:rFonts w:ascii="Times New Roman" w:eastAsia="Times New Roman" w:hAnsi="Times New Roman"/>
                <w:b/>
              </w:rPr>
              <w:t>.</w:t>
            </w:r>
            <w:r w:rsidRPr="00C110F2">
              <w:rPr>
                <w:rFonts w:ascii="Times New Roman" w:eastAsiaTheme="majorEastAsia" w:hAnsi="Times New Roman" w:cs="Calibri"/>
                <w:b/>
                <w:bCs/>
              </w:rPr>
              <w:t xml:space="preserve"> </w:t>
            </w:r>
            <w:r w:rsidRPr="00C110F2">
              <w:rPr>
                <w:rFonts w:ascii="Times New Roman" w:eastAsia="Times New Roman" w:hAnsi="Times New Roman"/>
                <w:b/>
                <w:bCs/>
              </w:rPr>
              <w:t>IMAE y demanda de energía</w:t>
            </w:r>
            <w:bookmarkEnd w:id="228"/>
            <w:r>
              <w:rPr>
                <w:rFonts w:ascii="Times New Roman" w:eastAsia="Times New Roman" w:hAnsi="Times New Roman"/>
                <w:b/>
                <w:bCs/>
              </w:rPr>
              <w:t xml:space="preserve"> </w:t>
            </w:r>
            <w:r w:rsidRPr="0032628B">
              <w:rPr>
                <w:rFonts w:ascii="Times New Roman" w:eastAsia="Times New Roman" w:hAnsi="Times New Roman"/>
                <w:sz w:val="20"/>
                <w:szCs w:val="20"/>
              </w:rPr>
              <w:t>(porcentajes)</w:t>
            </w:r>
            <w:bookmarkEnd w:id="229"/>
          </w:p>
        </w:tc>
        <w:tc>
          <w:tcPr>
            <w:tcW w:w="4648" w:type="dxa"/>
            <w:vAlign w:val="center"/>
          </w:tcPr>
          <w:p w14:paraId="4B8B8697" w14:textId="60931F6B" w:rsidR="007B0095" w:rsidRDefault="007B0095" w:rsidP="00973C72">
            <w:pPr>
              <w:keepNext/>
              <w:spacing w:line="276" w:lineRule="auto"/>
              <w:contextualSpacing/>
              <w:jc w:val="center"/>
              <w:rPr>
                <w:rFonts w:ascii="Times New Roman" w:eastAsia="Times New Roman" w:hAnsi="Times New Roman"/>
                <w:b/>
                <w:bCs/>
                <w:color w:val="000000"/>
              </w:rPr>
            </w:pPr>
            <w:bookmarkStart w:id="230" w:name="_Toc125733232"/>
            <w:bookmarkStart w:id="231" w:name="_Toc158103883"/>
            <w:r w:rsidRPr="00C110F2">
              <w:rPr>
                <w:rFonts w:ascii="Times New Roman" w:eastAsia="Times New Roman" w:hAnsi="Times New Roman"/>
                <w:b/>
              </w:rPr>
              <w:t xml:space="preserve">Gráfico </w:t>
            </w:r>
            <w:r w:rsidR="00DA2155">
              <w:rPr>
                <w:rFonts w:ascii="Times New Roman" w:eastAsia="Times New Roman" w:hAnsi="Times New Roman"/>
                <w:b/>
              </w:rPr>
              <w:fldChar w:fldCharType="begin"/>
            </w:r>
            <w:r w:rsidR="00DA2155">
              <w:rPr>
                <w:rFonts w:ascii="Times New Roman" w:eastAsia="Times New Roman" w:hAnsi="Times New Roman"/>
                <w:b/>
              </w:rPr>
              <w:instrText xml:space="preserve"> SEQ Gráfico \* ARABIC </w:instrText>
            </w:r>
            <w:r w:rsidR="00DA2155">
              <w:rPr>
                <w:rFonts w:ascii="Times New Roman" w:eastAsia="Times New Roman" w:hAnsi="Times New Roman"/>
                <w:b/>
              </w:rPr>
              <w:fldChar w:fldCharType="separate"/>
            </w:r>
            <w:r w:rsidR="00C015DC">
              <w:rPr>
                <w:rFonts w:ascii="Times New Roman" w:eastAsia="Times New Roman" w:hAnsi="Times New Roman"/>
                <w:b/>
                <w:noProof/>
              </w:rPr>
              <w:t>38</w:t>
            </w:r>
            <w:r w:rsidR="00DA2155">
              <w:rPr>
                <w:rFonts w:ascii="Times New Roman" w:eastAsia="Times New Roman" w:hAnsi="Times New Roman"/>
                <w:b/>
              </w:rPr>
              <w:fldChar w:fldCharType="end"/>
            </w:r>
            <w:r w:rsidRPr="00C110F2">
              <w:rPr>
                <w:rFonts w:ascii="Times New Roman" w:eastAsia="Times New Roman" w:hAnsi="Times New Roman"/>
                <w:b/>
              </w:rPr>
              <w:t xml:space="preserve">. </w:t>
            </w:r>
            <w:r w:rsidRPr="00C110F2">
              <w:rPr>
                <w:rFonts w:ascii="Times New Roman" w:eastAsia="Times New Roman" w:hAnsi="Times New Roman"/>
                <w:b/>
                <w:bCs/>
                <w:color w:val="000000"/>
              </w:rPr>
              <w:t>Ritmo inflacionario</w:t>
            </w:r>
            <w:bookmarkEnd w:id="230"/>
            <w:bookmarkEnd w:id="231"/>
          </w:p>
          <w:p w14:paraId="42B7349C" w14:textId="77777777" w:rsidR="007B0095" w:rsidRPr="0032628B" w:rsidRDefault="007B0095" w:rsidP="00973C72">
            <w:pPr>
              <w:keepNext/>
              <w:spacing w:line="276" w:lineRule="auto"/>
              <w:contextualSpacing/>
              <w:jc w:val="center"/>
              <w:rPr>
                <w:rFonts w:ascii="Times New Roman" w:eastAsia="Times New Roman" w:hAnsi="Times New Roman"/>
                <w:color w:val="000000"/>
              </w:rPr>
            </w:pPr>
            <w:r w:rsidRPr="0032628B">
              <w:rPr>
                <w:rFonts w:ascii="Times New Roman" w:eastAsia="Times New Roman" w:hAnsi="Times New Roman"/>
                <w:color w:val="000000"/>
                <w:sz w:val="20"/>
                <w:szCs w:val="20"/>
              </w:rPr>
              <w:t>Porcentajes</w:t>
            </w:r>
          </w:p>
        </w:tc>
      </w:tr>
      <w:tr w:rsidR="007B0095" w:rsidRPr="00C110F2" w14:paraId="0661E9B1" w14:textId="77777777" w:rsidTr="00973C72">
        <w:tblPrEx>
          <w:tblCellMar>
            <w:left w:w="70" w:type="dxa"/>
            <w:right w:w="70" w:type="dxa"/>
          </w:tblCellMar>
        </w:tblPrEx>
        <w:trPr>
          <w:cantSplit/>
          <w:trHeight w:val="1134"/>
        </w:trPr>
        <w:tc>
          <w:tcPr>
            <w:tcW w:w="4190" w:type="dxa"/>
            <w:vAlign w:val="center"/>
          </w:tcPr>
          <w:p w14:paraId="4538AF3F" w14:textId="77777777" w:rsidR="007B0095" w:rsidRPr="00C110F2" w:rsidRDefault="007B0095" w:rsidP="00973C72">
            <w:pPr>
              <w:spacing w:line="276" w:lineRule="auto"/>
              <w:ind w:right="49"/>
              <w:contextualSpacing/>
              <w:jc w:val="center"/>
              <w:rPr>
                <w:rFonts w:ascii="Calibri" w:eastAsia="Times New Roman" w:hAnsi="Calibri"/>
                <w:lang w:val="es-MX" w:eastAsia="es-ES"/>
              </w:rPr>
            </w:pPr>
            <w:r w:rsidRPr="00C110F2">
              <w:rPr>
                <w:noProof/>
              </w:rPr>
              <w:drawing>
                <wp:inline distT="0" distB="0" distL="0" distR="0" wp14:anchorId="05422C13" wp14:editId="0B986BF4">
                  <wp:extent cx="2512060" cy="1765189"/>
                  <wp:effectExtent l="0" t="0" r="2540" b="6985"/>
                  <wp:docPr id="27" name="Gráfico 27">
                    <a:extLst xmlns:a="http://schemas.openxmlformats.org/drawingml/2006/main">
                      <a:ext uri="{FF2B5EF4-FFF2-40B4-BE49-F238E27FC236}">
                        <a16:creationId xmlns:a16="http://schemas.microsoft.com/office/drawing/2014/main" id="{34AB99C2-D127-4532-B2C3-61E09A146D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c>
          <w:tcPr>
            <w:tcW w:w="4648" w:type="dxa"/>
          </w:tcPr>
          <w:p w14:paraId="2AA7E751" w14:textId="77777777" w:rsidR="007B0095" w:rsidRPr="00C110F2" w:rsidRDefault="007B0095" w:rsidP="00973C72">
            <w:pPr>
              <w:spacing w:line="276" w:lineRule="auto"/>
              <w:ind w:right="49"/>
              <w:contextualSpacing/>
              <w:jc w:val="both"/>
              <w:rPr>
                <w:rFonts w:ascii="Calibri" w:eastAsia="Times New Roman" w:hAnsi="Calibri"/>
                <w:lang w:val="es-MX" w:eastAsia="es-ES"/>
              </w:rPr>
            </w:pPr>
            <w:r w:rsidRPr="00C110F2">
              <w:rPr>
                <w:rFonts w:ascii="Calibri" w:eastAsia="Times New Roman" w:hAnsi="Calibri"/>
                <w:noProof/>
                <w:sz w:val="20"/>
                <w:szCs w:val="20"/>
                <w:lang w:eastAsia="es-ES"/>
              </w:rPr>
              <w:drawing>
                <wp:inline distT="0" distB="0" distL="0" distR="0" wp14:anchorId="0C5335ED" wp14:editId="4BAF97A4">
                  <wp:extent cx="2783205" cy="1733384"/>
                  <wp:effectExtent l="0" t="0" r="0" b="635"/>
                  <wp:docPr id="30" name="Gráfico 30">
                    <a:extLst xmlns:a="http://schemas.openxmlformats.org/drawingml/2006/main">
                      <a:ext uri="{FF2B5EF4-FFF2-40B4-BE49-F238E27FC236}">
                        <a16:creationId xmlns:a16="http://schemas.microsoft.com/office/drawing/2014/main" id="{3A4CA7F6-000F-4E7A-85C9-7BEFA31D34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r>
      <w:tr w:rsidR="007B0095" w:rsidRPr="00C110F2" w14:paraId="5241D8C8" w14:textId="77777777" w:rsidTr="00973C72">
        <w:tc>
          <w:tcPr>
            <w:tcW w:w="8838" w:type="dxa"/>
            <w:gridSpan w:val="2"/>
          </w:tcPr>
          <w:p w14:paraId="754EE7EA" w14:textId="77777777" w:rsidR="007B0095" w:rsidRPr="00C110F2" w:rsidRDefault="007B0095" w:rsidP="00053BEC">
            <w:pPr>
              <w:ind w:right="49"/>
              <w:contextualSpacing/>
              <w:jc w:val="both"/>
              <w:rPr>
                <w:rFonts w:ascii="Times New Roman" w:eastAsia="Times New Roman" w:hAnsi="Times New Roman"/>
                <w:sz w:val="18"/>
                <w:szCs w:val="18"/>
                <w:lang w:val="es-ES_tradnl" w:eastAsia="es-ES"/>
              </w:rPr>
            </w:pPr>
            <w:r w:rsidRPr="00C110F2">
              <w:rPr>
                <w:rFonts w:ascii="Times New Roman" w:eastAsia="Times New Roman" w:hAnsi="Times New Roman"/>
                <w:sz w:val="18"/>
                <w:szCs w:val="18"/>
                <w:lang w:val="es-ES_tradnl" w:eastAsia="es-ES"/>
              </w:rPr>
              <w:t xml:space="preserve">Fuente: Banco de Guatemala </w:t>
            </w:r>
          </w:p>
          <w:p w14:paraId="6F23FA2F" w14:textId="77777777" w:rsidR="007B0095" w:rsidRPr="00C110F2" w:rsidRDefault="007B0095" w:rsidP="00053BEC">
            <w:pPr>
              <w:ind w:right="49"/>
              <w:contextualSpacing/>
              <w:jc w:val="both"/>
              <w:rPr>
                <w:rFonts w:ascii="Times New Roman" w:eastAsia="Times New Roman" w:hAnsi="Times New Roman"/>
                <w:sz w:val="18"/>
                <w:szCs w:val="18"/>
                <w:lang w:val="es-MX" w:eastAsia="es-ES"/>
              </w:rPr>
            </w:pPr>
          </w:p>
        </w:tc>
      </w:tr>
    </w:tbl>
    <w:p w14:paraId="2E63C30D" w14:textId="282163B5" w:rsidR="007B0095" w:rsidRPr="00C110F2" w:rsidRDefault="007B0095" w:rsidP="00053BEC">
      <w:pPr>
        <w:numPr>
          <w:ilvl w:val="0"/>
          <w:numId w:val="14"/>
        </w:numPr>
        <w:contextualSpacing/>
        <w:jc w:val="both"/>
        <w:rPr>
          <w:rFonts w:ascii="Times New Roman" w:eastAsia="Times New Roman" w:hAnsi="Times New Roman" w:cs="Times New Roman"/>
          <w:noProof/>
          <w:sz w:val="22"/>
          <w:szCs w:val="22"/>
          <w:lang w:eastAsia="es-GT"/>
        </w:rPr>
      </w:pPr>
      <w:r w:rsidRPr="00C110F2">
        <w:rPr>
          <w:rFonts w:ascii="Times New Roman" w:eastAsia="Times New Roman" w:hAnsi="Times New Roman" w:cs="Times New Roman"/>
          <w:noProof/>
          <w:sz w:val="22"/>
          <w:szCs w:val="22"/>
          <w:lang w:eastAsia="es-GT"/>
        </w:rPr>
        <w:t>A noviembre de 2023 el comercio exterior reporta valor FOB de exportaciones de US$13,039.9 millones, lo que representa tasa negativa de 9.3% al monto registrado a noviembre del año previo. Los productos más importantes según su participación en el valor total de exportaciones han sido: los artículos de vestuario con 10.6%; grasas y aceites comestibles 7.4%; seguido de café con 7.1%</w:t>
      </w:r>
      <w:r>
        <w:rPr>
          <w:rFonts w:ascii="Times New Roman" w:eastAsia="Times New Roman" w:hAnsi="Times New Roman" w:cs="Times New Roman"/>
          <w:noProof/>
          <w:sz w:val="22"/>
          <w:szCs w:val="22"/>
          <w:lang w:eastAsia="es-GT"/>
        </w:rPr>
        <w:t xml:space="preserve">, </w:t>
      </w:r>
      <w:r w:rsidRPr="00C110F2">
        <w:rPr>
          <w:rFonts w:ascii="Times New Roman" w:eastAsia="Times New Roman" w:hAnsi="Times New Roman" w:cs="Times New Roman"/>
          <w:noProof/>
          <w:sz w:val="22"/>
          <w:szCs w:val="22"/>
          <w:lang w:eastAsia="es-GT"/>
        </w:rPr>
        <w:t>así como banano 7.1% y azúcar con 4.3%. Estos productos representaron el 40.7% del total exportado. Por otro lado, los principales socios comerciales de las exportaciones son: Centroamérica</w:t>
      </w:r>
      <w:r w:rsidR="008611D6">
        <w:rPr>
          <w:rFonts w:ascii="Times New Roman" w:eastAsia="Times New Roman" w:hAnsi="Times New Roman" w:cs="Times New Roman"/>
          <w:noProof/>
          <w:sz w:val="22"/>
          <w:szCs w:val="22"/>
          <w:lang w:eastAsia="es-GT"/>
        </w:rPr>
        <w:t>,</w:t>
      </w:r>
      <w:r w:rsidRPr="00C110F2">
        <w:rPr>
          <w:rFonts w:ascii="Times New Roman" w:eastAsia="Times New Roman" w:hAnsi="Times New Roman" w:cs="Times New Roman"/>
          <w:noProof/>
          <w:sz w:val="22"/>
          <w:szCs w:val="22"/>
          <w:lang w:eastAsia="es-GT"/>
        </w:rPr>
        <w:t xml:space="preserve"> 36.0%; Estados Unidos de América</w:t>
      </w:r>
      <w:r w:rsidR="008611D6">
        <w:rPr>
          <w:rFonts w:ascii="Times New Roman" w:eastAsia="Times New Roman" w:hAnsi="Times New Roman" w:cs="Times New Roman"/>
          <w:noProof/>
          <w:sz w:val="22"/>
          <w:szCs w:val="22"/>
          <w:lang w:eastAsia="es-GT"/>
        </w:rPr>
        <w:t>,</w:t>
      </w:r>
      <w:r w:rsidRPr="00C110F2">
        <w:rPr>
          <w:rFonts w:ascii="Times New Roman" w:eastAsia="Times New Roman" w:hAnsi="Times New Roman" w:cs="Times New Roman"/>
          <w:noProof/>
          <w:sz w:val="22"/>
          <w:szCs w:val="22"/>
          <w:lang w:eastAsia="es-GT"/>
        </w:rPr>
        <w:t xml:space="preserve"> 30.9%; la Zona del Euro</w:t>
      </w:r>
      <w:r w:rsidR="008611D6">
        <w:rPr>
          <w:rFonts w:ascii="Times New Roman" w:eastAsia="Times New Roman" w:hAnsi="Times New Roman" w:cs="Times New Roman"/>
          <w:noProof/>
          <w:sz w:val="22"/>
          <w:szCs w:val="22"/>
          <w:lang w:eastAsia="es-GT"/>
        </w:rPr>
        <w:t>,</w:t>
      </w:r>
      <w:r w:rsidRPr="00C110F2">
        <w:rPr>
          <w:rFonts w:ascii="Times New Roman" w:eastAsia="Times New Roman" w:hAnsi="Times New Roman" w:cs="Times New Roman"/>
          <w:noProof/>
          <w:sz w:val="22"/>
          <w:szCs w:val="22"/>
          <w:lang w:eastAsia="es-GT"/>
        </w:rPr>
        <w:t xml:space="preserve"> 9.7%; México</w:t>
      </w:r>
      <w:r w:rsidR="008611D6">
        <w:rPr>
          <w:rFonts w:ascii="Times New Roman" w:eastAsia="Times New Roman" w:hAnsi="Times New Roman" w:cs="Times New Roman"/>
          <w:noProof/>
          <w:sz w:val="22"/>
          <w:szCs w:val="22"/>
          <w:lang w:eastAsia="es-GT"/>
        </w:rPr>
        <w:t>,</w:t>
      </w:r>
      <w:r w:rsidRPr="00C110F2">
        <w:rPr>
          <w:rFonts w:ascii="Times New Roman" w:eastAsia="Times New Roman" w:hAnsi="Times New Roman" w:cs="Times New Roman"/>
          <w:noProof/>
          <w:sz w:val="22"/>
          <w:szCs w:val="22"/>
          <w:lang w:eastAsia="es-GT"/>
        </w:rPr>
        <w:t xml:space="preserve"> 4.7%; y Panamá</w:t>
      </w:r>
      <w:r w:rsidR="008611D6">
        <w:rPr>
          <w:rFonts w:ascii="Times New Roman" w:eastAsia="Times New Roman" w:hAnsi="Times New Roman" w:cs="Times New Roman"/>
          <w:noProof/>
          <w:sz w:val="22"/>
          <w:szCs w:val="22"/>
          <w:lang w:eastAsia="es-GT"/>
        </w:rPr>
        <w:t>,</w:t>
      </w:r>
      <w:r w:rsidRPr="00C110F2">
        <w:rPr>
          <w:rFonts w:ascii="Times New Roman" w:eastAsia="Times New Roman" w:hAnsi="Times New Roman" w:cs="Times New Roman"/>
          <w:noProof/>
          <w:sz w:val="22"/>
          <w:szCs w:val="22"/>
          <w:lang w:eastAsia="es-GT"/>
        </w:rPr>
        <w:t xml:space="preserve"> 2.3%; que en conjunto representaron el 83.6% del total de las exportaciones.</w:t>
      </w:r>
    </w:p>
    <w:p w14:paraId="443EA3B6" w14:textId="77777777" w:rsidR="007B0095" w:rsidRPr="00C110F2" w:rsidRDefault="007B0095" w:rsidP="00053BEC">
      <w:pPr>
        <w:contextualSpacing/>
        <w:jc w:val="both"/>
        <w:rPr>
          <w:rFonts w:ascii="Times New Roman" w:eastAsia="Times New Roman" w:hAnsi="Times New Roman" w:cs="Times New Roman"/>
          <w:noProof/>
          <w:sz w:val="22"/>
          <w:szCs w:val="22"/>
          <w:lang w:eastAsia="es-GT"/>
        </w:rPr>
      </w:pPr>
    </w:p>
    <w:p w14:paraId="321B5CBA" w14:textId="31C54DAF" w:rsidR="007B0095" w:rsidRPr="00C110F2" w:rsidRDefault="007B0095" w:rsidP="00053BEC">
      <w:pPr>
        <w:numPr>
          <w:ilvl w:val="0"/>
          <w:numId w:val="14"/>
        </w:numPr>
        <w:contextualSpacing/>
        <w:jc w:val="both"/>
        <w:rPr>
          <w:rFonts w:ascii="Times New Roman" w:eastAsia="Times New Roman" w:hAnsi="Times New Roman" w:cs="Times New Roman"/>
          <w:noProof/>
          <w:sz w:val="22"/>
          <w:szCs w:val="22"/>
          <w:lang w:eastAsia="es-GT"/>
        </w:rPr>
      </w:pPr>
      <w:r w:rsidRPr="00C110F2">
        <w:rPr>
          <w:rFonts w:ascii="Times New Roman" w:eastAsia="Times New Roman" w:hAnsi="Times New Roman" w:cs="Times New Roman"/>
          <w:noProof/>
          <w:sz w:val="22"/>
          <w:szCs w:val="22"/>
          <w:lang w:eastAsia="es-GT"/>
        </w:rPr>
        <w:t xml:space="preserve">El monto total de las importaciones CIF realizadas tambien </w:t>
      </w:r>
      <w:r w:rsidR="008611D6">
        <w:rPr>
          <w:rFonts w:ascii="Times New Roman" w:eastAsia="Times New Roman" w:hAnsi="Times New Roman" w:cs="Times New Roman"/>
          <w:noProof/>
          <w:sz w:val="22"/>
          <w:szCs w:val="22"/>
          <w:lang w:eastAsia="es-GT"/>
        </w:rPr>
        <w:t>registraron</w:t>
      </w:r>
      <w:r w:rsidRPr="00C110F2">
        <w:rPr>
          <w:rFonts w:ascii="Times New Roman" w:eastAsia="Times New Roman" w:hAnsi="Times New Roman" w:cs="Times New Roman"/>
          <w:noProof/>
          <w:sz w:val="22"/>
          <w:szCs w:val="22"/>
          <w:lang w:eastAsia="es-GT"/>
        </w:rPr>
        <w:t xml:space="preserve"> tasa negativa de 6.1% por debajo de lo registrado a noviembre 2022, esto se debe principalmente a la disminución de los precios medios de 9.1%. Los rubros que mostrar</w:t>
      </w:r>
      <w:r w:rsidR="008611D6">
        <w:rPr>
          <w:rFonts w:ascii="Times New Roman" w:eastAsia="Times New Roman" w:hAnsi="Times New Roman" w:cs="Times New Roman"/>
          <w:noProof/>
          <w:sz w:val="22"/>
          <w:szCs w:val="22"/>
          <w:lang w:eastAsia="es-GT"/>
        </w:rPr>
        <w:t>o</w:t>
      </w:r>
      <w:r w:rsidRPr="00C110F2">
        <w:rPr>
          <w:rFonts w:ascii="Times New Roman" w:eastAsia="Times New Roman" w:hAnsi="Times New Roman" w:cs="Times New Roman"/>
          <w:noProof/>
          <w:sz w:val="22"/>
          <w:szCs w:val="22"/>
          <w:lang w:eastAsia="es-GT"/>
        </w:rPr>
        <w:t>n disminuciones significativas fueron las materias primas y productos intermedios por 18.1</w:t>
      </w:r>
      <w:r>
        <w:rPr>
          <w:rFonts w:ascii="Times New Roman" w:eastAsia="Times New Roman" w:hAnsi="Times New Roman" w:cs="Times New Roman"/>
          <w:noProof/>
          <w:sz w:val="22"/>
          <w:szCs w:val="22"/>
          <w:lang w:eastAsia="es-GT"/>
        </w:rPr>
        <w:t>%</w:t>
      </w:r>
      <w:r w:rsidRPr="00C110F2">
        <w:rPr>
          <w:rFonts w:ascii="Times New Roman" w:eastAsia="Times New Roman" w:hAnsi="Times New Roman" w:cs="Times New Roman"/>
          <w:noProof/>
          <w:sz w:val="22"/>
          <w:szCs w:val="22"/>
          <w:lang w:eastAsia="es-GT"/>
        </w:rPr>
        <w:t>, los combustibles y lubricantes por 14.3% y los materiales de contrucción por 17.1%. Asímismo, los principales socios comerciales de las importaciones han sido Estados Unidos de América</w:t>
      </w:r>
      <w:r w:rsidR="008611D6">
        <w:rPr>
          <w:rFonts w:ascii="Times New Roman" w:eastAsia="Times New Roman" w:hAnsi="Times New Roman" w:cs="Times New Roman"/>
          <w:noProof/>
          <w:sz w:val="22"/>
          <w:szCs w:val="22"/>
          <w:lang w:eastAsia="es-GT"/>
        </w:rPr>
        <w:t>,</w:t>
      </w:r>
      <w:r w:rsidRPr="00C110F2">
        <w:rPr>
          <w:rFonts w:ascii="Times New Roman" w:eastAsia="Times New Roman" w:hAnsi="Times New Roman" w:cs="Times New Roman"/>
          <w:noProof/>
          <w:sz w:val="22"/>
          <w:szCs w:val="22"/>
          <w:lang w:eastAsia="es-GT"/>
        </w:rPr>
        <w:t xml:space="preserve"> 33.7%; República Popular China</w:t>
      </w:r>
      <w:r w:rsidR="008611D6">
        <w:rPr>
          <w:rFonts w:ascii="Times New Roman" w:eastAsia="Times New Roman" w:hAnsi="Times New Roman" w:cs="Times New Roman"/>
          <w:noProof/>
          <w:sz w:val="22"/>
          <w:szCs w:val="22"/>
          <w:lang w:eastAsia="es-GT"/>
        </w:rPr>
        <w:t>,</w:t>
      </w:r>
      <w:r w:rsidRPr="00C110F2">
        <w:rPr>
          <w:rFonts w:ascii="Times New Roman" w:eastAsia="Times New Roman" w:hAnsi="Times New Roman" w:cs="Times New Roman"/>
          <w:noProof/>
          <w:sz w:val="22"/>
          <w:szCs w:val="22"/>
          <w:lang w:eastAsia="es-GT"/>
        </w:rPr>
        <w:t xml:space="preserve"> 13.6%; Centroamérica</w:t>
      </w:r>
      <w:r w:rsidR="008611D6">
        <w:rPr>
          <w:rFonts w:ascii="Times New Roman" w:eastAsia="Times New Roman" w:hAnsi="Times New Roman" w:cs="Times New Roman"/>
          <w:noProof/>
          <w:sz w:val="22"/>
          <w:szCs w:val="22"/>
          <w:lang w:eastAsia="es-GT"/>
        </w:rPr>
        <w:t>,</w:t>
      </w:r>
      <w:r w:rsidRPr="00C110F2">
        <w:rPr>
          <w:rFonts w:ascii="Times New Roman" w:eastAsia="Times New Roman" w:hAnsi="Times New Roman" w:cs="Times New Roman"/>
          <w:noProof/>
          <w:sz w:val="22"/>
          <w:szCs w:val="22"/>
          <w:lang w:eastAsia="es-GT"/>
        </w:rPr>
        <w:t xml:space="preserve"> 11.4%; México</w:t>
      </w:r>
      <w:r w:rsidR="008611D6">
        <w:rPr>
          <w:rFonts w:ascii="Times New Roman" w:eastAsia="Times New Roman" w:hAnsi="Times New Roman" w:cs="Times New Roman"/>
          <w:noProof/>
          <w:sz w:val="22"/>
          <w:szCs w:val="22"/>
          <w:lang w:eastAsia="es-GT"/>
        </w:rPr>
        <w:t>,</w:t>
      </w:r>
      <w:r w:rsidRPr="00C110F2">
        <w:rPr>
          <w:rFonts w:ascii="Times New Roman" w:eastAsia="Times New Roman" w:hAnsi="Times New Roman" w:cs="Times New Roman"/>
          <w:noProof/>
          <w:sz w:val="22"/>
          <w:szCs w:val="22"/>
          <w:lang w:eastAsia="es-GT"/>
        </w:rPr>
        <w:t xml:space="preserve"> 11.1%; y la Zona del Euro</w:t>
      </w:r>
      <w:r w:rsidR="008611D6">
        <w:rPr>
          <w:rFonts w:ascii="Times New Roman" w:eastAsia="Times New Roman" w:hAnsi="Times New Roman" w:cs="Times New Roman"/>
          <w:noProof/>
          <w:sz w:val="22"/>
          <w:szCs w:val="22"/>
          <w:lang w:eastAsia="es-GT"/>
        </w:rPr>
        <w:t>,</w:t>
      </w:r>
      <w:r w:rsidRPr="00C110F2">
        <w:rPr>
          <w:rFonts w:ascii="Times New Roman" w:eastAsia="Times New Roman" w:hAnsi="Times New Roman" w:cs="Times New Roman"/>
          <w:noProof/>
          <w:sz w:val="22"/>
          <w:szCs w:val="22"/>
          <w:lang w:eastAsia="es-GT"/>
        </w:rPr>
        <w:t xml:space="preserve"> 6.3%. En conjunto representaron el 76.0% del total.</w:t>
      </w:r>
    </w:p>
    <w:p w14:paraId="5EC11CB7" w14:textId="36735FCD" w:rsidR="007B0095" w:rsidRDefault="007B0095" w:rsidP="007B0095">
      <w:pPr>
        <w:spacing w:line="276" w:lineRule="auto"/>
        <w:ind w:left="720"/>
        <w:contextualSpacing/>
        <w:jc w:val="both"/>
        <w:rPr>
          <w:rFonts w:ascii="Times New Roman" w:eastAsia="Times New Roman" w:hAnsi="Times New Roman" w:cs="Times New Roman"/>
          <w:noProof/>
          <w:sz w:val="22"/>
          <w:szCs w:val="22"/>
          <w:lang w:eastAsia="es-GT"/>
        </w:rPr>
      </w:pPr>
    </w:p>
    <w:p w14:paraId="032F1145" w14:textId="4D965237" w:rsidR="00F22DD8" w:rsidRDefault="00F22DD8" w:rsidP="007B0095">
      <w:pPr>
        <w:spacing w:line="276" w:lineRule="auto"/>
        <w:ind w:left="720"/>
        <w:contextualSpacing/>
        <w:jc w:val="both"/>
        <w:rPr>
          <w:rFonts w:ascii="Times New Roman" w:eastAsia="Times New Roman" w:hAnsi="Times New Roman" w:cs="Times New Roman"/>
          <w:noProof/>
          <w:sz w:val="22"/>
          <w:szCs w:val="22"/>
          <w:lang w:eastAsia="es-GT"/>
        </w:rPr>
      </w:pPr>
    </w:p>
    <w:p w14:paraId="1ADCEF62" w14:textId="39F46967" w:rsidR="00F22DD8" w:rsidRDefault="00F22DD8" w:rsidP="007B0095">
      <w:pPr>
        <w:spacing w:line="276" w:lineRule="auto"/>
        <w:ind w:left="720"/>
        <w:contextualSpacing/>
        <w:jc w:val="both"/>
        <w:rPr>
          <w:rFonts w:ascii="Times New Roman" w:eastAsia="Times New Roman" w:hAnsi="Times New Roman" w:cs="Times New Roman"/>
          <w:noProof/>
          <w:sz w:val="22"/>
          <w:szCs w:val="22"/>
          <w:lang w:eastAsia="es-GT"/>
        </w:rPr>
      </w:pPr>
    </w:p>
    <w:p w14:paraId="707C6EEE" w14:textId="54D6A4A9" w:rsidR="00F22DD8" w:rsidRDefault="00F22DD8" w:rsidP="007B0095">
      <w:pPr>
        <w:spacing w:line="276" w:lineRule="auto"/>
        <w:ind w:left="720"/>
        <w:contextualSpacing/>
        <w:jc w:val="both"/>
        <w:rPr>
          <w:rFonts w:ascii="Times New Roman" w:eastAsia="Times New Roman" w:hAnsi="Times New Roman" w:cs="Times New Roman"/>
          <w:noProof/>
          <w:sz w:val="22"/>
          <w:szCs w:val="22"/>
          <w:lang w:eastAsia="es-GT"/>
        </w:rPr>
      </w:pPr>
    </w:p>
    <w:p w14:paraId="4977BCBD" w14:textId="77777777" w:rsidR="00F22DD8" w:rsidRPr="00C110F2" w:rsidRDefault="00F22DD8" w:rsidP="007B0095">
      <w:pPr>
        <w:spacing w:line="276" w:lineRule="auto"/>
        <w:ind w:left="720"/>
        <w:contextualSpacing/>
        <w:jc w:val="both"/>
        <w:rPr>
          <w:rFonts w:ascii="Times New Roman" w:eastAsia="Times New Roman" w:hAnsi="Times New Roman" w:cs="Times New Roman"/>
          <w:noProof/>
          <w:sz w:val="22"/>
          <w:szCs w:val="22"/>
          <w:lang w:eastAsia="es-GT"/>
        </w:rPr>
      </w:pPr>
    </w:p>
    <w:tbl>
      <w:tblPr>
        <w:tblStyle w:val="Tablaconcuadrcula7"/>
        <w:tblW w:w="8838"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9"/>
        <w:gridCol w:w="4239"/>
      </w:tblGrid>
      <w:tr w:rsidR="007B0095" w:rsidRPr="00C110F2" w14:paraId="35AC6211" w14:textId="77777777" w:rsidTr="00053BEC">
        <w:tc>
          <w:tcPr>
            <w:tcW w:w="4599" w:type="dxa"/>
            <w:vAlign w:val="center"/>
          </w:tcPr>
          <w:p w14:paraId="528875FF" w14:textId="72B3168D" w:rsidR="007B0095" w:rsidRPr="00C110F2" w:rsidRDefault="007B0095" w:rsidP="00973C72">
            <w:pPr>
              <w:spacing w:line="276" w:lineRule="auto"/>
              <w:contextualSpacing/>
              <w:jc w:val="center"/>
              <w:rPr>
                <w:rFonts w:ascii="Times New Roman" w:eastAsia="Times New Roman" w:hAnsi="Times New Roman"/>
                <w:b/>
                <w:bCs/>
              </w:rPr>
            </w:pPr>
            <w:bookmarkStart w:id="232" w:name="_Toc125733233"/>
            <w:bookmarkStart w:id="233" w:name="_Toc158103884"/>
            <w:r w:rsidRPr="00C110F2">
              <w:rPr>
                <w:rFonts w:ascii="Times New Roman" w:eastAsia="Times New Roman" w:hAnsi="Times New Roman"/>
                <w:b/>
              </w:rPr>
              <w:lastRenderedPageBreak/>
              <w:t xml:space="preserve">Gráfico </w:t>
            </w:r>
            <w:r w:rsidR="00DA2155">
              <w:rPr>
                <w:rFonts w:ascii="Times New Roman" w:eastAsia="Times New Roman" w:hAnsi="Times New Roman"/>
                <w:b/>
              </w:rPr>
              <w:fldChar w:fldCharType="begin"/>
            </w:r>
            <w:r w:rsidR="00DA2155">
              <w:rPr>
                <w:rFonts w:ascii="Times New Roman" w:eastAsia="Times New Roman" w:hAnsi="Times New Roman"/>
                <w:b/>
              </w:rPr>
              <w:instrText xml:space="preserve"> SEQ Gráfico \* ARABIC </w:instrText>
            </w:r>
            <w:r w:rsidR="00DA2155">
              <w:rPr>
                <w:rFonts w:ascii="Times New Roman" w:eastAsia="Times New Roman" w:hAnsi="Times New Roman"/>
                <w:b/>
              </w:rPr>
              <w:fldChar w:fldCharType="separate"/>
            </w:r>
            <w:r w:rsidR="00C015DC">
              <w:rPr>
                <w:rFonts w:ascii="Times New Roman" w:eastAsia="Times New Roman" w:hAnsi="Times New Roman"/>
                <w:b/>
                <w:noProof/>
              </w:rPr>
              <w:t>39</w:t>
            </w:r>
            <w:r w:rsidR="00DA2155">
              <w:rPr>
                <w:rFonts w:ascii="Times New Roman" w:eastAsia="Times New Roman" w:hAnsi="Times New Roman"/>
                <w:b/>
              </w:rPr>
              <w:fldChar w:fldCharType="end"/>
            </w:r>
            <w:r w:rsidRPr="00C110F2">
              <w:rPr>
                <w:rFonts w:ascii="Times New Roman" w:eastAsia="Times New Roman" w:hAnsi="Times New Roman"/>
                <w:b/>
              </w:rPr>
              <w:t xml:space="preserve">. </w:t>
            </w:r>
            <w:r w:rsidRPr="00C110F2">
              <w:rPr>
                <w:rFonts w:ascii="Times New Roman" w:eastAsia="Times New Roman" w:hAnsi="Times New Roman"/>
                <w:b/>
                <w:bCs/>
                <w:lang w:val="es-MX" w:eastAsia="es-ES"/>
              </w:rPr>
              <w:t>Importaciones CIF y Exportaciones FOB</w:t>
            </w:r>
            <w:bookmarkEnd w:id="232"/>
            <w:r>
              <w:rPr>
                <w:rFonts w:ascii="Times New Roman" w:eastAsia="Times New Roman" w:hAnsi="Times New Roman"/>
                <w:b/>
                <w:bCs/>
                <w:lang w:val="es-MX" w:eastAsia="es-ES"/>
              </w:rPr>
              <w:t xml:space="preserve"> </w:t>
            </w:r>
            <w:r w:rsidRPr="0032628B">
              <w:rPr>
                <w:rFonts w:ascii="Times New Roman" w:eastAsia="Times New Roman" w:hAnsi="Times New Roman"/>
                <w:sz w:val="20"/>
                <w:szCs w:val="20"/>
                <w:lang w:val="es-MX" w:eastAsia="es-ES"/>
              </w:rPr>
              <w:t>(Porcentajes)</w:t>
            </w:r>
            <w:bookmarkEnd w:id="233"/>
          </w:p>
        </w:tc>
        <w:tc>
          <w:tcPr>
            <w:tcW w:w="4239" w:type="dxa"/>
          </w:tcPr>
          <w:p w14:paraId="5823A721" w14:textId="0E404B1B" w:rsidR="007B0095" w:rsidRDefault="007B0095" w:rsidP="00973C72">
            <w:pPr>
              <w:spacing w:line="276" w:lineRule="auto"/>
              <w:contextualSpacing/>
              <w:jc w:val="center"/>
              <w:rPr>
                <w:rFonts w:ascii="Times New Roman" w:eastAsia="Times New Roman" w:hAnsi="Times New Roman"/>
                <w:b/>
                <w:bCs/>
                <w:lang w:val="es-MX" w:eastAsia="es-ES"/>
              </w:rPr>
            </w:pPr>
            <w:bookmarkStart w:id="234" w:name="_Toc125733234"/>
            <w:bookmarkStart w:id="235" w:name="_Toc158103885"/>
            <w:r w:rsidRPr="00C110F2">
              <w:rPr>
                <w:rFonts w:ascii="Times New Roman" w:eastAsia="Times New Roman" w:hAnsi="Times New Roman"/>
                <w:b/>
              </w:rPr>
              <w:t xml:space="preserve">Gráfico </w:t>
            </w:r>
            <w:r w:rsidR="00DA2155">
              <w:rPr>
                <w:rFonts w:ascii="Times New Roman" w:eastAsia="Times New Roman" w:hAnsi="Times New Roman"/>
                <w:b/>
              </w:rPr>
              <w:fldChar w:fldCharType="begin"/>
            </w:r>
            <w:r w:rsidR="00DA2155">
              <w:rPr>
                <w:rFonts w:ascii="Times New Roman" w:eastAsia="Times New Roman" w:hAnsi="Times New Roman"/>
                <w:b/>
              </w:rPr>
              <w:instrText xml:space="preserve"> SEQ Gráfico \* ARABIC </w:instrText>
            </w:r>
            <w:r w:rsidR="00DA2155">
              <w:rPr>
                <w:rFonts w:ascii="Times New Roman" w:eastAsia="Times New Roman" w:hAnsi="Times New Roman"/>
                <w:b/>
              </w:rPr>
              <w:fldChar w:fldCharType="separate"/>
            </w:r>
            <w:r w:rsidR="00C015DC">
              <w:rPr>
                <w:rFonts w:ascii="Times New Roman" w:eastAsia="Times New Roman" w:hAnsi="Times New Roman"/>
                <w:b/>
                <w:noProof/>
              </w:rPr>
              <w:t>40</w:t>
            </w:r>
            <w:r w:rsidR="00DA2155">
              <w:rPr>
                <w:rFonts w:ascii="Times New Roman" w:eastAsia="Times New Roman" w:hAnsi="Times New Roman"/>
                <w:b/>
              </w:rPr>
              <w:fldChar w:fldCharType="end"/>
            </w:r>
            <w:r w:rsidRPr="00C110F2">
              <w:rPr>
                <w:rFonts w:ascii="Times New Roman" w:eastAsia="Times New Roman" w:hAnsi="Times New Roman"/>
                <w:b/>
              </w:rPr>
              <w:t xml:space="preserve">. </w:t>
            </w:r>
            <w:r w:rsidRPr="00C110F2">
              <w:rPr>
                <w:rFonts w:ascii="Times New Roman" w:eastAsia="Times New Roman" w:hAnsi="Times New Roman"/>
                <w:b/>
                <w:bCs/>
                <w:lang w:val="es-MX" w:eastAsia="es-ES"/>
              </w:rPr>
              <w:t>Remesas Familiares</w:t>
            </w:r>
            <w:bookmarkEnd w:id="234"/>
            <w:bookmarkEnd w:id="235"/>
          </w:p>
          <w:p w14:paraId="6ACF819D" w14:textId="77777777" w:rsidR="007B0095" w:rsidRPr="0032628B" w:rsidRDefault="007B0095" w:rsidP="00973C72">
            <w:pPr>
              <w:spacing w:line="276" w:lineRule="auto"/>
              <w:contextualSpacing/>
              <w:jc w:val="center"/>
              <w:rPr>
                <w:rFonts w:ascii="Times New Roman" w:eastAsia="Times New Roman" w:hAnsi="Times New Roman"/>
                <w:lang w:val="es-MX" w:eastAsia="es-ES"/>
              </w:rPr>
            </w:pPr>
            <w:r w:rsidRPr="0032628B">
              <w:rPr>
                <w:rFonts w:ascii="Times New Roman" w:eastAsia="Times New Roman" w:hAnsi="Times New Roman"/>
                <w:sz w:val="22"/>
                <w:szCs w:val="22"/>
                <w:lang w:val="es-MX" w:eastAsia="es-ES"/>
              </w:rPr>
              <w:t>Porcentajes</w:t>
            </w:r>
          </w:p>
        </w:tc>
      </w:tr>
      <w:tr w:rsidR="007B0095" w:rsidRPr="00C110F2" w14:paraId="080996B2" w14:textId="77777777" w:rsidTr="00053BEC">
        <w:tblPrEx>
          <w:tblCellMar>
            <w:left w:w="70" w:type="dxa"/>
            <w:right w:w="70" w:type="dxa"/>
          </w:tblCellMar>
        </w:tblPrEx>
        <w:tc>
          <w:tcPr>
            <w:tcW w:w="4599" w:type="dxa"/>
          </w:tcPr>
          <w:p w14:paraId="313AEDBC" w14:textId="77777777" w:rsidR="007B0095" w:rsidRPr="00C110F2" w:rsidRDefault="007B0095" w:rsidP="00053BEC">
            <w:pPr>
              <w:ind w:right="49"/>
              <w:contextualSpacing/>
              <w:jc w:val="both"/>
              <w:rPr>
                <w:rFonts w:ascii="Calibri" w:eastAsia="Times New Roman" w:hAnsi="Calibri"/>
                <w:lang w:val="es-MX" w:eastAsia="es-ES"/>
              </w:rPr>
            </w:pPr>
            <w:r w:rsidRPr="00C110F2">
              <w:rPr>
                <w:noProof/>
              </w:rPr>
              <w:drawing>
                <wp:inline distT="0" distB="0" distL="0" distR="0" wp14:anchorId="49019FB0" wp14:editId="4234DE33">
                  <wp:extent cx="2798859" cy="1812290"/>
                  <wp:effectExtent l="0" t="0" r="1905" b="0"/>
                  <wp:docPr id="22" name="Gráfico 22">
                    <a:extLst xmlns:a="http://schemas.openxmlformats.org/drawingml/2006/main">
                      <a:ext uri="{FF2B5EF4-FFF2-40B4-BE49-F238E27FC236}">
                        <a16:creationId xmlns:a16="http://schemas.microsoft.com/office/drawing/2014/main" id="{043D74D2-AC2B-47CE-9EF3-86F8A65365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c>
          <w:tcPr>
            <w:tcW w:w="4239" w:type="dxa"/>
          </w:tcPr>
          <w:p w14:paraId="3CBF0AAE" w14:textId="77777777" w:rsidR="007B0095" w:rsidRPr="00C110F2" w:rsidRDefault="007B0095" w:rsidP="00973C72">
            <w:pPr>
              <w:spacing w:line="276" w:lineRule="auto"/>
              <w:ind w:right="49"/>
              <w:contextualSpacing/>
              <w:jc w:val="both"/>
              <w:rPr>
                <w:rFonts w:ascii="Calibri" w:eastAsia="Times New Roman" w:hAnsi="Calibri"/>
                <w:lang w:val="es-MX" w:eastAsia="es-ES"/>
              </w:rPr>
            </w:pPr>
            <w:r w:rsidRPr="00C110F2">
              <w:rPr>
                <w:noProof/>
              </w:rPr>
              <w:drawing>
                <wp:inline distT="0" distB="0" distL="0" distR="0" wp14:anchorId="7146E76D" wp14:editId="290ABECD">
                  <wp:extent cx="2519680" cy="1812290"/>
                  <wp:effectExtent l="0" t="0" r="0" b="0"/>
                  <wp:docPr id="51" name="Gráfico 51">
                    <a:extLst xmlns:a="http://schemas.openxmlformats.org/drawingml/2006/main">
                      <a:ext uri="{FF2B5EF4-FFF2-40B4-BE49-F238E27FC236}">
                        <a16:creationId xmlns:a16="http://schemas.microsoft.com/office/drawing/2014/main" id="{E12BC611-DF10-4712-8562-CD1CD13F34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r>
      <w:tr w:rsidR="007B0095" w:rsidRPr="00C110F2" w14:paraId="1FB3A7EE" w14:textId="77777777" w:rsidTr="00053BEC">
        <w:tc>
          <w:tcPr>
            <w:tcW w:w="8838" w:type="dxa"/>
            <w:gridSpan w:val="2"/>
          </w:tcPr>
          <w:p w14:paraId="72E6EA33" w14:textId="77777777" w:rsidR="007B0095" w:rsidRPr="00C110F2" w:rsidRDefault="007B0095" w:rsidP="00973C72">
            <w:pPr>
              <w:spacing w:line="276" w:lineRule="auto"/>
              <w:ind w:right="49"/>
              <w:contextualSpacing/>
              <w:jc w:val="both"/>
              <w:rPr>
                <w:rFonts w:ascii="Times New Roman" w:eastAsia="Times New Roman" w:hAnsi="Times New Roman"/>
                <w:sz w:val="18"/>
                <w:szCs w:val="18"/>
                <w:lang w:val="es-MX" w:eastAsia="es-ES"/>
              </w:rPr>
            </w:pPr>
            <w:r w:rsidRPr="00C110F2">
              <w:rPr>
                <w:rFonts w:ascii="Times New Roman" w:eastAsia="Times New Roman" w:hAnsi="Times New Roman"/>
                <w:sz w:val="18"/>
                <w:szCs w:val="18"/>
                <w:lang w:val="es-ES_tradnl" w:eastAsia="es-ES"/>
              </w:rPr>
              <w:t>Fuente: Banco de Guatemala y Administrador del Mercado Mayorista</w:t>
            </w:r>
          </w:p>
        </w:tc>
      </w:tr>
    </w:tbl>
    <w:p w14:paraId="4A3E239C" w14:textId="77777777" w:rsidR="007B0095" w:rsidRPr="00C110F2" w:rsidRDefault="007B0095" w:rsidP="007B0095">
      <w:pPr>
        <w:spacing w:line="276" w:lineRule="auto"/>
        <w:contextualSpacing/>
        <w:jc w:val="both"/>
        <w:rPr>
          <w:rFonts w:ascii="Times New Roman" w:eastAsia="Times New Roman" w:hAnsi="Times New Roman" w:cs="Times New Roman"/>
          <w:noProof/>
          <w:sz w:val="22"/>
          <w:szCs w:val="22"/>
          <w:lang w:val="es-ES_tradnl" w:eastAsia="es-GT"/>
        </w:rPr>
      </w:pPr>
    </w:p>
    <w:p w14:paraId="4CE902D2" w14:textId="77120CB0" w:rsidR="007B0095" w:rsidRPr="00C110F2" w:rsidRDefault="007B0095" w:rsidP="00053BEC">
      <w:pPr>
        <w:numPr>
          <w:ilvl w:val="0"/>
          <w:numId w:val="14"/>
        </w:numPr>
        <w:contextualSpacing/>
        <w:jc w:val="both"/>
        <w:rPr>
          <w:rFonts w:ascii="Times New Roman" w:eastAsia="Times New Roman" w:hAnsi="Times New Roman" w:cs="Times New Roman"/>
          <w:noProof/>
          <w:sz w:val="22"/>
          <w:szCs w:val="22"/>
          <w:lang w:eastAsia="es-GT"/>
        </w:rPr>
      </w:pPr>
      <w:r w:rsidRPr="00C110F2">
        <w:rPr>
          <w:rFonts w:ascii="Times New Roman" w:eastAsia="Times New Roman" w:hAnsi="Times New Roman" w:cs="Times New Roman"/>
          <w:noProof/>
          <w:sz w:val="22"/>
          <w:szCs w:val="22"/>
          <w:lang w:eastAsia="es-GT"/>
        </w:rPr>
        <w:t xml:space="preserve">Al 31 diciembre de 2023 el ingreso de divisas por remesas familiares acumuladas alcanzó </w:t>
      </w:r>
      <w:r w:rsidR="008611D6">
        <w:rPr>
          <w:rFonts w:ascii="Times New Roman" w:eastAsia="Times New Roman" w:hAnsi="Times New Roman" w:cs="Times New Roman"/>
          <w:noProof/>
          <w:sz w:val="22"/>
          <w:szCs w:val="22"/>
          <w:lang w:eastAsia="es-GT"/>
        </w:rPr>
        <w:t>el</w:t>
      </w:r>
      <w:r w:rsidR="008611D6" w:rsidRPr="00C110F2">
        <w:rPr>
          <w:rFonts w:ascii="Times New Roman" w:eastAsia="Times New Roman" w:hAnsi="Times New Roman" w:cs="Times New Roman"/>
          <w:noProof/>
          <w:sz w:val="22"/>
          <w:szCs w:val="22"/>
          <w:lang w:eastAsia="es-GT"/>
        </w:rPr>
        <w:t xml:space="preserve"> </w:t>
      </w:r>
      <w:r w:rsidRPr="00C110F2">
        <w:rPr>
          <w:rFonts w:ascii="Times New Roman" w:eastAsia="Times New Roman" w:hAnsi="Times New Roman" w:cs="Times New Roman"/>
          <w:noProof/>
          <w:sz w:val="22"/>
          <w:szCs w:val="22"/>
          <w:lang w:eastAsia="es-GT"/>
        </w:rPr>
        <w:t xml:space="preserve">monto de US$ 19,804.0 millones, superior en 9.8% respecto del monto observado el año previo. </w:t>
      </w:r>
      <w:r w:rsidR="008611D6">
        <w:rPr>
          <w:rFonts w:ascii="Times New Roman" w:eastAsia="Times New Roman" w:hAnsi="Times New Roman" w:cs="Times New Roman"/>
          <w:noProof/>
          <w:sz w:val="22"/>
          <w:szCs w:val="22"/>
          <w:lang w:eastAsia="es-GT"/>
        </w:rPr>
        <w:t>A</w:t>
      </w:r>
      <w:r w:rsidRPr="00C110F2">
        <w:rPr>
          <w:rFonts w:ascii="Times New Roman" w:eastAsia="Times New Roman" w:hAnsi="Times New Roman" w:cs="Times New Roman"/>
          <w:noProof/>
          <w:sz w:val="22"/>
          <w:szCs w:val="22"/>
          <w:lang w:eastAsia="es-GT"/>
        </w:rPr>
        <w:t xml:space="preserve">unque se ha desacelerado en los últimos años, </w:t>
      </w:r>
      <w:r w:rsidR="008611D6">
        <w:rPr>
          <w:rFonts w:ascii="Times New Roman" w:eastAsia="Times New Roman" w:hAnsi="Times New Roman" w:cs="Times New Roman"/>
          <w:noProof/>
          <w:sz w:val="22"/>
          <w:szCs w:val="22"/>
          <w:lang w:eastAsia="es-GT"/>
        </w:rPr>
        <w:t>e</w:t>
      </w:r>
      <w:r w:rsidR="008611D6" w:rsidRPr="00C110F2">
        <w:rPr>
          <w:rFonts w:ascii="Times New Roman" w:eastAsia="Times New Roman" w:hAnsi="Times New Roman" w:cs="Times New Roman"/>
          <w:noProof/>
          <w:sz w:val="22"/>
          <w:szCs w:val="22"/>
          <w:lang w:eastAsia="es-GT"/>
        </w:rPr>
        <w:t xml:space="preserve">sta </w:t>
      </w:r>
      <w:r w:rsidR="008611D6">
        <w:rPr>
          <w:rFonts w:ascii="Times New Roman" w:eastAsia="Times New Roman" w:hAnsi="Times New Roman" w:cs="Times New Roman"/>
          <w:noProof/>
          <w:sz w:val="22"/>
          <w:szCs w:val="22"/>
          <w:lang w:eastAsia="es-GT"/>
        </w:rPr>
        <w:t>variable</w:t>
      </w:r>
      <w:r w:rsidR="008611D6" w:rsidRPr="00C110F2">
        <w:rPr>
          <w:rFonts w:ascii="Times New Roman" w:eastAsia="Times New Roman" w:hAnsi="Times New Roman" w:cs="Times New Roman"/>
          <w:noProof/>
          <w:sz w:val="22"/>
          <w:szCs w:val="22"/>
          <w:lang w:eastAsia="es-GT"/>
        </w:rPr>
        <w:t xml:space="preserve"> </w:t>
      </w:r>
      <w:r w:rsidRPr="00C110F2">
        <w:rPr>
          <w:rFonts w:ascii="Times New Roman" w:eastAsia="Times New Roman" w:hAnsi="Times New Roman" w:cs="Times New Roman"/>
          <w:noProof/>
          <w:sz w:val="22"/>
          <w:szCs w:val="22"/>
          <w:lang w:eastAsia="es-GT"/>
        </w:rPr>
        <w:t>a</w:t>
      </w:r>
      <w:r w:rsidR="008611D6">
        <w:rPr>
          <w:rFonts w:ascii="Times New Roman" w:eastAsia="Times New Roman" w:hAnsi="Times New Roman" w:cs="Times New Roman"/>
          <w:noProof/>
          <w:sz w:val="22"/>
          <w:szCs w:val="22"/>
          <w:lang w:eastAsia="es-GT"/>
        </w:rPr>
        <w:t>ú</w:t>
      </w:r>
      <w:r w:rsidRPr="00C110F2">
        <w:rPr>
          <w:rFonts w:ascii="Times New Roman" w:eastAsia="Times New Roman" w:hAnsi="Times New Roman" w:cs="Times New Roman"/>
          <w:noProof/>
          <w:sz w:val="22"/>
          <w:szCs w:val="22"/>
          <w:lang w:eastAsia="es-GT"/>
        </w:rPr>
        <w:t>n mantiene robusto crecimiento dado su nivel,</w:t>
      </w:r>
      <w:r w:rsidR="008611D6">
        <w:rPr>
          <w:rFonts w:ascii="Times New Roman" w:eastAsia="Times New Roman" w:hAnsi="Times New Roman" w:cs="Times New Roman"/>
          <w:noProof/>
          <w:sz w:val="22"/>
          <w:szCs w:val="22"/>
          <w:lang w:eastAsia="es-GT"/>
        </w:rPr>
        <w:t xml:space="preserve"> ya</w:t>
      </w:r>
      <w:r w:rsidRPr="00C110F2">
        <w:rPr>
          <w:rFonts w:ascii="Times New Roman" w:eastAsia="Times New Roman" w:hAnsi="Times New Roman" w:cs="Times New Roman"/>
          <w:noProof/>
          <w:sz w:val="22"/>
          <w:szCs w:val="22"/>
          <w:lang w:eastAsia="es-GT"/>
        </w:rPr>
        <w:t xml:space="preserve"> </w:t>
      </w:r>
      <w:r w:rsidR="008611D6">
        <w:rPr>
          <w:rFonts w:ascii="Times New Roman" w:eastAsia="Times New Roman" w:hAnsi="Times New Roman" w:cs="Times New Roman"/>
          <w:noProof/>
          <w:sz w:val="22"/>
          <w:szCs w:val="22"/>
          <w:lang w:eastAsia="es-GT"/>
        </w:rPr>
        <w:t xml:space="preserve">que </w:t>
      </w:r>
      <w:r w:rsidRPr="00C110F2">
        <w:rPr>
          <w:rFonts w:ascii="Times New Roman" w:eastAsia="Times New Roman" w:hAnsi="Times New Roman" w:cs="Times New Roman"/>
          <w:noProof/>
          <w:sz w:val="22"/>
          <w:szCs w:val="22"/>
          <w:lang w:eastAsia="es-GT"/>
        </w:rPr>
        <w:t>las remesas se duplicaron en los últimos 6 años. Este crecimiento robusto se debe a la resiliencia de la economía esta</w:t>
      </w:r>
      <w:r w:rsidR="00DB315C">
        <w:rPr>
          <w:rFonts w:ascii="Times New Roman" w:eastAsia="Times New Roman" w:hAnsi="Times New Roman" w:cs="Times New Roman"/>
          <w:noProof/>
          <w:sz w:val="22"/>
          <w:szCs w:val="22"/>
          <w:lang w:eastAsia="es-GT"/>
        </w:rPr>
        <w:t>do</w:t>
      </w:r>
      <w:r w:rsidRPr="00C110F2">
        <w:rPr>
          <w:rFonts w:ascii="Times New Roman" w:eastAsia="Times New Roman" w:hAnsi="Times New Roman" w:cs="Times New Roman"/>
          <w:noProof/>
          <w:sz w:val="22"/>
          <w:szCs w:val="22"/>
          <w:lang w:eastAsia="es-GT"/>
        </w:rPr>
        <w:t>unidense y sus rigideces en el mercado laboral en el año anterior.</w:t>
      </w:r>
    </w:p>
    <w:p w14:paraId="221E0264" w14:textId="77777777" w:rsidR="007B0095" w:rsidRPr="00C110F2" w:rsidRDefault="007B0095" w:rsidP="00053BEC">
      <w:pPr>
        <w:contextualSpacing/>
        <w:jc w:val="both"/>
        <w:rPr>
          <w:rFonts w:ascii="Times New Roman" w:eastAsia="Times New Roman" w:hAnsi="Times New Roman" w:cs="Times New Roman"/>
          <w:noProof/>
          <w:sz w:val="22"/>
          <w:szCs w:val="22"/>
          <w:lang w:eastAsia="es-GT"/>
        </w:rPr>
      </w:pPr>
    </w:p>
    <w:p w14:paraId="744E7078" w14:textId="10EA4DF8" w:rsidR="007B0095" w:rsidRPr="00C110F2" w:rsidRDefault="007B0095" w:rsidP="00053BEC">
      <w:pPr>
        <w:numPr>
          <w:ilvl w:val="0"/>
          <w:numId w:val="14"/>
        </w:numPr>
        <w:contextualSpacing/>
        <w:jc w:val="both"/>
        <w:rPr>
          <w:rFonts w:ascii="Times New Roman" w:eastAsia="Times New Roman" w:hAnsi="Times New Roman" w:cs="Times New Roman"/>
          <w:noProof/>
          <w:sz w:val="22"/>
          <w:szCs w:val="22"/>
          <w:lang w:eastAsia="es-GT"/>
        </w:rPr>
      </w:pPr>
      <w:r w:rsidRPr="00C110F2">
        <w:rPr>
          <w:rFonts w:ascii="Times New Roman" w:eastAsia="Times New Roman" w:hAnsi="Times New Roman" w:cs="Times New Roman"/>
          <w:noProof/>
          <w:sz w:val="22"/>
          <w:szCs w:val="22"/>
          <w:lang w:eastAsia="es-GT"/>
        </w:rPr>
        <w:t>El nivel de Reservas Internacionales Netas (RIN) al 31 de diciembre de 2023, fue de US$21,319.4 millones, mayor en US$1,299.6 millones al registrado en 2022. Según el Banco de Guatemala esto fue resultado, principalmente por la colocación de los bonos del tesoro en el mercado internacional, lo que compensó la disminución de depósitos en moneda extranjera de los bancos del sistema en el Banco de Guatemala, por el pago del servicio de la deuda externa.</w:t>
      </w:r>
    </w:p>
    <w:p w14:paraId="003DAA01" w14:textId="77777777" w:rsidR="007B0095" w:rsidRPr="00C110F2" w:rsidRDefault="007B0095" w:rsidP="00053BEC">
      <w:pPr>
        <w:contextualSpacing/>
        <w:jc w:val="both"/>
        <w:rPr>
          <w:rFonts w:ascii="Times New Roman" w:eastAsia="Times New Roman" w:hAnsi="Times New Roman" w:cs="Times New Roman"/>
          <w:noProof/>
          <w:sz w:val="22"/>
          <w:szCs w:val="22"/>
          <w:lang w:eastAsia="es-GT"/>
        </w:rPr>
      </w:pPr>
    </w:p>
    <w:p w14:paraId="58AF85F5" w14:textId="3F187382" w:rsidR="007B0095" w:rsidRPr="00C110F2" w:rsidRDefault="007B0095" w:rsidP="00053BEC">
      <w:pPr>
        <w:numPr>
          <w:ilvl w:val="0"/>
          <w:numId w:val="14"/>
        </w:numPr>
        <w:contextualSpacing/>
        <w:jc w:val="both"/>
        <w:rPr>
          <w:rFonts w:ascii="Times New Roman" w:eastAsia="Times New Roman" w:hAnsi="Times New Roman" w:cs="Times New Roman"/>
          <w:noProof/>
          <w:sz w:val="22"/>
          <w:szCs w:val="22"/>
          <w:lang w:eastAsia="es-GT"/>
        </w:rPr>
      </w:pPr>
      <w:r w:rsidRPr="00C110F2">
        <w:rPr>
          <w:rFonts w:ascii="Times New Roman" w:eastAsia="Times New Roman" w:hAnsi="Times New Roman" w:cs="Times New Roman"/>
          <w:noProof/>
          <w:sz w:val="22"/>
          <w:szCs w:val="22"/>
          <w:lang w:eastAsia="es-GT"/>
        </w:rPr>
        <w:t>El tipo de cambio nominal a diciembre de 2023</w:t>
      </w:r>
      <w:r w:rsidR="008611D6">
        <w:rPr>
          <w:rFonts w:ascii="Times New Roman" w:eastAsia="Times New Roman" w:hAnsi="Times New Roman" w:cs="Times New Roman"/>
          <w:noProof/>
          <w:sz w:val="22"/>
          <w:szCs w:val="22"/>
          <w:lang w:eastAsia="es-GT"/>
        </w:rPr>
        <w:t xml:space="preserve"> </w:t>
      </w:r>
      <w:r w:rsidR="008611D6" w:rsidRPr="00C110F2">
        <w:rPr>
          <w:rFonts w:ascii="Times New Roman" w:eastAsia="Times New Roman" w:hAnsi="Times New Roman" w:cs="Times New Roman"/>
          <w:noProof/>
          <w:sz w:val="22"/>
          <w:szCs w:val="22"/>
          <w:lang w:eastAsia="es-GT"/>
        </w:rPr>
        <w:t>registró</w:t>
      </w:r>
      <w:r w:rsidRPr="00C110F2">
        <w:rPr>
          <w:rFonts w:ascii="Times New Roman" w:eastAsia="Times New Roman" w:hAnsi="Times New Roman" w:cs="Times New Roman"/>
          <w:noProof/>
          <w:sz w:val="22"/>
          <w:szCs w:val="22"/>
          <w:lang w:eastAsia="es-GT"/>
        </w:rPr>
        <w:t xml:space="preserve"> apreciación interanual de 0.3%, el principal factor según el Banco de Guatemala es el dinámico crecimiento de las remesas familiares de los últimos años y la reducción del déficit comercial, debido a las disminuciones observadas en 2023. Cabe </w:t>
      </w:r>
      <w:r w:rsidR="008611D6">
        <w:rPr>
          <w:rFonts w:ascii="Times New Roman" w:eastAsia="Times New Roman" w:hAnsi="Times New Roman" w:cs="Times New Roman"/>
          <w:noProof/>
          <w:sz w:val="22"/>
          <w:szCs w:val="22"/>
          <w:lang w:eastAsia="es-GT"/>
        </w:rPr>
        <w:t>resaltar</w:t>
      </w:r>
      <w:r w:rsidR="008611D6" w:rsidRPr="00C110F2">
        <w:rPr>
          <w:rFonts w:ascii="Times New Roman" w:eastAsia="Times New Roman" w:hAnsi="Times New Roman" w:cs="Times New Roman"/>
          <w:noProof/>
          <w:sz w:val="22"/>
          <w:szCs w:val="22"/>
          <w:lang w:eastAsia="es-GT"/>
        </w:rPr>
        <w:t xml:space="preserve"> </w:t>
      </w:r>
      <w:r w:rsidRPr="00C110F2">
        <w:rPr>
          <w:rFonts w:ascii="Times New Roman" w:eastAsia="Times New Roman" w:hAnsi="Times New Roman" w:cs="Times New Roman"/>
          <w:noProof/>
          <w:sz w:val="22"/>
          <w:szCs w:val="22"/>
          <w:lang w:eastAsia="es-GT"/>
        </w:rPr>
        <w:t>que en el año previ</w:t>
      </w:r>
      <w:r w:rsidR="008611D6">
        <w:rPr>
          <w:rFonts w:ascii="Times New Roman" w:eastAsia="Times New Roman" w:hAnsi="Times New Roman" w:cs="Times New Roman"/>
          <w:noProof/>
          <w:sz w:val="22"/>
          <w:szCs w:val="22"/>
          <w:lang w:eastAsia="es-GT"/>
        </w:rPr>
        <w:t>o</w:t>
      </w:r>
      <w:r w:rsidRPr="00C110F2">
        <w:rPr>
          <w:rFonts w:ascii="Times New Roman" w:eastAsia="Times New Roman" w:hAnsi="Times New Roman" w:cs="Times New Roman"/>
          <w:noProof/>
          <w:sz w:val="22"/>
          <w:szCs w:val="22"/>
          <w:lang w:eastAsia="es-GT"/>
        </w:rPr>
        <w:t xml:space="preserve"> se observ</w:t>
      </w:r>
      <w:r w:rsidR="008611D6">
        <w:rPr>
          <w:rFonts w:ascii="Times New Roman" w:eastAsia="Times New Roman" w:hAnsi="Times New Roman" w:cs="Times New Roman"/>
          <w:noProof/>
          <w:sz w:val="22"/>
          <w:szCs w:val="22"/>
          <w:lang w:eastAsia="es-GT"/>
        </w:rPr>
        <w:t>aron</w:t>
      </w:r>
      <w:r w:rsidRPr="00C110F2">
        <w:rPr>
          <w:rFonts w:ascii="Times New Roman" w:eastAsia="Times New Roman" w:hAnsi="Times New Roman" w:cs="Times New Roman"/>
          <w:noProof/>
          <w:sz w:val="22"/>
          <w:szCs w:val="22"/>
          <w:lang w:eastAsia="es-GT"/>
        </w:rPr>
        <w:t xml:space="preserve"> compras netas por USD$513.7 millones por el Banco de Guatemala por el mecanismo de regla cambiaría y que</w:t>
      </w:r>
      <w:r w:rsidR="008611D6">
        <w:rPr>
          <w:rFonts w:ascii="Times New Roman" w:eastAsia="Times New Roman" w:hAnsi="Times New Roman" w:cs="Times New Roman"/>
          <w:noProof/>
          <w:sz w:val="22"/>
          <w:szCs w:val="22"/>
          <w:lang w:eastAsia="es-GT"/>
        </w:rPr>
        <w:t>,</w:t>
      </w:r>
      <w:r w:rsidRPr="00C110F2">
        <w:rPr>
          <w:rFonts w:ascii="Times New Roman" w:eastAsia="Times New Roman" w:hAnsi="Times New Roman" w:cs="Times New Roman"/>
          <w:noProof/>
          <w:sz w:val="22"/>
          <w:szCs w:val="22"/>
          <w:lang w:eastAsia="es-GT"/>
        </w:rPr>
        <w:t xml:space="preserve"> a diferencia de los últimos tres años</w:t>
      </w:r>
      <w:r w:rsidR="008611D6">
        <w:rPr>
          <w:rFonts w:ascii="Times New Roman" w:eastAsia="Times New Roman" w:hAnsi="Times New Roman" w:cs="Times New Roman"/>
          <w:noProof/>
          <w:sz w:val="22"/>
          <w:szCs w:val="22"/>
          <w:lang w:eastAsia="es-GT"/>
        </w:rPr>
        <w:t>,</w:t>
      </w:r>
      <w:r w:rsidRPr="00C110F2">
        <w:rPr>
          <w:rFonts w:ascii="Times New Roman" w:eastAsia="Times New Roman" w:hAnsi="Times New Roman" w:cs="Times New Roman"/>
          <w:noProof/>
          <w:sz w:val="22"/>
          <w:szCs w:val="22"/>
          <w:lang w:eastAsia="es-GT"/>
        </w:rPr>
        <w:t xml:space="preserve"> no se realizaron compras por la acumulación de reservas internacionales, mostrando que las presiones hacia la apreciación disminuyeron.</w:t>
      </w:r>
    </w:p>
    <w:p w14:paraId="60B2FE8A" w14:textId="77777777" w:rsidR="007B0095" w:rsidRPr="00C110F2" w:rsidRDefault="007B0095" w:rsidP="00053BEC">
      <w:pPr>
        <w:contextualSpacing/>
        <w:jc w:val="both"/>
        <w:rPr>
          <w:rFonts w:ascii="Times New Roman" w:eastAsia="Times New Roman" w:hAnsi="Times New Roman" w:cs="Times New Roman"/>
          <w:noProof/>
          <w:lang w:val="es-ES_tradnl" w:eastAsia="es-GT"/>
        </w:rPr>
      </w:pPr>
    </w:p>
    <w:p w14:paraId="4DDBE9FF" w14:textId="28141BEB" w:rsidR="007B0095" w:rsidRPr="00C110F2" w:rsidRDefault="007B0095" w:rsidP="00053BEC">
      <w:pPr>
        <w:numPr>
          <w:ilvl w:val="0"/>
          <w:numId w:val="14"/>
        </w:numPr>
        <w:contextualSpacing/>
        <w:jc w:val="both"/>
        <w:rPr>
          <w:rFonts w:ascii="Times New Roman" w:eastAsia="Times New Roman" w:hAnsi="Times New Roman" w:cs="Times New Roman"/>
          <w:noProof/>
          <w:sz w:val="22"/>
          <w:szCs w:val="22"/>
          <w:lang w:eastAsia="es-GT"/>
        </w:rPr>
      </w:pPr>
      <w:r w:rsidRPr="00C110F2">
        <w:rPr>
          <w:rFonts w:ascii="Times New Roman" w:eastAsia="Times New Roman" w:hAnsi="Times New Roman" w:cs="Times New Roman"/>
          <w:noProof/>
          <w:sz w:val="22"/>
          <w:szCs w:val="22"/>
          <w:lang w:eastAsia="es-GT"/>
        </w:rPr>
        <w:t>En lo que respecta a la tasa de interés líder de política monetaria</w:t>
      </w:r>
      <w:r w:rsidR="002E5F74">
        <w:rPr>
          <w:rFonts w:ascii="Times New Roman" w:eastAsia="Times New Roman" w:hAnsi="Times New Roman" w:cs="Times New Roman"/>
          <w:noProof/>
          <w:sz w:val="22"/>
          <w:szCs w:val="22"/>
          <w:lang w:eastAsia="es-GT"/>
        </w:rPr>
        <w:t>, cambiaria y crediticia</w:t>
      </w:r>
      <w:r w:rsidRPr="00C110F2">
        <w:rPr>
          <w:rFonts w:ascii="Times New Roman" w:eastAsia="Times New Roman" w:hAnsi="Times New Roman" w:cs="Times New Roman"/>
          <w:noProof/>
          <w:sz w:val="22"/>
          <w:szCs w:val="22"/>
          <w:lang w:eastAsia="es-GT"/>
        </w:rPr>
        <w:t>, la Junta Monetaria la aumentó 125 puntos básicos en 2023, dejando la tasa en 5.0% a fin de a</w:t>
      </w:r>
      <w:r>
        <w:rPr>
          <w:rFonts w:ascii="Times New Roman" w:eastAsia="Times New Roman" w:hAnsi="Times New Roman" w:cs="Times New Roman"/>
          <w:noProof/>
          <w:sz w:val="22"/>
          <w:szCs w:val="22"/>
          <w:lang w:eastAsia="es-GT"/>
        </w:rPr>
        <w:t>ño</w:t>
      </w:r>
      <w:r w:rsidRPr="00C110F2">
        <w:rPr>
          <w:rFonts w:ascii="Times New Roman" w:eastAsia="Times New Roman" w:hAnsi="Times New Roman" w:cs="Times New Roman"/>
          <w:noProof/>
          <w:sz w:val="22"/>
          <w:szCs w:val="22"/>
          <w:lang w:eastAsia="es-GT"/>
        </w:rPr>
        <w:t>. El objetivo de los aumentos que iniciaron en mayo de 2022 fue frenar la inflación y proteger la moneda, logrando a finales de 2022 frenar los aumentos de los precios seguido de un descenso r</w:t>
      </w:r>
      <w:r w:rsidR="00641B43">
        <w:rPr>
          <w:rFonts w:ascii="Times New Roman" w:eastAsia="Times New Roman" w:hAnsi="Times New Roman" w:cs="Times New Roman"/>
          <w:noProof/>
          <w:sz w:val="22"/>
          <w:szCs w:val="22"/>
          <w:lang w:eastAsia="es-GT"/>
        </w:rPr>
        <w:t>á</w:t>
      </w:r>
      <w:r w:rsidRPr="00C110F2">
        <w:rPr>
          <w:rFonts w:ascii="Times New Roman" w:eastAsia="Times New Roman" w:hAnsi="Times New Roman" w:cs="Times New Roman"/>
          <w:noProof/>
          <w:sz w:val="22"/>
          <w:szCs w:val="22"/>
          <w:lang w:eastAsia="es-GT"/>
        </w:rPr>
        <w:t>pido hacia la meta en junio del 2023.</w:t>
      </w:r>
    </w:p>
    <w:p w14:paraId="08ACAAC4" w14:textId="230C159C" w:rsidR="007B0095" w:rsidRDefault="007B0095" w:rsidP="00053BEC">
      <w:pPr>
        <w:pStyle w:val="Prrafodelista"/>
        <w:rPr>
          <w:rFonts w:ascii="Times New Roman" w:eastAsia="Times New Roman" w:hAnsi="Times New Roman" w:cs="Times New Roman"/>
          <w:noProof/>
          <w:lang w:eastAsia="es-GT"/>
        </w:rPr>
      </w:pPr>
    </w:p>
    <w:p w14:paraId="21A5BA8B" w14:textId="77B80403" w:rsidR="00F22DD8" w:rsidRDefault="00F22DD8" w:rsidP="00053BEC">
      <w:pPr>
        <w:pStyle w:val="Prrafodelista"/>
        <w:rPr>
          <w:rFonts w:ascii="Times New Roman" w:eastAsia="Times New Roman" w:hAnsi="Times New Roman" w:cs="Times New Roman"/>
          <w:noProof/>
          <w:lang w:eastAsia="es-GT"/>
        </w:rPr>
      </w:pPr>
    </w:p>
    <w:p w14:paraId="697EEF29" w14:textId="61D3F084" w:rsidR="00F22DD8" w:rsidRDefault="00F22DD8" w:rsidP="00053BEC">
      <w:pPr>
        <w:pStyle w:val="Prrafodelista"/>
        <w:rPr>
          <w:rFonts w:ascii="Times New Roman" w:eastAsia="Times New Roman" w:hAnsi="Times New Roman" w:cs="Times New Roman"/>
          <w:noProof/>
          <w:lang w:eastAsia="es-GT"/>
        </w:rPr>
      </w:pPr>
    </w:p>
    <w:p w14:paraId="1ABEE4E7" w14:textId="2722D046" w:rsidR="00F22DD8" w:rsidRDefault="00F22DD8" w:rsidP="00053BEC">
      <w:pPr>
        <w:pStyle w:val="Prrafodelista"/>
        <w:rPr>
          <w:rFonts w:ascii="Times New Roman" w:eastAsia="Times New Roman" w:hAnsi="Times New Roman" w:cs="Times New Roman"/>
          <w:noProof/>
          <w:lang w:eastAsia="es-GT"/>
        </w:rPr>
      </w:pPr>
    </w:p>
    <w:p w14:paraId="7D9CC985" w14:textId="1B752753" w:rsidR="00F22DD8" w:rsidRDefault="00F22DD8" w:rsidP="00053BEC">
      <w:pPr>
        <w:pStyle w:val="Prrafodelista"/>
        <w:rPr>
          <w:rFonts w:ascii="Times New Roman" w:eastAsia="Times New Roman" w:hAnsi="Times New Roman" w:cs="Times New Roman"/>
          <w:noProof/>
          <w:lang w:eastAsia="es-GT"/>
        </w:rPr>
      </w:pPr>
    </w:p>
    <w:p w14:paraId="7872646E" w14:textId="77777777" w:rsidR="00F22DD8" w:rsidRPr="00C110F2" w:rsidRDefault="00F22DD8" w:rsidP="00053BEC">
      <w:pPr>
        <w:pStyle w:val="Prrafodelista"/>
        <w:rPr>
          <w:rFonts w:ascii="Times New Roman" w:eastAsia="Times New Roman" w:hAnsi="Times New Roman" w:cs="Times New Roman"/>
          <w:noProof/>
          <w:lang w:eastAsia="es-GT"/>
        </w:rPr>
      </w:pPr>
    </w:p>
    <w:tbl>
      <w:tblPr>
        <w:tblStyle w:val="Tablaconcuadrcu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4"/>
        <w:gridCol w:w="4554"/>
      </w:tblGrid>
      <w:tr w:rsidR="007B0095" w:rsidRPr="00C110F2" w14:paraId="5AC03F88" w14:textId="77777777" w:rsidTr="00973C72">
        <w:tc>
          <w:tcPr>
            <w:tcW w:w="4329" w:type="dxa"/>
            <w:vAlign w:val="center"/>
          </w:tcPr>
          <w:p w14:paraId="631FCD7C" w14:textId="4619FE62" w:rsidR="007B0095" w:rsidRPr="00C110F2" w:rsidRDefault="007B0095" w:rsidP="00973C72">
            <w:pPr>
              <w:spacing w:line="276" w:lineRule="auto"/>
              <w:contextualSpacing/>
              <w:jc w:val="center"/>
              <w:rPr>
                <w:rFonts w:ascii="Times New Roman" w:eastAsia="Times New Roman" w:hAnsi="Times New Roman"/>
                <w:b/>
                <w:bCs/>
              </w:rPr>
            </w:pPr>
            <w:bookmarkStart w:id="236" w:name="_Toc125733235"/>
            <w:bookmarkStart w:id="237" w:name="_Toc158103886"/>
            <w:r w:rsidRPr="00C110F2">
              <w:rPr>
                <w:rFonts w:ascii="Times New Roman" w:eastAsia="Times New Roman" w:hAnsi="Times New Roman"/>
                <w:b/>
              </w:rPr>
              <w:lastRenderedPageBreak/>
              <w:t xml:space="preserve">Gráfico </w:t>
            </w:r>
            <w:r w:rsidR="00DA2155">
              <w:rPr>
                <w:rFonts w:ascii="Times New Roman" w:eastAsia="Times New Roman" w:hAnsi="Times New Roman"/>
                <w:b/>
              </w:rPr>
              <w:fldChar w:fldCharType="begin"/>
            </w:r>
            <w:r w:rsidR="00DA2155">
              <w:rPr>
                <w:rFonts w:ascii="Times New Roman" w:eastAsia="Times New Roman" w:hAnsi="Times New Roman"/>
                <w:b/>
              </w:rPr>
              <w:instrText xml:space="preserve"> SEQ Gráfico \* ARABIC </w:instrText>
            </w:r>
            <w:r w:rsidR="00DA2155">
              <w:rPr>
                <w:rFonts w:ascii="Times New Roman" w:eastAsia="Times New Roman" w:hAnsi="Times New Roman"/>
                <w:b/>
              </w:rPr>
              <w:fldChar w:fldCharType="separate"/>
            </w:r>
            <w:r w:rsidR="00C015DC">
              <w:rPr>
                <w:rFonts w:ascii="Times New Roman" w:eastAsia="Times New Roman" w:hAnsi="Times New Roman"/>
                <w:b/>
                <w:noProof/>
              </w:rPr>
              <w:t>41</w:t>
            </w:r>
            <w:r w:rsidR="00DA2155">
              <w:rPr>
                <w:rFonts w:ascii="Times New Roman" w:eastAsia="Times New Roman" w:hAnsi="Times New Roman"/>
                <w:b/>
              </w:rPr>
              <w:fldChar w:fldCharType="end"/>
            </w:r>
            <w:r w:rsidRPr="00C110F2">
              <w:rPr>
                <w:rFonts w:ascii="Times New Roman" w:eastAsia="Times New Roman" w:hAnsi="Times New Roman"/>
                <w:b/>
                <w:bCs/>
              </w:rPr>
              <w:t xml:space="preserve">. </w:t>
            </w:r>
            <w:r w:rsidRPr="00C110F2">
              <w:rPr>
                <w:rFonts w:ascii="Times New Roman" w:eastAsia="Times New Roman" w:hAnsi="Times New Roman"/>
                <w:b/>
                <w:bCs/>
                <w:lang w:val="es-MX" w:eastAsia="es-ES"/>
              </w:rPr>
              <w:t>Tipo de cambio de referencia</w:t>
            </w:r>
            <w:bookmarkEnd w:id="236"/>
            <w:bookmarkEnd w:id="237"/>
          </w:p>
        </w:tc>
        <w:tc>
          <w:tcPr>
            <w:tcW w:w="4509" w:type="dxa"/>
            <w:vAlign w:val="center"/>
          </w:tcPr>
          <w:p w14:paraId="561AF54C" w14:textId="15236067" w:rsidR="007B0095" w:rsidRDefault="007B0095" w:rsidP="00973C72">
            <w:pPr>
              <w:spacing w:line="276" w:lineRule="auto"/>
              <w:contextualSpacing/>
              <w:jc w:val="center"/>
              <w:rPr>
                <w:rFonts w:ascii="Times New Roman" w:eastAsia="Times New Roman" w:hAnsi="Times New Roman"/>
                <w:b/>
                <w:bCs/>
                <w:lang w:val="es-MX" w:eastAsia="es-ES"/>
              </w:rPr>
            </w:pPr>
            <w:bookmarkStart w:id="238" w:name="_Toc125733236"/>
            <w:bookmarkStart w:id="239" w:name="_Toc158103887"/>
            <w:r w:rsidRPr="00C110F2">
              <w:rPr>
                <w:rFonts w:ascii="Times New Roman" w:eastAsia="Times New Roman" w:hAnsi="Times New Roman"/>
                <w:b/>
              </w:rPr>
              <w:t xml:space="preserve">Gráfico </w:t>
            </w:r>
            <w:r w:rsidR="00DA2155">
              <w:rPr>
                <w:rFonts w:ascii="Times New Roman" w:eastAsia="Times New Roman" w:hAnsi="Times New Roman"/>
                <w:b/>
              </w:rPr>
              <w:fldChar w:fldCharType="begin"/>
            </w:r>
            <w:r w:rsidR="00DA2155">
              <w:rPr>
                <w:rFonts w:ascii="Times New Roman" w:eastAsia="Times New Roman" w:hAnsi="Times New Roman"/>
                <w:b/>
              </w:rPr>
              <w:instrText xml:space="preserve"> SEQ Gráfico \* ARABIC </w:instrText>
            </w:r>
            <w:r w:rsidR="00DA2155">
              <w:rPr>
                <w:rFonts w:ascii="Times New Roman" w:eastAsia="Times New Roman" w:hAnsi="Times New Roman"/>
                <w:b/>
              </w:rPr>
              <w:fldChar w:fldCharType="separate"/>
            </w:r>
            <w:r w:rsidR="00C015DC">
              <w:rPr>
                <w:rFonts w:ascii="Times New Roman" w:eastAsia="Times New Roman" w:hAnsi="Times New Roman"/>
                <w:b/>
                <w:noProof/>
              </w:rPr>
              <w:t>42</w:t>
            </w:r>
            <w:r w:rsidR="00DA2155">
              <w:rPr>
                <w:rFonts w:ascii="Times New Roman" w:eastAsia="Times New Roman" w:hAnsi="Times New Roman"/>
                <w:b/>
              </w:rPr>
              <w:fldChar w:fldCharType="end"/>
            </w:r>
            <w:r w:rsidRPr="00C110F2">
              <w:rPr>
                <w:rFonts w:ascii="Times New Roman" w:eastAsia="Times New Roman" w:hAnsi="Times New Roman"/>
                <w:b/>
              </w:rPr>
              <w:t>.</w:t>
            </w:r>
            <w:r w:rsidRPr="00C110F2">
              <w:rPr>
                <w:rFonts w:ascii="Times New Roman" w:eastAsia="Times New Roman" w:hAnsi="Times New Roman"/>
                <w:b/>
                <w:bCs/>
                <w:lang w:val="es-MX" w:eastAsia="es-ES"/>
              </w:rPr>
              <w:t xml:space="preserve"> Tasa líder</w:t>
            </w:r>
            <w:bookmarkEnd w:id="238"/>
            <w:bookmarkEnd w:id="239"/>
          </w:p>
          <w:p w14:paraId="634149FC" w14:textId="77777777" w:rsidR="007B0095" w:rsidRPr="002877FA" w:rsidRDefault="007B0095" w:rsidP="00973C72">
            <w:pPr>
              <w:spacing w:line="276" w:lineRule="auto"/>
              <w:contextualSpacing/>
              <w:jc w:val="center"/>
              <w:rPr>
                <w:rFonts w:ascii="Times New Roman" w:eastAsia="Times New Roman" w:hAnsi="Times New Roman"/>
                <w:lang w:val="es-MX" w:eastAsia="es-ES"/>
              </w:rPr>
            </w:pPr>
            <w:r w:rsidRPr="002877FA">
              <w:rPr>
                <w:rFonts w:ascii="Times New Roman" w:eastAsia="Times New Roman" w:hAnsi="Times New Roman"/>
                <w:sz w:val="22"/>
                <w:szCs w:val="22"/>
                <w:lang w:val="es-MX" w:eastAsia="es-ES"/>
              </w:rPr>
              <w:t>Porcentajes</w:t>
            </w:r>
          </w:p>
        </w:tc>
      </w:tr>
      <w:tr w:rsidR="007B0095" w:rsidRPr="00C110F2" w14:paraId="355A1E69" w14:textId="77777777" w:rsidTr="00973C72">
        <w:tc>
          <w:tcPr>
            <w:tcW w:w="4329" w:type="dxa"/>
          </w:tcPr>
          <w:p w14:paraId="1C522F55" w14:textId="77777777" w:rsidR="007B0095" w:rsidRPr="00C110F2" w:rsidRDefault="007B0095" w:rsidP="00973C72">
            <w:pPr>
              <w:spacing w:line="276" w:lineRule="auto"/>
              <w:ind w:right="49"/>
              <w:contextualSpacing/>
              <w:jc w:val="both"/>
              <w:rPr>
                <w:rFonts w:ascii="Calibri" w:eastAsia="Times New Roman" w:hAnsi="Calibri"/>
                <w:lang w:val="es-MX" w:eastAsia="es-ES"/>
              </w:rPr>
            </w:pPr>
            <w:r w:rsidRPr="00C110F2">
              <w:rPr>
                <w:rFonts w:ascii="Calibri" w:eastAsia="Times New Roman" w:hAnsi="Calibri"/>
                <w:noProof/>
                <w:lang w:eastAsia="es-ES"/>
              </w:rPr>
              <w:drawing>
                <wp:inline distT="0" distB="0" distL="0" distR="0" wp14:anchorId="711250F1" wp14:editId="6B28BC59">
                  <wp:extent cx="2640804" cy="2113915"/>
                  <wp:effectExtent l="0" t="0" r="7620" b="635"/>
                  <wp:docPr id="31" name="Gráfico 31">
                    <a:extLst xmlns:a="http://schemas.openxmlformats.org/drawingml/2006/main">
                      <a:ext uri="{FF2B5EF4-FFF2-40B4-BE49-F238E27FC236}">
                        <a16:creationId xmlns:a16="http://schemas.microsoft.com/office/drawing/2014/main" id="{AEE5365C-D410-4154-B493-D4777E8ACF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c>
          <w:tcPr>
            <w:tcW w:w="4509" w:type="dxa"/>
          </w:tcPr>
          <w:p w14:paraId="17EE8B13" w14:textId="77777777" w:rsidR="007B0095" w:rsidRPr="00C110F2" w:rsidRDefault="007B0095" w:rsidP="00973C72">
            <w:pPr>
              <w:spacing w:line="276" w:lineRule="auto"/>
              <w:ind w:right="49"/>
              <w:contextualSpacing/>
              <w:jc w:val="both"/>
              <w:rPr>
                <w:rFonts w:ascii="Calibri" w:eastAsia="Times New Roman" w:hAnsi="Calibri"/>
                <w:lang w:val="es-MX" w:eastAsia="es-ES"/>
              </w:rPr>
            </w:pPr>
            <w:r w:rsidRPr="00C110F2">
              <w:rPr>
                <w:rFonts w:ascii="Calibri" w:eastAsia="Times New Roman" w:hAnsi="Calibri"/>
                <w:noProof/>
                <w:lang w:eastAsia="es-ES"/>
              </w:rPr>
              <w:drawing>
                <wp:inline distT="0" distB="0" distL="0" distR="0" wp14:anchorId="4158C71A" wp14:editId="569825FF">
                  <wp:extent cx="2825115" cy="2113915"/>
                  <wp:effectExtent l="0" t="0" r="0" b="635"/>
                  <wp:docPr id="32" name="Gráfico 32">
                    <a:extLst xmlns:a="http://schemas.openxmlformats.org/drawingml/2006/main">
                      <a:ext uri="{FF2B5EF4-FFF2-40B4-BE49-F238E27FC236}">
                        <a16:creationId xmlns:a16="http://schemas.microsoft.com/office/drawing/2014/main" id="{6121700A-D058-4DE1-90AE-F76A22E424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r>
      <w:tr w:rsidR="007B0095" w:rsidRPr="00C110F2" w14:paraId="002A2944" w14:textId="77777777" w:rsidTr="00973C72">
        <w:tc>
          <w:tcPr>
            <w:tcW w:w="8838" w:type="dxa"/>
            <w:gridSpan w:val="2"/>
          </w:tcPr>
          <w:p w14:paraId="5D4D790F" w14:textId="77777777" w:rsidR="007B0095" w:rsidRPr="00C110F2" w:rsidRDefault="007B0095" w:rsidP="00973C72">
            <w:pPr>
              <w:spacing w:line="276" w:lineRule="auto"/>
              <w:ind w:right="49"/>
              <w:contextualSpacing/>
              <w:jc w:val="both"/>
              <w:rPr>
                <w:rFonts w:ascii="Times New Roman" w:eastAsia="Times New Roman" w:hAnsi="Times New Roman"/>
                <w:sz w:val="18"/>
                <w:szCs w:val="18"/>
                <w:lang w:val="es-MX" w:eastAsia="es-ES"/>
              </w:rPr>
            </w:pPr>
            <w:r w:rsidRPr="00C110F2">
              <w:rPr>
                <w:rFonts w:ascii="Times New Roman" w:eastAsia="Times New Roman" w:hAnsi="Times New Roman"/>
                <w:sz w:val="18"/>
                <w:szCs w:val="18"/>
                <w:lang w:val="es-ES_tradnl" w:eastAsia="es-ES"/>
              </w:rPr>
              <w:t xml:space="preserve">Fuente: Banco de Guatemala </w:t>
            </w:r>
          </w:p>
        </w:tc>
      </w:tr>
    </w:tbl>
    <w:p w14:paraId="6C7DCFFF" w14:textId="77777777" w:rsidR="007B0095" w:rsidRPr="00C110F2" w:rsidRDefault="007B0095" w:rsidP="00053BEC">
      <w:pPr>
        <w:contextualSpacing/>
        <w:jc w:val="both"/>
        <w:rPr>
          <w:rFonts w:ascii="Times New Roman" w:eastAsia="Times New Roman" w:hAnsi="Times New Roman" w:cs="Times New Roman"/>
          <w:noProof/>
          <w:color w:val="FF0000"/>
          <w:lang w:val="es-ES_tradnl" w:eastAsia="es-GT"/>
        </w:rPr>
      </w:pPr>
    </w:p>
    <w:p w14:paraId="31A14F9E" w14:textId="458E933B" w:rsidR="007B0095" w:rsidRPr="001833B3" w:rsidRDefault="007B0095" w:rsidP="00053BEC">
      <w:pPr>
        <w:spacing w:after="160"/>
        <w:jc w:val="both"/>
        <w:rPr>
          <w:rFonts w:ascii="Times New Roman" w:eastAsia="Times New Roman" w:hAnsi="Times New Roman" w:cs="Times New Roman"/>
          <w:noProof/>
          <w:sz w:val="22"/>
          <w:szCs w:val="22"/>
          <w:lang w:eastAsia="es-GT"/>
        </w:rPr>
      </w:pPr>
      <w:r w:rsidRPr="00C110F2">
        <w:rPr>
          <w:rFonts w:ascii="Times New Roman" w:eastAsia="Times New Roman" w:hAnsi="Times New Roman" w:cs="Times New Roman"/>
          <w:noProof/>
          <w:sz w:val="22"/>
          <w:szCs w:val="22"/>
          <w:lang w:eastAsia="es-GT"/>
        </w:rPr>
        <w:t>En el sector monetario, el crédito bancario al sector privado en moneda nacional y extranjera que influye de forma directa en la producción y el consumo nacional, a diciembre de 2023 mostró crecimiento de 14.9%</w:t>
      </w:r>
      <w:r>
        <w:rPr>
          <w:rFonts w:ascii="Times New Roman" w:eastAsia="Times New Roman" w:hAnsi="Times New Roman" w:cs="Times New Roman"/>
          <w:noProof/>
          <w:sz w:val="22"/>
          <w:szCs w:val="22"/>
          <w:lang w:eastAsia="es-GT"/>
        </w:rPr>
        <w:t>. E</w:t>
      </w:r>
      <w:r w:rsidRPr="00C110F2">
        <w:rPr>
          <w:rFonts w:ascii="Times New Roman" w:eastAsia="Times New Roman" w:hAnsi="Times New Roman" w:cs="Times New Roman"/>
          <w:noProof/>
          <w:sz w:val="22"/>
          <w:szCs w:val="22"/>
          <w:lang w:eastAsia="es-GT"/>
        </w:rPr>
        <w:t>n moneda nacional se observ</w:t>
      </w:r>
      <w:r>
        <w:rPr>
          <w:rFonts w:ascii="Times New Roman" w:eastAsia="Times New Roman" w:hAnsi="Times New Roman" w:cs="Times New Roman"/>
          <w:noProof/>
          <w:sz w:val="22"/>
          <w:szCs w:val="22"/>
          <w:lang w:eastAsia="es-GT"/>
        </w:rPr>
        <w:t>ó</w:t>
      </w:r>
      <w:r w:rsidRPr="00C110F2">
        <w:rPr>
          <w:rFonts w:ascii="Times New Roman" w:eastAsia="Times New Roman" w:hAnsi="Times New Roman" w:cs="Times New Roman"/>
          <w:noProof/>
          <w:sz w:val="22"/>
          <w:szCs w:val="22"/>
          <w:lang w:eastAsia="es-GT"/>
        </w:rPr>
        <w:t xml:space="preserve"> alta tasa </w:t>
      </w:r>
      <w:r>
        <w:rPr>
          <w:rFonts w:ascii="Times New Roman" w:eastAsia="Times New Roman" w:hAnsi="Times New Roman" w:cs="Times New Roman"/>
          <w:noProof/>
          <w:sz w:val="22"/>
          <w:szCs w:val="22"/>
          <w:lang w:eastAsia="es-GT"/>
        </w:rPr>
        <w:t>de crecimi</w:t>
      </w:r>
      <w:r w:rsidR="006E0AF2">
        <w:rPr>
          <w:rFonts w:ascii="Times New Roman" w:eastAsia="Times New Roman" w:hAnsi="Times New Roman" w:cs="Times New Roman"/>
          <w:noProof/>
          <w:sz w:val="22"/>
          <w:szCs w:val="22"/>
          <w:lang w:eastAsia="es-GT"/>
        </w:rPr>
        <w:t>e</w:t>
      </w:r>
      <w:r>
        <w:rPr>
          <w:rFonts w:ascii="Times New Roman" w:eastAsia="Times New Roman" w:hAnsi="Times New Roman" w:cs="Times New Roman"/>
          <w:noProof/>
          <w:sz w:val="22"/>
          <w:szCs w:val="22"/>
          <w:lang w:eastAsia="es-GT"/>
        </w:rPr>
        <w:t xml:space="preserve">nto </w:t>
      </w:r>
      <w:r w:rsidRPr="00C110F2">
        <w:rPr>
          <w:rFonts w:ascii="Times New Roman" w:eastAsia="Times New Roman" w:hAnsi="Times New Roman" w:cs="Times New Roman"/>
          <w:noProof/>
          <w:sz w:val="22"/>
          <w:szCs w:val="22"/>
          <w:lang w:eastAsia="es-GT"/>
        </w:rPr>
        <w:t xml:space="preserve">de 20.2%, </w:t>
      </w:r>
      <w:r w:rsidR="00494D0A">
        <w:rPr>
          <w:rFonts w:ascii="Times New Roman" w:eastAsia="Times New Roman" w:hAnsi="Times New Roman" w:cs="Times New Roman"/>
          <w:noProof/>
          <w:sz w:val="22"/>
          <w:szCs w:val="22"/>
          <w:lang w:eastAsia="es-GT"/>
        </w:rPr>
        <w:t xml:space="preserve">auqne </w:t>
      </w:r>
      <w:r w:rsidRPr="00C110F2">
        <w:rPr>
          <w:rFonts w:ascii="Times New Roman" w:eastAsia="Times New Roman" w:hAnsi="Times New Roman" w:cs="Times New Roman"/>
          <w:noProof/>
          <w:sz w:val="22"/>
          <w:szCs w:val="22"/>
          <w:lang w:eastAsia="es-GT"/>
        </w:rPr>
        <w:t xml:space="preserve">en moneda extranjera se tuvo fuerte desaceleración hasta ubicarse </w:t>
      </w:r>
      <w:r>
        <w:rPr>
          <w:rFonts w:ascii="Times New Roman" w:eastAsia="Times New Roman" w:hAnsi="Times New Roman" w:cs="Times New Roman"/>
          <w:noProof/>
          <w:sz w:val="22"/>
          <w:szCs w:val="22"/>
          <w:lang w:eastAsia="es-GT"/>
        </w:rPr>
        <w:t>la tasa de crecimiento en</w:t>
      </w:r>
      <w:r w:rsidRPr="00C110F2">
        <w:rPr>
          <w:rFonts w:ascii="Times New Roman" w:eastAsia="Times New Roman" w:hAnsi="Times New Roman" w:cs="Times New Roman"/>
          <w:noProof/>
          <w:sz w:val="22"/>
          <w:szCs w:val="22"/>
          <w:lang w:eastAsia="es-GT"/>
        </w:rPr>
        <w:t xml:space="preserve"> 2.8%. Además, la tasa activa promedio ponderada </w:t>
      </w:r>
      <w:r>
        <w:rPr>
          <w:rFonts w:ascii="Times New Roman" w:eastAsia="Times New Roman" w:hAnsi="Times New Roman" w:cs="Times New Roman"/>
          <w:noProof/>
          <w:sz w:val="22"/>
          <w:szCs w:val="22"/>
          <w:lang w:eastAsia="es-GT"/>
        </w:rPr>
        <w:t>en</w:t>
      </w:r>
      <w:r w:rsidRPr="00C110F2">
        <w:rPr>
          <w:rFonts w:ascii="Times New Roman" w:eastAsia="Times New Roman" w:hAnsi="Times New Roman" w:cs="Times New Roman"/>
          <w:noProof/>
          <w:sz w:val="22"/>
          <w:szCs w:val="22"/>
          <w:lang w:eastAsia="es-GT"/>
        </w:rPr>
        <w:t xml:space="preserve"> moneda nacional para diciembre de 2023 mostró </w:t>
      </w:r>
      <w:r w:rsidR="00494D0A">
        <w:rPr>
          <w:rFonts w:ascii="Times New Roman" w:eastAsia="Times New Roman" w:hAnsi="Times New Roman" w:cs="Times New Roman"/>
          <w:noProof/>
          <w:sz w:val="22"/>
          <w:szCs w:val="22"/>
          <w:lang w:eastAsia="es-GT"/>
        </w:rPr>
        <w:t>el</w:t>
      </w:r>
      <w:r w:rsidR="00494D0A" w:rsidRPr="00C110F2">
        <w:rPr>
          <w:rFonts w:ascii="Times New Roman" w:eastAsia="Times New Roman" w:hAnsi="Times New Roman" w:cs="Times New Roman"/>
          <w:noProof/>
          <w:sz w:val="22"/>
          <w:szCs w:val="22"/>
          <w:lang w:eastAsia="es-GT"/>
        </w:rPr>
        <w:t xml:space="preserve"> </w:t>
      </w:r>
      <w:r w:rsidRPr="00C110F2">
        <w:rPr>
          <w:rFonts w:ascii="Times New Roman" w:eastAsia="Times New Roman" w:hAnsi="Times New Roman" w:cs="Times New Roman"/>
          <w:noProof/>
          <w:sz w:val="22"/>
          <w:szCs w:val="22"/>
          <w:lang w:eastAsia="es-GT"/>
        </w:rPr>
        <w:t xml:space="preserve">valor de 12.1%, siendo </w:t>
      </w:r>
      <w:r w:rsidR="00494D0A" w:rsidRPr="00C110F2">
        <w:rPr>
          <w:rFonts w:ascii="Times New Roman" w:eastAsia="Times New Roman" w:hAnsi="Times New Roman" w:cs="Times New Roman"/>
          <w:noProof/>
          <w:sz w:val="22"/>
          <w:szCs w:val="22"/>
          <w:lang w:eastAsia="es-GT"/>
        </w:rPr>
        <w:t xml:space="preserve">levemente </w:t>
      </w:r>
      <w:r w:rsidRPr="00C110F2">
        <w:rPr>
          <w:rFonts w:ascii="Times New Roman" w:eastAsia="Times New Roman" w:hAnsi="Times New Roman" w:cs="Times New Roman"/>
          <w:noProof/>
          <w:sz w:val="22"/>
          <w:szCs w:val="22"/>
          <w:lang w:eastAsia="es-GT"/>
        </w:rPr>
        <w:t xml:space="preserve">superior al valor </w:t>
      </w:r>
      <w:r w:rsidRPr="001833B3">
        <w:rPr>
          <w:rFonts w:ascii="Times New Roman" w:eastAsia="Times New Roman" w:hAnsi="Times New Roman" w:cs="Times New Roman"/>
          <w:noProof/>
          <w:sz w:val="22"/>
          <w:szCs w:val="22"/>
          <w:lang w:eastAsia="es-GT"/>
        </w:rPr>
        <w:t>de 2022. Por su lado, la tasa pasiva fue de 4.5% para la misma fecha, 0.5 puntos porcentuales mayor a la del 2022, ambas tasas reflejan de forma leve la transmisión de la política monetaria</w:t>
      </w:r>
      <w:r w:rsidR="002E5F74">
        <w:rPr>
          <w:rFonts w:ascii="Times New Roman" w:eastAsia="Times New Roman" w:hAnsi="Times New Roman" w:cs="Times New Roman"/>
          <w:noProof/>
          <w:sz w:val="22"/>
          <w:szCs w:val="22"/>
          <w:lang w:eastAsia="es-GT"/>
        </w:rPr>
        <w:t xml:space="preserve">, </w:t>
      </w:r>
      <w:r>
        <w:rPr>
          <w:rFonts w:ascii="Times New Roman" w:eastAsia="Times New Roman" w:hAnsi="Times New Roman" w:cs="Times New Roman"/>
          <w:noProof/>
          <w:sz w:val="22"/>
          <w:szCs w:val="22"/>
          <w:lang w:eastAsia="es-GT"/>
        </w:rPr>
        <w:t>ya que el aumento en la tasa l</w:t>
      </w:r>
      <w:r w:rsidR="00494D0A">
        <w:rPr>
          <w:rFonts w:ascii="Times New Roman" w:eastAsia="Times New Roman" w:hAnsi="Times New Roman" w:cs="Times New Roman"/>
          <w:noProof/>
          <w:sz w:val="22"/>
          <w:szCs w:val="22"/>
          <w:lang w:eastAsia="es-GT"/>
        </w:rPr>
        <w:t>í</w:t>
      </w:r>
      <w:r>
        <w:rPr>
          <w:rFonts w:ascii="Times New Roman" w:eastAsia="Times New Roman" w:hAnsi="Times New Roman" w:cs="Times New Roman"/>
          <w:noProof/>
          <w:sz w:val="22"/>
          <w:szCs w:val="22"/>
          <w:lang w:eastAsia="es-GT"/>
        </w:rPr>
        <w:t>der es considerable, mientras que las tasas en el sistema bancario muestran variaciones poco significativas.</w:t>
      </w:r>
    </w:p>
    <w:p w14:paraId="14782A81" w14:textId="0DA1A346" w:rsidR="007B0095" w:rsidRDefault="007B0095" w:rsidP="00053BEC">
      <w:pPr>
        <w:jc w:val="both"/>
        <w:rPr>
          <w:rFonts w:ascii="Times New Roman" w:eastAsia="Times New Roman" w:hAnsi="Times New Roman" w:cs="Times New Roman"/>
          <w:noProof/>
          <w:sz w:val="22"/>
          <w:szCs w:val="22"/>
          <w:lang w:eastAsia="es-GT"/>
        </w:rPr>
      </w:pPr>
      <w:r w:rsidRPr="001833B3">
        <w:rPr>
          <w:rFonts w:ascii="Times New Roman" w:eastAsia="Times New Roman" w:hAnsi="Times New Roman" w:cs="Times New Roman"/>
          <w:noProof/>
          <w:sz w:val="22"/>
          <w:szCs w:val="22"/>
          <w:lang w:eastAsia="es-GT"/>
        </w:rPr>
        <w:t xml:space="preserve">La perspectiva de crecimiento </w:t>
      </w:r>
      <w:r>
        <w:rPr>
          <w:rFonts w:ascii="Times New Roman" w:eastAsia="Times New Roman" w:hAnsi="Times New Roman" w:cs="Times New Roman"/>
          <w:noProof/>
          <w:sz w:val="22"/>
          <w:szCs w:val="22"/>
          <w:lang w:eastAsia="es-GT"/>
        </w:rPr>
        <w:t xml:space="preserve">económico </w:t>
      </w:r>
      <w:r w:rsidRPr="001833B3">
        <w:rPr>
          <w:rFonts w:ascii="Times New Roman" w:eastAsia="Times New Roman" w:hAnsi="Times New Roman" w:cs="Times New Roman"/>
          <w:noProof/>
          <w:sz w:val="22"/>
          <w:szCs w:val="22"/>
          <w:lang w:eastAsia="es-GT"/>
        </w:rPr>
        <w:t xml:space="preserve">considerada para el 2023 </w:t>
      </w:r>
      <w:r>
        <w:rPr>
          <w:rFonts w:ascii="Times New Roman" w:eastAsia="Times New Roman" w:hAnsi="Times New Roman" w:cs="Times New Roman"/>
          <w:noProof/>
          <w:sz w:val="22"/>
          <w:szCs w:val="22"/>
          <w:lang w:eastAsia="es-GT"/>
        </w:rPr>
        <w:t>se prevé entre</w:t>
      </w:r>
      <w:r w:rsidRPr="001833B3">
        <w:rPr>
          <w:rFonts w:ascii="Times New Roman" w:eastAsia="Times New Roman" w:hAnsi="Times New Roman" w:cs="Times New Roman"/>
          <w:noProof/>
          <w:sz w:val="22"/>
          <w:szCs w:val="22"/>
          <w:lang w:eastAsia="es-GT"/>
        </w:rPr>
        <w:t xml:space="preserve"> 2.5% a 3.5%, en el caso del PIB real</w:t>
      </w:r>
      <w:r w:rsidR="000A05EA">
        <w:rPr>
          <w:rFonts w:ascii="Times New Roman" w:eastAsia="Times New Roman" w:hAnsi="Times New Roman" w:cs="Times New Roman"/>
          <w:noProof/>
          <w:sz w:val="22"/>
          <w:szCs w:val="22"/>
          <w:lang w:eastAsia="es-GT"/>
        </w:rPr>
        <w:t>;</w:t>
      </w:r>
      <w:r w:rsidRPr="001833B3">
        <w:rPr>
          <w:rFonts w:ascii="Times New Roman" w:eastAsia="Times New Roman" w:hAnsi="Times New Roman" w:cs="Times New Roman"/>
          <w:noProof/>
          <w:sz w:val="22"/>
          <w:szCs w:val="22"/>
          <w:lang w:eastAsia="es-GT"/>
        </w:rPr>
        <w:t xml:space="preserve"> esto como se i</w:t>
      </w:r>
      <w:r>
        <w:rPr>
          <w:rFonts w:ascii="Times New Roman" w:eastAsia="Times New Roman" w:hAnsi="Times New Roman" w:cs="Times New Roman"/>
          <w:noProof/>
          <w:sz w:val="22"/>
          <w:szCs w:val="22"/>
          <w:lang w:eastAsia="es-GT"/>
        </w:rPr>
        <w:t>n</w:t>
      </w:r>
      <w:r w:rsidRPr="001833B3">
        <w:rPr>
          <w:rFonts w:ascii="Times New Roman" w:eastAsia="Times New Roman" w:hAnsi="Times New Roman" w:cs="Times New Roman"/>
          <w:noProof/>
          <w:sz w:val="22"/>
          <w:szCs w:val="22"/>
          <w:lang w:eastAsia="es-GT"/>
        </w:rPr>
        <w:t xml:space="preserve">dicó </w:t>
      </w:r>
      <w:r w:rsidR="000A05EA">
        <w:rPr>
          <w:rFonts w:ascii="Times New Roman" w:eastAsia="Times New Roman" w:hAnsi="Times New Roman" w:cs="Times New Roman"/>
          <w:noProof/>
          <w:sz w:val="22"/>
          <w:szCs w:val="22"/>
          <w:lang w:eastAsia="es-GT"/>
        </w:rPr>
        <w:t>con anterioridad,</w:t>
      </w:r>
      <w:r w:rsidRPr="001833B3">
        <w:rPr>
          <w:rFonts w:ascii="Times New Roman" w:eastAsia="Times New Roman" w:hAnsi="Times New Roman" w:cs="Times New Roman"/>
          <w:noProof/>
          <w:sz w:val="22"/>
          <w:szCs w:val="22"/>
          <w:lang w:eastAsia="es-GT"/>
        </w:rPr>
        <w:t xml:space="preserve"> se debi</w:t>
      </w:r>
      <w:r>
        <w:rPr>
          <w:rFonts w:ascii="Times New Roman" w:eastAsia="Times New Roman" w:hAnsi="Times New Roman" w:cs="Times New Roman"/>
          <w:noProof/>
          <w:sz w:val="22"/>
          <w:szCs w:val="22"/>
          <w:lang w:eastAsia="es-GT"/>
        </w:rPr>
        <w:t>ó</w:t>
      </w:r>
      <w:r w:rsidRPr="001833B3">
        <w:rPr>
          <w:rFonts w:ascii="Times New Roman" w:eastAsia="Times New Roman" w:hAnsi="Times New Roman" w:cs="Times New Roman"/>
          <w:noProof/>
          <w:sz w:val="22"/>
          <w:szCs w:val="22"/>
          <w:lang w:eastAsia="es-GT"/>
        </w:rPr>
        <w:t xml:space="preserve"> principalmente al buen desempeño del consumo privado. Por su parte</w:t>
      </w:r>
      <w:r>
        <w:rPr>
          <w:rFonts w:ascii="Times New Roman" w:eastAsia="Times New Roman" w:hAnsi="Times New Roman" w:cs="Times New Roman"/>
          <w:noProof/>
          <w:sz w:val="22"/>
          <w:szCs w:val="22"/>
          <w:lang w:eastAsia="es-GT"/>
        </w:rPr>
        <w:t>,</w:t>
      </w:r>
      <w:r w:rsidRPr="001833B3">
        <w:rPr>
          <w:rFonts w:ascii="Times New Roman" w:eastAsia="Times New Roman" w:hAnsi="Times New Roman" w:cs="Times New Roman"/>
          <w:noProof/>
          <w:sz w:val="22"/>
          <w:szCs w:val="22"/>
          <w:lang w:eastAsia="es-GT"/>
        </w:rPr>
        <w:t xml:space="preserve"> el PIB nominal aumentó de 7.2% a 8.6%, debido al mayor volumen de producción y </w:t>
      </w:r>
      <w:r>
        <w:rPr>
          <w:rFonts w:ascii="Times New Roman" w:eastAsia="Times New Roman" w:hAnsi="Times New Roman" w:cs="Times New Roman"/>
          <w:noProof/>
          <w:sz w:val="22"/>
          <w:szCs w:val="22"/>
          <w:lang w:eastAsia="es-GT"/>
        </w:rPr>
        <w:t>a</w:t>
      </w:r>
      <w:r w:rsidR="000A05EA">
        <w:rPr>
          <w:rFonts w:ascii="Times New Roman" w:eastAsia="Times New Roman" w:hAnsi="Times New Roman" w:cs="Times New Roman"/>
          <w:noProof/>
          <w:sz w:val="22"/>
          <w:szCs w:val="22"/>
          <w:lang w:eastAsia="es-GT"/>
        </w:rPr>
        <w:t>l</w:t>
      </w:r>
      <w:r w:rsidRPr="001833B3">
        <w:rPr>
          <w:rFonts w:ascii="Times New Roman" w:eastAsia="Times New Roman" w:hAnsi="Times New Roman" w:cs="Times New Roman"/>
          <w:noProof/>
          <w:sz w:val="22"/>
          <w:szCs w:val="22"/>
          <w:lang w:eastAsia="es-GT"/>
        </w:rPr>
        <w:t xml:space="preserve"> cambio leve de la perspectiva de los precios considerados en el deflactor del PIB. </w:t>
      </w:r>
      <w:r>
        <w:rPr>
          <w:rFonts w:ascii="Times New Roman" w:eastAsia="Times New Roman" w:hAnsi="Times New Roman" w:cs="Times New Roman"/>
          <w:noProof/>
          <w:sz w:val="22"/>
          <w:szCs w:val="22"/>
          <w:lang w:eastAsia="es-GT"/>
        </w:rPr>
        <w:t>Asimismo,</w:t>
      </w:r>
      <w:r w:rsidRPr="001833B3">
        <w:rPr>
          <w:rFonts w:ascii="Times New Roman" w:eastAsia="Times New Roman" w:hAnsi="Times New Roman" w:cs="Times New Roman"/>
          <w:noProof/>
          <w:sz w:val="22"/>
          <w:szCs w:val="22"/>
          <w:lang w:eastAsia="es-GT"/>
        </w:rPr>
        <w:t xml:space="preserve"> la perspectiva de crecimiento de las importaciones</w:t>
      </w:r>
      <w:r>
        <w:rPr>
          <w:rFonts w:ascii="Times New Roman" w:eastAsia="Times New Roman" w:hAnsi="Times New Roman" w:cs="Times New Roman"/>
          <w:noProof/>
          <w:sz w:val="22"/>
          <w:szCs w:val="22"/>
          <w:lang w:eastAsia="es-GT"/>
        </w:rPr>
        <w:t xml:space="preserve"> </w:t>
      </w:r>
      <w:r w:rsidRPr="001833B3">
        <w:rPr>
          <w:rFonts w:ascii="Times New Roman" w:eastAsia="Times New Roman" w:hAnsi="Times New Roman" w:cs="Times New Roman"/>
          <w:noProof/>
          <w:sz w:val="22"/>
          <w:szCs w:val="22"/>
          <w:lang w:eastAsia="es-GT"/>
        </w:rPr>
        <w:t>sufrió un fuerte deterioro, pasando de 6.5% en agosto de 2022 a -1.5% en diciembre de 2023, esto debido a la baja observada en los precios medios de los productos importados. En el caso de las exportaciones tambien se sufrió un fuerte deterioro pasando de 4.5% a -5.0%, en el periodo mencionado, cabe destacar que la disminución de las exportaciones se debió a la disminución del volumen exportado en su mayor parte como resultado de la disminución de la demanda externa de los principales socios comerciales.</w:t>
      </w:r>
    </w:p>
    <w:p w14:paraId="0D017CAA" w14:textId="77777777" w:rsidR="00053BEC" w:rsidRDefault="00053BEC" w:rsidP="00053BEC">
      <w:pPr>
        <w:jc w:val="both"/>
        <w:rPr>
          <w:rFonts w:ascii="Times New Roman" w:eastAsia="Times New Roman" w:hAnsi="Times New Roman" w:cs="Times New Roman"/>
          <w:noProof/>
          <w:sz w:val="22"/>
          <w:szCs w:val="22"/>
          <w:lang w:eastAsia="es-GT"/>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7B0095" w:rsidRPr="001833B3" w14:paraId="51B33C36" w14:textId="77777777" w:rsidTr="00053BEC">
        <w:tc>
          <w:tcPr>
            <w:tcW w:w="8838" w:type="dxa"/>
          </w:tcPr>
          <w:p w14:paraId="610362FD" w14:textId="47FDCB1C" w:rsidR="007B0095" w:rsidRPr="00053BEC" w:rsidRDefault="00053BEC" w:rsidP="00053BEC">
            <w:pPr>
              <w:pStyle w:val="Descripcin"/>
              <w:keepNext/>
              <w:spacing w:after="0"/>
              <w:jc w:val="center"/>
              <w:rPr>
                <w:sz w:val="22"/>
                <w:szCs w:val="22"/>
              </w:rPr>
            </w:pPr>
            <w:bookmarkStart w:id="240" w:name="_Toc160196933"/>
            <w:r w:rsidRPr="00053BEC">
              <w:rPr>
                <w:sz w:val="22"/>
                <w:szCs w:val="22"/>
              </w:rPr>
              <w:t xml:space="preserve">Tabla </w:t>
            </w:r>
            <w:r w:rsidRPr="00053BEC">
              <w:rPr>
                <w:sz w:val="22"/>
                <w:szCs w:val="22"/>
              </w:rPr>
              <w:fldChar w:fldCharType="begin"/>
            </w:r>
            <w:r w:rsidRPr="00053BEC">
              <w:rPr>
                <w:sz w:val="22"/>
                <w:szCs w:val="22"/>
              </w:rPr>
              <w:instrText xml:space="preserve"> SEQ Tabla \* ARABIC </w:instrText>
            </w:r>
            <w:r w:rsidRPr="00053BEC">
              <w:rPr>
                <w:sz w:val="22"/>
                <w:szCs w:val="22"/>
              </w:rPr>
              <w:fldChar w:fldCharType="separate"/>
            </w:r>
            <w:r w:rsidR="00C015DC">
              <w:rPr>
                <w:noProof/>
                <w:sz w:val="22"/>
                <w:szCs w:val="22"/>
              </w:rPr>
              <w:t>18</w:t>
            </w:r>
            <w:r w:rsidRPr="00053BEC">
              <w:rPr>
                <w:sz w:val="22"/>
                <w:szCs w:val="22"/>
              </w:rPr>
              <w:fldChar w:fldCharType="end"/>
            </w:r>
            <w:r w:rsidRPr="00053BEC">
              <w:rPr>
                <w:sz w:val="22"/>
                <w:szCs w:val="22"/>
              </w:rPr>
              <w:t xml:space="preserve">.  </w:t>
            </w:r>
            <w:r w:rsidR="007B0095" w:rsidRPr="00053BEC">
              <w:rPr>
                <w:rFonts w:eastAsia="Times New Roman" w:cs="Calibri"/>
                <w:bCs/>
                <w:sz w:val="22"/>
                <w:szCs w:val="22"/>
              </w:rPr>
              <w:t>Evolución de perspectivas de 2023</w:t>
            </w:r>
            <w:bookmarkEnd w:id="240"/>
          </w:p>
          <w:p w14:paraId="59F972BA" w14:textId="77777777" w:rsidR="007B0095" w:rsidRPr="002877FA" w:rsidRDefault="007B0095" w:rsidP="00973C72">
            <w:pPr>
              <w:spacing w:line="276" w:lineRule="auto"/>
              <w:contextualSpacing/>
              <w:jc w:val="center"/>
              <w:rPr>
                <w:rFonts w:ascii="Times New Roman" w:eastAsia="Times New Roman" w:hAnsi="Times New Roman" w:cs="Calibri"/>
                <w:sz w:val="22"/>
                <w:szCs w:val="22"/>
              </w:rPr>
            </w:pPr>
            <w:r w:rsidRPr="002877FA">
              <w:rPr>
                <w:rFonts w:ascii="Times New Roman" w:eastAsia="Times New Roman" w:hAnsi="Times New Roman" w:cs="Calibri"/>
                <w:sz w:val="20"/>
                <w:szCs w:val="20"/>
              </w:rPr>
              <w:t>Porcentajes</w:t>
            </w:r>
          </w:p>
        </w:tc>
      </w:tr>
      <w:tr w:rsidR="007B0095" w:rsidRPr="001833B3" w14:paraId="0CF3C72B" w14:textId="77777777" w:rsidTr="00053BEC">
        <w:tc>
          <w:tcPr>
            <w:tcW w:w="8838" w:type="dxa"/>
          </w:tcPr>
          <w:tbl>
            <w:tblPr>
              <w:tblW w:w="8700" w:type="dxa"/>
              <w:tblCellMar>
                <w:left w:w="70" w:type="dxa"/>
                <w:right w:w="70" w:type="dxa"/>
              </w:tblCellMar>
              <w:tblLook w:val="04A0" w:firstRow="1" w:lastRow="0" w:firstColumn="1" w:lastColumn="0" w:noHBand="0" w:noVBand="1"/>
            </w:tblPr>
            <w:tblGrid>
              <w:gridCol w:w="2932"/>
              <w:gridCol w:w="1153"/>
              <w:gridCol w:w="1152"/>
              <w:gridCol w:w="1780"/>
              <w:gridCol w:w="1595"/>
            </w:tblGrid>
            <w:tr w:rsidR="007B0095" w:rsidRPr="001833B3" w14:paraId="687840B3" w14:textId="77777777" w:rsidTr="00A07366">
              <w:trPr>
                <w:trHeight w:val="409"/>
              </w:trPr>
              <w:tc>
                <w:tcPr>
                  <w:tcW w:w="2964" w:type="dxa"/>
                  <w:tcBorders>
                    <w:top w:val="single" w:sz="4" w:space="0" w:color="auto"/>
                    <w:left w:val="single" w:sz="4" w:space="0" w:color="auto"/>
                    <w:bottom w:val="single" w:sz="4" w:space="0" w:color="auto"/>
                    <w:right w:val="nil"/>
                  </w:tcBorders>
                  <w:shd w:val="clear" w:color="000000" w:fill="D9E1F2"/>
                  <w:noWrap/>
                  <w:vAlign w:val="center"/>
                  <w:hideMark/>
                </w:tcPr>
                <w:p w14:paraId="6419BA02" w14:textId="77777777" w:rsidR="007B0095" w:rsidRPr="009E4993" w:rsidRDefault="007B0095" w:rsidP="00A07366">
                  <w:pPr>
                    <w:jc w:val="center"/>
                    <w:rPr>
                      <w:rFonts w:ascii="Times New Roman" w:eastAsia="Times New Roman" w:hAnsi="Times New Roman" w:cs="Times New Roman"/>
                      <w:b/>
                      <w:bCs/>
                      <w:color w:val="000000"/>
                      <w:sz w:val="22"/>
                      <w:szCs w:val="22"/>
                      <w:lang w:eastAsia="es-GT"/>
                    </w:rPr>
                  </w:pPr>
                  <w:r w:rsidRPr="009E4993">
                    <w:rPr>
                      <w:rFonts w:ascii="Times New Roman" w:eastAsia="Times New Roman" w:hAnsi="Times New Roman" w:cs="Times New Roman"/>
                      <w:b/>
                      <w:bCs/>
                      <w:color w:val="000000"/>
                      <w:sz w:val="22"/>
                      <w:szCs w:val="22"/>
                      <w:lang w:eastAsia="es-GT"/>
                    </w:rPr>
                    <w:t>Variable</w:t>
                  </w:r>
                </w:p>
              </w:tc>
              <w:tc>
                <w:tcPr>
                  <w:tcW w:w="1164" w:type="dxa"/>
                  <w:tcBorders>
                    <w:top w:val="single" w:sz="4" w:space="0" w:color="auto"/>
                    <w:left w:val="nil"/>
                    <w:bottom w:val="single" w:sz="4" w:space="0" w:color="auto"/>
                    <w:right w:val="nil"/>
                  </w:tcBorders>
                  <w:shd w:val="clear" w:color="000000" w:fill="D9E1F2"/>
                  <w:noWrap/>
                  <w:vAlign w:val="center"/>
                  <w:hideMark/>
                </w:tcPr>
                <w:p w14:paraId="4A01C920" w14:textId="77777777" w:rsidR="007B0095" w:rsidRPr="009E4993" w:rsidRDefault="007B0095" w:rsidP="00A07366">
                  <w:pPr>
                    <w:jc w:val="center"/>
                    <w:rPr>
                      <w:rFonts w:ascii="Times New Roman" w:eastAsia="Times New Roman" w:hAnsi="Times New Roman" w:cs="Times New Roman"/>
                      <w:b/>
                      <w:bCs/>
                      <w:color w:val="000000"/>
                      <w:sz w:val="22"/>
                      <w:szCs w:val="22"/>
                      <w:lang w:eastAsia="es-GT"/>
                    </w:rPr>
                  </w:pPr>
                  <w:r w:rsidRPr="001833B3">
                    <w:rPr>
                      <w:rFonts w:ascii="Times New Roman" w:eastAsia="Times New Roman" w:hAnsi="Times New Roman" w:cs="Times New Roman"/>
                      <w:b/>
                      <w:bCs/>
                      <w:color w:val="000000"/>
                      <w:sz w:val="22"/>
                      <w:szCs w:val="22"/>
                      <w:lang w:eastAsia="es-GT"/>
                    </w:rPr>
                    <w:t>agosto 22</w:t>
                  </w:r>
                </w:p>
              </w:tc>
              <w:tc>
                <w:tcPr>
                  <w:tcW w:w="1163" w:type="dxa"/>
                  <w:tcBorders>
                    <w:top w:val="single" w:sz="4" w:space="0" w:color="auto"/>
                    <w:left w:val="nil"/>
                    <w:bottom w:val="single" w:sz="4" w:space="0" w:color="auto"/>
                    <w:right w:val="nil"/>
                  </w:tcBorders>
                  <w:shd w:val="clear" w:color="000000" w:fill="D9E1F2"/>
                  <w:noWrap/>
                  <w:vAlign w:val="center"/>
                  <w:hideMark/>
                </w:tcPr>
                <w:p w14:paraId="418DA7C4" w14:textId="77777777" w:rsidR="007B0095" w:rsidRPr="009E4993" w:rsidRDefault="007B0095" w:rsidP="00A07366">
                  <w:pPr>
                    <w:jc w:val="center"/>
                    <w:rPr>
                      <w:rFonts w:ascii="Times New Roman" w:eastAsia="Times New Roman" w:hAnsi="Times New Roman" w:cs="Times New Roman"/>
                      <w:b/>
                      <w:bCs/>
                      <w:color w:val="000000"/>
                      <w:sz w:val="22"/>
                      <w:szCs w:val="22"/>
                      <w:lang w:eastAsia="es-GT"/>
                    </w:rPr>
                  </w:pPr>
                  <w:r w:rsidRPr="001833B3">
                    <w:rPr>
                      <w:rFonts w:ascii="Times New Roman" w:eastAsia="Times New Roman" w:hAnsi="Times New Roman" w:cs="Times New Roman"/>
                      <w:b/>
                      <w:bCs/>
                      <w:color w:val="000000"/>
                      <w:sz w:val="22"/>
                      <w:szCs w:val="22"/>
                      <w:lang w:eastAsia="es-GT"/>
                    </w:rPr>
                    <w:t>abril 23</w:t>
                  </w:r>
                </w:p>
              </w:tc>
              <w:tc>
                <w:tcPr>
                  <w:tcW w:w="1798" w:type="dxa"/>
                  <w:tcBorders>
                    <w:top w:val="single" w:sz="4" w:space="0" w:color="auto"/>
                    <w:left w:val="nil"/>
                    <w:bottom w:val="single" w:sz="4" w:space="0" w:color="auto"/>
                    <w:right w:val="nil"/>
                  </w:tcBorders>
                  <w:shd w:val="clear" w:color="000000" w:fill="D9E1F2"/>
                  <w:noWrap/>
                  <w:vAlign w:val="center"/>
                  <w:hideMark/>
                </w:tcPr>
                <w:p w14:paraId="7269ED8E" w14:textId="77777777" w:rsidR="007B0095" w:rsidRPr="009E4993" w:rsidRDefault="007B0095" w:rsidP="00A07366">
                  <w:pPr>
                    <w:jc w:val="center"/>
                    <w:rPr>
                      <w:rFonts w:ascii="Times New Roman" w:eastAsia="Times New Roman" w:hAnsi="Times New Roman" w:cs="Times New Roman"/>
                      <w:b/>
                      <w:bCs/>
                      <w:color w:val="000000"/>
                      <w:sz w:val="22"/>
                      <w:szCs w:val="22"/>
                      <w:lang w:eastAsia="es-GT"/>
                    </w:rPr>
                  </w:pPr>
                  <w:r w:rsidRPr="001833B3">
                    <w:rPr>
                      <w:rFonts w:ascii="Times New Roman" w:eastAsia="Times New Roman" w:hAnsi="Times New Roman" w:cs="Times New Roman"/>
                      <w:b/>
                      <w:bCs/>
                      <w:color w:val="000000"/>
                      <w:sz w:val="22"/>
                      <w:szCs w:val="22"/>
                      <w:lang w:eastAsia="es-GT"/>
                    </w:rPr>
                    <w:t>noviembre 2023</w:t>
                  </w:r>
                </w:p>
              </w:tc>
              <w:tc>
                <w:tcPr>
                  <w:tcW w:w="1611" w:type="dxa"/>
                  <w:tcBorders>
                    <w:top w:val="single" w:sz="4" w:space="0" w:color="auto"/>
                    <w:left w:val="nil"/>
                    <w:bottom w:val="single" w:sz="4" w:space="0" w:color="auto"/>
                    <w:right w:val="single" w:sz="4" w:space="0" w:color="auto"/>
                  </w:tcBorders>
                  <w:shd w:val="clear" w:color="000000" w:fill="D9E1F2"/>
                  <w:noWrap/>
                  <w:vAlign w:val="center"/>
                  <w:hideMark/>
                </w:tcPr>
                <w:p w14:paraId="64CB5B3E" w14:textId="77777777" w:rsidR="007B0095" w:rsidRPr="009E4993" w:rsidRDefault="007B0095" w:rsidP="00A07366">
                  <w:pPr>
                    <w:jc w:val="center"/>
                    <w:rPr>
                      <w:rFonts w:ascii="Times New Roman" w:eastAsia="Times New Roman" w:hAnsi="Times New Roman" w:cs="Times New Roman"/>
                      <w:b/>
                      <w:bCs/>
                      <w:color w:val="000000"/>
                      <w:sz w:val="22"/>
                      <w:szCs w:val="22"/>
                      <w:lang w:eastAsia="es-GT"/>
                    </w:rPr>
                  </w:pPr>
                  <w:r w:rsidRPr="001833B3">
                    <w:rPr>
                      <w:rFonts w:ascii="Times New Roman" w:eastAsia="Times New Roman" w:hAnsi="Times New Roman" w:cs="Times New Roman"/>
                      <w:b/>
                      <w:bCs/>
                      <w:color w:val="000000"/>
                      <w:sz w:val="22"/>
                      <w:szCs w:val="22"/>
                      <w:lang w:eastAsia="es-GT"/>
                    </w:rPr>
                    <w:t>diciembre 2023</w:t>
                  </w:r>
                </w:p>
              </w:tc>
            </w:tr>
            <w:tr w:rsidR="007B0095" w:rsidRPr="001833B3" w14:paraId="690A37D2" w14:textId="77777777" w:rsidTr="00A07366">
              <w:trPr>
                <w:trHeight w:val="409"/>
              </w:trPr>
              <w:tc>
                <w:tcPr>
                  <w:tcW w:w="2964" w:type="dxa"/>
                  <w:tcBorders>
                    <w:top w:val="nil"/>
                    <w:left w:val="single" w:sz="4" w:space="0" w:color="auto"/>
                    <w:bottom w:val="nil"/>
                    <w:right w:val="nil"/>
                  </w:tcBorders>
                  <w:shd w:val="clear" w:color="auto" w:fill="auto"/>
                  <w:noWrap/>
                  <w:vAlign w:val="center"/>
                  <w:hideMark/>
                </w:tcPr>
                <w:p w14:paraId="6856F16F" w14:textId="77777777" w:rsidR="007B0095" w:rsidRPr="009E4993" w:rsidRDefault="007B0095" w:rsidP="00A07366">
                  <w:pPr>
                    <w:jc w:val="center"/>
                    <w:rPr>
                      <w:rFonts w:ascii="Times New Roman" w:eastAsia="Times New Roman" w:hAnsi="Times New Roman" w:cs="Times New Roman"/>
                      <w:color w:val="000000"/>
                      <w:sz w:val="20"/>
                      <w:szCs w:val="20"/>
                      <w:lang w:eastAsia="es-GT"/>
                    </w:rPr>
                  </w:pPr>
                  <w:r w:rsidRPr="009E4993">
                    <w:rPr>
                      <w:rFonts w:ascii="Times New Roman" w:eastAsia="Times New Roman" w:hAnsi="Times New Roman" w:cs="Times New Roman"/>
                      <w:color w:val="000000"/>
                      <w:sz w:val="20"/>
                      <w:szCs w:val="20"/>
                      <w:lang w:eastAsia="es-GT"/>
                    </w:rPr>
                    <w:t>Variación PIB Real (%)</w:t>
                  </w:r>
                </w:p>
              </w:tc>
              <w:tc>
                <w:tcPr>
                  <w:tcW w:w="1164" w:type="dxa"/>
                  <w:tcBorders>
                    <w:top w:val="nil"/>
                    <w:left w:val="nil"/>
                    <w:bottom w:val="nil"/>
                    <w:right w:val="nil"/>
                  </w:tcBorders>
                  <w:shd w:val="clear" w:color="auto" w:fill="auto"/>
                  <w:noWrap/>
                  <w:vAlign w:val="center"/>
                  <w:hideMark/>
                </w:tcPr>
                <w:p w14:paraId="6A792A6E" w14:textId="77777777" w:rsidR="007B0095" w:rsidRPr="009E4993" w:rsidRDefault="007B0095" w:rsidP="00A07366">
                  <w:pPr>
                    <w:jc w:val="center"/>
                    <w:rPr>
                      <w:rFonts w:ascii="Times New Roman" w:eastAsia="Times New Roman" w:hAnsi="Times New Roman" w:cs="Times New Roman"/>
                      <w:color w:val="000000"/>
                      <w:sz w:val="20"/>
                      <w:szCs w:val="20"/>
                      <w:lang w:eastAsia="es-GT"/>
                    </w:rPr>
                  </w:pPr>
                  <w:r w:rsidRPr="009E4993">
                    <w:rPr>
                      <w:rFonts w:ascii="Times New Roman" w:eastAsia="Times New Roman" w:hAnsi="Times New Roman" w:cs="Times New Roman"/>
                      <w:color w:val="000000"/>
                      <w:sz w:val="20"/>
                      <w:szCs w:val="20"/>
                      <w:lang w:eastAsia="es-GT"/>
                    </w:rPr>
                    <w:t>2.5</w:t>
                  </w:r>
                </w:p>
              </w:tc>
              <w:tc>
                <w:tcPr>
                  <w:tcW w:w="1163" w:type="dxa"/>
                  <w:tcBorders>
                    <w:top w:val="nil"/>
                    <w:left w:val="nil"/>
                    <w:bottom w:val="nil"/>
                    <w:right w:val="nil"/>
                  </w:tcBorders>
                  <w:shd w:val="clear" w:color="auto" w:fill="auto"/>
                  <w:noWrap/>
                  <w:vAlign w:val="center"/>
                  <w:hideMark/>
                </w:tcPr>
                <w:p w14:paraId="455DA882" w14:textId="77777777" w:rsidR="007B0095" w:rsidRPr="009E4993" w:rsidRDefault="007B0095" w:rsidP="00A07366">
                  <w:pPr>
                    <w:jc w:val="center"/>
                    <w:rPr>
                      <w:rFonts w:ascii="Times New Roman" w:eastAsia="Times New Roman" w:hAnsi="Times New Roman" w:cs="Times New Roman"/>
                      <w:color w:val="000000"/>
                      <w:sz w:val="20"/>
                      <w:szCs w:val="20"/>
                      <w:lang w:eastAsia="es-GT"/>
                    </w:rPr>
                  </w:pPr>
                  <w:r w:rsidRPr="009E4993">
                    <w:rPr>
                      <w:rFonts w:ascii="Times New Roman" w:eastAsia="Times New Roman" w:hAnsi="Times New Roman" w:cs="Times New Roman"/>
                      <w:color w:val="000000"/>
                      <w:sz w:val="20"/>
                      <w:szCs w:val="20"/>
                      <w:lang w:eastAsia="es-GT"/>
                    </w:rPr>
                    <w:t>2.5</w:t>
                  </w:r>
                </w:p>
              </w:tc>
              <w:tc>
                <w:tcPr>
                  <w:tcW w:w="1798" w:type="dxa"/>
                  <w:tcBorders>
                    <w:top w:val="nil"/>
                    <w:left w:val="nil"/>
                    <w:bottom w:val="nil"/>
                    <w:right w:val="nil"/>
                  </w:tcBorders>
                  <w:shd w:val="clear" w:color="auto" w:fill="auto"/>
                  <w:noWrap/>
                  <w:vAlign w:val="center"/>
                  <w:hideMark/>
                </w:tcPr>
                <w:p w14:paraId="3516684E" w14:textId="77777777" w:rsidR="007B0095" w:rsidRPr="009E4993" w:rsidRDefault="007B0095" w:rsidP="00A07366">
                  <w:pPr>
                    <w:jc w:val="center"/>
                    <w:rPr>
                      <w:rFonts w:ascii="Times New Roman" w:eastAsia="Times New Roman" w:hAnsi="Times New Roman" w:cs="Times New Roman"/>
                      <w:color w:val="000000"/>
                      <w:sz w:val="20"/>
                      <w:szCs w:val="20"/>
                      <w:lang w:eastAsia="es-GT"/>
                    </w:rPr>
                  </w:pPr>
                  <w:r w:rsidRPr="009E4993">
                    <w:rPr>
                      <w:rFonts w:ascii="Times New Roman" w:eastAsia="Times New Roman" w:hAnsi="Times New Roman" w:cs="Times New Roman"/>
                      <w:color w:val="000000"/>
                      <w:sz w:val="20"/>
                      <w:szCs w:val="20"/>
                      <w:lang w:eastAsia="es-GT"/>
                    </w:rPr>
                    <w:t>2.5</w:t>
                  </w:r>
                </w:p>
              </w:tc>
              <w:tc>
                <w:tcPr>
                  <w:tcW w:w="1611" w:type="dxa"/>
                  <w:tcBorders>
                    <w:top w:val="nil"/>
                    <w:left w:val="nil"/>
                    <w:bottom w:val="nil"/>
                    <w:right w:val="single" w:sz="4" w:space="0" w:color="auto"/>
                  </w:tcBorders>
                  <w:shd w:val="clear" w:color="auto" w:fill="auto"/>
                  <w:noWrap/>
                  <w:vAlign w:val="center"/>
                  <w:hideMark/>
                </w:tcPr>
                <w:p w14:paraId="37AC5373" w14:textId="77777777" w:rsidR="007B0095" w:rsidRPr="009E4993" w:rsidRDefault="007B0095" w:rsidP="00A07366">
                  <w:pPr>
                    <w:jc w:val="center"/>
                    <w:rPr>
                      <w:rFonts w:ascii="Times New Roman" w:eastAsia="Times New Roman" w:hAnsi="Times New Roman" w:cs="Times New Roman"/>
                      <w:color w:val="000000"/>
                      <w:sz w:val="20"/>
                      <w:szCs w:val="20"/>
                      <w:lang w:eastAsia="es-GT"/>
                    </w:rPr>
                  </w:pPr>
                  <w:r w:rsidRPr="009E4993">
                    <w:rPr>
                      <w:rFonts w:ascii="Times New Roman" w:eastAsia="Times New Roman" w:hAnsi="Times New Roman" w:cs="Times New Roman"/>
                      <w:color w:val="000000"/>
                      <w:sz w:val="20"/>
                      <w:szCs w:val="20"/>
                      <w:lang w:eastAsia="es-GT"/>
                    </w:rPr>
                    <w:t>3.5</w:t>
                  </w:r>
                </w:p>
              </w:tc>
            </w:tr>
            <w:tr w:rsidR="007B0095" w:rsidRPr="001833B3" w14:paraId="5FFC29A9" w14:textId="77777777" w:rsidTr="00A07366">
              <w:trPr>
                <w:trHeight w:val="409"/>
              </w:trPr>
              <w:tc>
                <w:tcPr>
                  <w:tcW w:w="2964" w:type="dxa"/>
                  <w:tcBorders>
                    <w:top w:val="nil"/>
                    <w:left w:val="single" w:sz="4" w:space="0" w:color="auto"/>
                    <w:bottom w:val="nil"/>
                    <w:right w:val="nil"/>
                  </w:tcBorders>
                  <w:shd w:val="clear" w:color="auto" w:fill="auto"/>
                  <w:noWrap/>
                  <w:vAlign w:val="center"/>
                  <w:hideMark/>
                </w:tcPr>
                <w:p w14:paraId="480C5359" w14:textId="77777777" w:rsidR="007B0095" w:rsidRPr="009E4993" w:rsidRDefault="007B0095" w:rsidP="00A07366">
                  <w:pPr>
                    <w:jc w:val="center"/>
                    <w:rPr>
                      <w:rFonts w:ascii="Times New Roman" w:eastAsia="Times New Roman" w:hAnsi="Times New Roman" w:cs="Times New Roman"/>
                      <w:color w:val="000000"/>
                      <w:sz w:val="20"/>
                      <w:szCs w:val="20"/>
                      <w:lang w:eastAsia="es-GT"/>
                    </w:rPr>
                  </w:pPr>
                  <w:r w:rsidRPr="009E4993">
                    <w:rPr>
                      <w:rFonts w:ascii="Times New Roman" w:eastAsia="Times New Roman" w:hAnsi="Times New Roman" w:cs="Times New Roman"/>
                      <w:color w:val="000000"/>
                      <w:sz w:val="20"/>
                      <w:szCs w:val="20"/>
                      <w:lang w:eastAsia="es-GT"/>
                    </w:rPr>
                    <w:t>Variación PIB Nominal (%)</w:t>
                  </w:r>
                </w:p>
              </w:tc>
              <w:tc>
                <w:tcPr>
                  <w:tcW w:w="1164" w:type="dxa"/>
                  <w:tcBorders>
                    <w:top w:val="nil"/>
                    <w:left w:val="nil"/>
                    <w:bottom w:val="nil"/>
                    <w:right w:val="nil"/>
                  </w:tcBorders>
                  <w:shd w:val="clear" w:color="auto" w:fill="auto"/>
                  <w:noWrap/>
                  <w:vAlign w:val="center"/>
                  <w:hideMark/>
                </w:tcPr>
                <w:p w14:paraId="1BE651EE" w14:textId="77777777" w:rsidR="007B0095" w:rsidRPr="009E4993" w:rsidRDefault="007B0095" w:rsidP="00A07366">
                  <w:pPr>
                    <w:jc w:val="center"/>
                    <w:rPr>
                      <w:rFonts w:ascii="Times New Roman" w:eastAsia="Times New Roman" w:hAnsi="Times New Roman" w:cs="Times New Roman"/>
                      <w:color w:val="000000"/>
                      <w:sz w:val="20"/>
                      <w:szCs w:val="20"/>
                      <w:lang w:eastAsia="es-GT"/>
                    </w:rPr>
                  </w:pPr>
                  <w:r w:rsidRPr="009E4993">
                    <w:rPr>
                      <w:rFonts w:ascii="Times New Roman" w:eastAsia="Times New Roman" w:hAnsi="Times New Roman" w:cs="Times New Roman"/>
                      <w:color w:val="000000"/>
                      <w:sz w:val="20"/>
                      <w:szCs w:val="20"/>
                      <w:lang w:eastAsia="es-GT"/>
                    </w:rPr>
                    <w:t>7.2</w:t>
                  </w:r>
                </w:p>
              </w:tc>
              <w:tc>
                <w:tcPr>
                  <w:tcW w:w="1163" w:type="dxa"/>
                  <w:tcBorders>
                    <w:top w:val="nil"/>
                    <w:left w:val="nil"/>
                    <w:bottom w:val="nil"/>
                    <w:right w:val="nil"/>
                  </w:tcBorders>
                  <w:shd w:val="clear" w:color="auto" w:fill="auto"/>
                  <w:noWrap/>
                  <w:vAlign w:val="center"/>
                  <w:hideMark/>
                </w:tcPr>
                <w:p w14:paraId="6DE1CDB5" w14:textId="77777777" w:rsidR="007B0095" w:rsidRPr="009E4993" w:rsidRDefault="007B0095" w:rsidP="00A07366">
                  <w:pPr>
                    <w:jc w:val="center"/>
                    <w:rPr>
                      <w:rFonts w:ascii="Times New Roman" w:eastAsia="Times New Roman" w:hAnsi="Times New Roman" w:cs="Times New Roman"/>
                      <w:color w:val="000000"/>
                      <w:sz w:val="20"/>
                      <w:szCs w:val="20"/>
                      <w:lang w:eastAsia="es-GT"/>
                    </w:rPr>
                  </w:pPr>
                  <w:r w:rsidRPr="009E4993">
                    <w:rPr>
                      <w:rFonts w:ascii="Times New Roman" w:eastAsia="Times New Roman" w:hAnsi="Times New Roman" w:cs="Times New Roman"/>
                      <w:color w:val="000000"/>
                      <w:sz w:val="20"/>
                      <w:szCs w:val="20"/>
                      <w:lang w:eastAsia="es-GT"/>
                    </w:rPr>
                    <w:t>7.2</w:t>
                  </w:r>
                </w:p>
              </w:tc>
              <w:tc>
                <w:tcPr>
                  <w:tcW w:w="1798" w:type="dxa"/>
                  <w:tcBorders>
                    <w:top w:val="nil"/>
                    <w:left w:val="nil"/>
                    <w:bottom w:val="nil"/>
                    <w:right w:val="nil"/>
                  </w:tcBorders>
                  <w:shd w:val="clear" w:color="auto" w:fill="auto"/>
                  <w:noWrap/>
                  <w:vAlign w:val="center"/>
                  <w:hideMark/>
                </w:tcPr>
                <w:p w14:paraId="0A9D8614" w14:textId="77777777" w:rsidR="007B0095" w:rsidRPr="009E4993" w:rsidRDefault="007B0095" w:rsidP="00A07366">
                  <w:pPr>
                    <w:jc w:val="center"/>
                    <w:rPr>
                      <w:rFonts w:ascii="Times New Roman" w:eastAsia="Times New Roman" w:hAnsi="Times New Roman" w:cs="Times New Roman"/>
                      <w:color w:val="000000"/>
                      <w:sz w:val="20"/>
                      <w:szCs w:val="20"/>
                      <w:lang w:eastAsia="es-GT"/>
                    </w:rPr>
                  </w:pPr>
                  <w:r w:rsidRPr="009E4993">
                    <w:rPr>
                      <w:rFonts w:ascii="Times New Roman" w:eastAsia="Times New Roman" w:hAnsi="Times New Roman" w:cs="Times New Roman"/>
                      <w:color w:val="000000"/>
                      <w:sz w:val="20"/>
                      <w:szCs w:val="20"/>
                      <w:lang w:eastAsia="es-GT"/>
                    </w:rPr>
                    <w:t>7.2</w:t>
                  </w:r>
                </w:p>
              </w:tc>
              <w:tc>
                <w:tcPr>
                  <w:tcW w:w="1611" w:type="dxa"/>
                  <w:tcBorders>
                    <w:top w:val="nil"/>
                    <w:left w:val="nil"/>
                    <w:bottom w:val="nil"/>
                    <w:right w:val="single" w:sz="4" w:space="0" w:color="auto"/>
                  </w:tcBorders>
                  <w:shd w:val="clear" w:color="auto" w:fill="auto"/>
                  <w:noWrap/>
                  <w:vAlign w:val="center"/>
                  <w:hideMark/>
                </w:tcPr>
                <w:p w14:paraId="582D6157" w14:textId="77777777" w:rsidR="007B0095" w:rsidRPr="009E4993" w:rsidRDefault="007B0095" w:rsidP="00A07366">
                  <w:pPr>
                    <w:jc w:val="center"/>
                    <w:rPr>
                      <w:rFonts w:ascii="Times New Roman" w:eastAsia="Times New Roman" w:hAnsi="Times New Roman" w:cs="Times New Roman"/>
                      <w:color w:val="000000"/>
                      <w:sz w:val="20"/>
                      <w:szCs w:val="20"/>
                      <w:lang w:eastAsia="es-GT"/>
                    </w:rPr>
                  </w:pPr>
                  <w:r w:rsidRPr="009E4993">
                    <w:rPr>
                      <w:rFonts w:ascii="Times New Roman" w:eastAsia="Times New Roman" w:hAnsi="Times New Roman" w:cs="Times New Roman"/>
                      <w:color w:val="000000"/>
                      <w:sz w:val="20"/>
                      <w:szCs w:val="20"/>
                      <w:lang w:eastAsia="es-GT"/>
                    </w:rPr>
                    <w:t>8.6</w:t>
                  </w:r>
                </w:p>
              </w:tc>
            </w:tr>
            <w:tr w:rsidR="007B0095" w:rsidRPr="001833B3" w14:paraId="3C012661" w14:textId="77777777" w:rsidTr="00A07366">
              <w:trPr>
                <w:trHeight w:val="409"/>
              </w:trPr>
              <w:tc>
                <w:tcPr>
                  <w:tcW w:w="2964" w:type="dxa"/>
                  <w:tcBorders>
                    <w:top w:val="nil"/>
                    <w:left w:val="single" w:sz="4" w:space="0" w:color="auto"/>
                    <w:bottom w:val="nil"/>
                    <w:right w:val="nil"/>
                  </w:tcBorders>
                  <w:shd w:val="clear" w:color="auto" w:fill="auto"/>
                  <w:noWrap/>
                  <w:vAlign w:val="center"/>
                  <w:hideMark/>
                </w:tcPr>
                <w:p w14:paraId="67D7172D" w14:textId="77777777" w:rsidR="007B0095" w:rsidRPr="009E4993" w:rsidRDefault="007B0095" w:rsidP="00A07366">
                  <w:pPr>
                    <w:jc w:val="center"/>
                    <w:rPr>
                      <w:rFonts w:ascii="Times New Roman" w:eastAsia="Times New Roman" w:hAnsi="Times New Roman" w:cs="Times New Roman"/>
                      <w:color w:val="000000"/>
                      <w:sz w:val="20"/>
                      <w:szCs w:val="20"/>
                      <w:lang w:eastAsia="es-GT"/>
                    </w:rPr>
                  </w:pPr>
                  <w:r w:rsidRPr="009E4993">
                    <w:rPr>
                      <w:rFonts w:ascii="Times New Roman" w:eastAsia="Times New Roman" w:hAnsi="Times New Roman" w:cs="Times New Roman"/>
                      <w:color w:val="000000"/>
                      <w:sz w:val="20"/>
                      <w:szCs w:val="20"/>
                      <w:lang w:eastAsia="es-GT"/>
                    </w:rPr>
                    <w:t>Variación Importaciones FOB (%)</w:t>
                  </w:r>
                </w:p>
              </w:tc>
              <w:tc>
                <w:tcPr>
                  <w:tcW w:w="1164" w:type="dxa"/>
                  <w:tcBorders>
                    <w:top w:val="nil"/>
                    <w:left w:val="nil"/>
                    <w:bottom w:val="nil"/>
                    <w:right w:val="nil"/>
                  </w:tcBorders>
                  <w:shd w:val="clear" w:color="auto" w:fill="auto"/>
                  <w:noWrap/>
                  <w:vAlign w:val="center"/>
                  <w:hideMark/>
                </w:tcPr>
                <w:p w14:paraId="41A110EF" w14:textId="77777777" w:rsidR="007B0095" w:rsidRPr="009E4993" w:rsidRDefault="007B0095" w:rsidP="00A07366">
                  <w:pPr>
                    <w:jc w:val="center"/>
                    <w:rPr>
                      <w:rFonts w:ascii="Times New Roman" w:eastAsia="Times New Roman" w:hAnsi="Times New Roman" w:cs="Times New Roman"/>
                      <w:color w:val="000000"/>
                      <w:sz w:val="20"/>
                      <w:szCs w:val="20"/>
                      <w:lang w:eastAsia="es-GT"/>
                    </w:rPr>
                  </w:pPr>
                  <w:r w:rsidRPr="009E4993">
                    <w:rPr>
                      <w:rFonts w:ascii="Times New Roman" w:eastAsia="Times New Roman" w:hAnsi="Times New Roman" w:cs="Times New Roman"/>
                      <w:color w:val="000000"/>
                      <w:sz w:val="20"/>
                      <w:szCs w:val="20"/>
                      <w:lang w:eastAsia="es-GT"/>
                    </w:rPr>
                    <w:t>6.5</w:t>
                  </w:r>
                </w:p>
              </w:tc>
              <w:tc>
                <w:tcPr>
                  <w:tcW w:w="1163" w:type="dxa"/>
                  <w:tcBorders>
                    <w:top w:val="nil"/>
                    <w:left w:val="nil"/>
                    <w:bottom w:val="nil"/>
                    <w:right w:val="nil"/>
                  </w:tcBorders>
                  <w:shd w:val="clear" w:color="auto" w:fill="auto"/>
                  <w:noWrap/>
                  <w:vAlign w:val="center"/>
                  <w:hideMark/>
                </w:tcPr>
                <w:p w14:paraId="5B1376C4" w14:textId="77777777" w:rsidR="007B0095" w:rsidRPr="009E4993" w:rsidRDefault="007B0095" w:rsidP="00A07366">
                  <w:pPr>
                    <w:jc w:val="center"/>
                    <w:rPr>
                      <w:rFonts w:ascii="Times New Roman" w:eastAsia="Times New Roman" w:hAnsi="Times New Roman" w:cs="Times New Roman"/>
                      <w:color w:val="000000"/>
                      <w:sz w:val="20"/>
                      <w:szCs w:val="20"/>
                      <w:lang w:eastAsia="es-GT"/>
                    </w:rPr>
                  </w:pPr>
                  <w:r w:rsidRPr="009E4993">
                    <w:rPr>
                      <w:rFonts w:ascii="Times New Roman" w:eastAsia="Times New Roman" w:hAnsi="Times New Roman" w:cs="Times New Roman"/>
                      <w:color w:val="000000"/>
                      <w:sz w:val="20"/>
                      <w:szCs w:val="20"/>
                      <w:lang w:eastAsia="es-GT"/>
                    </w:rPr>
                    <w:t>6.5</w:t>
                  </w:r>
                </w:p>
              </w:tc>
              <w:tc>
                <w:tcPr>
                  <w:tcW w:w="1798" w:type="dxa"/>
                  <w:tcBorders>
                    <w:top w:val="nil"/>
                    <w:left w:val="nil"/>
                    <w:bottom w:val="nil"/>
                    <w:right w:val="nil"/>
                  </w:tcBorders>
                  <w:shd w:val="clear" w:color="auto" w:fill="auto"/>
                  <w:noWrap/>
                  <w:vAlign w:val="center"/>
                  <w:hideMark/>
                </w:tcPr>
                <w:p w14:paraId="14C02428" w14:textId="77777777" w:rsidR="007B0095" w:rsidRPr="009E4993" w:rsidRDefault="007B0095" w:rsidP="00A07366">
                  <w:pPr>
                    <w:jc w:val="center"/>
                    <w:rPr>
                      <w:rFonts w:ascii="Times New Roman" w:eastAsia="Times New Roman" w:hAnsi="Times New Roman" w:cs="Times New Roman"/>
                      <w:color w:val="000000"/>
                      <w:sz w:val="20"/>
                      <w:szCs w:val="20"/>
                      <w:lang w:eastAsia="es-GT"/>
                    </w:rPr>
                  </w:pPr>
                  <w:r w:rsidRPr="009E4993">
                    <w:rPr>
                      <w:rFonts w:ascii="Times New Roman" w:eastAsia="Times New Roman" w:hAnsi="Times New Roman" w:cs="Times New Roman"/>
                      <w:color w:val="000000"/>
                      <w:sz w:val="20"/>
                      <w:szCs w:val="20"/>
                      <w:lang w:eastAsia="es-GT"/>
                    </w:rPr>
                    <w:t>-0.5</w:t>
                  </w:r>
                </w:p>
              </w:tc>
              <w:tc>
                <w:tcPr>
                  <w:tcW w:w="1611" w:type="dxa"/>
                  <w:tcBorders>
                    <w:top w:val="nil"/>
                    <w:left w:val="nil"/>
                    <w:bottom w:val="nil"/>
                    <w:right w:val="single" w:sz="4" w:space="0" w:color="auto"/>
                  </w:tcBorders>
                  <w:shd w:val="clear" w:color="auto" w:fill="auto"/>
                  <w:noWrap/>
                  <w:vAlign w:val="center"/>
                  <w:hideMark/>
                </w:tcPr>
                <w:p w14:paraId="2A37DC0A" w14:textId="77777777" w:rsidR="007B0095" w:rsidRPr="009E4993" w:rsidRDefault="007B0095" w:rsidP="00A07366">
                  <w:pPr>
                    <w:jc w:val="center"/>
                    <w:rPr>
                      <w:rFonts w:ascii="Times New Roman" w:eastAsia="Times New Roman" w:hAnsi="Times New Roman" w:cs="Times New Roman"/>
                      <w:color w:val="000000"/>
                      <w:sz w:val="20"/>
                      <w:szCs w:val="20"/>
                      <w:lang w:eastAsia="es-GT"/>
                    </w:rPr>
                  </w:pPr>
                  <w:r w:rsidRPr="009E4993">
                    <w:rPr>
                      <w:rFonts w:ascii="Times New Roman" w:eastAsia="Times New Roman" w:hAnsi="Times New Roman" w:cs="Times New Roman"/>
                      <w:color w:val="000000"/>
                      <w:sz w:val="20"/>
                      <w:szCs w:val="20"/>
                      <w:lang w:eastAsia="es-GT"/>
                    </w:rPr>
                    <w:t>-1.5</w:t>
                  </w:r>
                </w:p>
              </w:tc>
            </w:tr>
            <w:tr w:rsidR="007B0095" w:rsidRPr="001833B3" w14:paraId="0D9EA0F7" w14:textId="77777777" w:rsidTr="00A07366">
              <w:trPr>
                <w:trHeight w:val="409"/>
              </w:trPr>
              <w:tc>
                <w:tcPr>
                  <w:tcW w:w="2964" w:type="dxa"/>
                  <w:tcBorders>
                    <w:top w:val="nil"/>
                    <w:left w:val="single" w:sz="4" w:space="0" w:color="auto"/>
                    <w:bottom w:val="single" w:sz="4" w:space="0" w:color="auto"/>
                    <w:right w:val="nil"/>
                  </w:tcBorders>
                  <w:shd w:val="clear" w:color="auto" w:fill="auto"/>
                  <w:noWrap/>
                  <w:vAlign w:val="center"/>
                  <w:hideMark/>
                </w:tcPr>
                <w:p w14:paraId="132A1A4D" w14:textId="77777777" w:rsidR="007B0095" w:rsidRPr="009E4993" w:rsidRDefault="007B0095" w:rsidP="00A07366">
                  <w:pPr>
                    <w:jc w:val="center"/>
                    <w:rPr>
                      <w:rFonts w:ascii="Times New Roman" w:eastAsia="Times New Roman" w:hAnsi="Times New Roman" w:cs="Times New Roman"/>
                      <w:color w:val="000000"/>
                      <w:sz w:val="20"/>
                      <w:szCs w:val="20"/>
                      <w:lang w:eastAsia="es-GT"/>
                    </w:rPr>
                  </w:pPr>
                  <w:r w:rsidRPr="009E4993">
                    <w:rPr>
                      <w:rFonts w:ascii="Times New Roman" w:eastAsia="Times New Roman" w:hAnsi="Times New Roman" w:cs="Times New Roman"/>
                      <w:color w:val="000000"/>
                      <w:sz w:val="20"/>
                      <w:szCs w:val="20"/>
                      <w:lang w:eastAsia="es-GT"/>
                    </w:rPr>
                    <w:t>Variación Exportaciones FOB (%)</w:t>
                  </w:r>
                </w:p>
              </w:tc>
              <w:tc>
                <w:tcPr>
                  <w:tcW w:w="1164" w:type="dxa"/>
                  <w:tcBorders>
                    <w:top w:val="nil"/>
                    <w:left w:val="nil"/>
                    <w:bottom w:val="single" w:sz="4" w:space="0" w:color="auto"/>
                    <w:right w:val="nil"/>
                  </w:tcBorders>
                  <w:shd w:val="clear" w:color="auto" w:fill="auto"/>
                  <w:noWrap/>
                  <w:vAlign w:val="center"/>
                  <w:hideMark/>
                </w:tcPr>
                <w:p w14:paraId="513FC540" w14:textId="77777777" w:rsidR="007B0095" w:rsidRPr="009E4993" w:rsidRDefault="007B0095" w:rsidP="00A07366">
                  <w:pPr>
                    <w:jc w:val="center"/>
                    <w:rPr>
                      <w:rFonts w:ascii="Times New Roman" w:eastAsia="Times New Roman" w:hAnsi="Times New Roman" w:cs="Times New Roman"/>
                      <w:color w:val="000000"/>
                      <w:sz w:val="20"/>
                      <w:szCs w:val="20"/>
                      <w:lang w:eastAsia="es-GT"/>
                    </w:rPr>
                  </w:pPr>
                  <w:r w:rsidRPr="009E4993">
                    <w:rPr>
                      <w:rFonts w:ascii="Times New Roman" w:eastAsia="Times New Roman" w:hAnsi="Times New Roman" w:cs="Times New Roman"/>
                      <w:color w:val="000000"/>
                      <w:sz w:val="20"/>
                      <w:szCs w:val="20"/>
                      <w:lang w:eastAsia="es-GT"/>
                    </w:rPr>
                    <w:t>4.5</w:t>
                  </w:r>
                </w:p>
              </w:tc>
              <w:tc>
                <w:tcPr>
                  <w:tcW w:w="1163" w:type="dxa"/>
                  <w:tcBorders>
                    <w:top w:val="nil"/>
                    <w:left w:val="nil"/>
                    <w:bottom w:val="single" w:sz="4" w:space="0" w:color="auto"/>
                    <w:right w:val="nil"/>
                  </w:tcBorders>
                  <w:shd w:val="clear" w:color="auto" w:fill="auto"/>
                  <w:noWrap/>
                  <w:vAlign w:val="center"/>
                  <w:hideMark/>
                </w:tcPr>
                <w:p w14:paraId="167F1AD1" w14:textId="77777777" w:rsidR="007B0095" w:rsidRPr="009E4993" w:rsidRDefault="007B0095" w:rsidP="00A07366">
                  <w:pPr>
                    <w:jc w:val="center"/>
                    <w:rPr>
                      <w:rFonts w:ascii="Times New Roman" w:eastAsia="Times New Roman" w:hAnsi="Times New Roman" w:cs="Times New Roman"/>
                      <w:color w:val="000000"/>
                      <w:sz w:val="20"/>
                      <w:szCs w:val="20"/>
                      <w:lang w:eastAsia="es-GT"/>
                    </w:rPr>
                  </w:pPr>
                  <w:r w:rsidRPr="009E4993">
                    <w:rPr>
                      <w:rFonts w:ascii="Times New Roman" w:eastAsia="Times New Roman" w:hAnsi="Times New Roman" w:cs="Times New Roman"/>
                      <w:color w:val="000000"/>
                      <w:sz w:val="20"/>
                      <w:szCs w:val="20"/>
                      <w:lang w:eastAsia="es-GT"/>
                    </w:rPr>
                    <w:t>4.5</w:t>
                  </w:r>
                </w:p>
              </w:tc>
              <w:tc>
                <w:tcPr>
                  <w:tcW w:w="1798" w:type="dxa"/>
                  <w:tcBorders>
                    <w:top w:val="nil"/>
                    <w:left w:val="nil"/>
                    <w:bottom w:val="single" w:sz="4" w:space="0" w:color="auto"/>
                    <w:right w:val="nil"/>
                  </w:tcBorders>
                  <w:shd w:val="clear" w:color="auto" w:fill="auto"/>
                  <w:noWrap/>
                  <w:vAlign w:val="center"/>
                  <w:hideMark/>
                </w:tcPr>
                <w:p w14:paraId="2534935A" w14:textId="77777777" w:rsidR="007B0095" w:rsidRPr="009E4993" w:rsidRDefault="007B0095" w:rsidP="00A07366">
                  <w:pPr>
                    <w:jc w:val="center"/>
                    <w:rPr>
                      <w:rFonts w:ascii="Times New Roman" w:eastAsia="Times New Roman" w:hAnsi="Times New Roman" w:cs="Times New Roman"/>
                      <w:color w:val="000000"/>
                      <w:sz w:val="20"/>
                      <w:szCs w:val="20"/>
                      <w:lang w:eastAsia="es-GT"/>
                    </w:rPr>
                  </w:pPr>
                  <w:r w:rsidRPr="009E4993">
                    <w:rPr>
                      <w:rFonts w:ascii="Times New Roman" w:eastAsia="Times New Roman" w:hAnsi="Times New Roman" w:cs="Times New Roman"/>
                      <w:color w:val="000000"/>
                      <w:sz w:val="20"/>
                      <w:szCs w:val="20"/>
                      <w:lang w:eastAsia="es-GT"/>
                    </w:rPr>
                    <w:t>-4.5</w:t>
                  </w:r>
                </w:p>
              </w:tc>
              <w:tc>
                <w:tcPr>
                  <w:tcW w:w="1611" w:type="dxa"/>
                  <w:tcBorders>
                    <w:top w:val="nil"/>
                    <w:left w:val="nil"/>
                    <w:bottom w:val="single" w:sz="4" w:space="0" w:color="auto"/>
                    <w:right w:val="single" w:sz="4" w:space="0" w:color="auto"/>
                  </w:tcBorders>
                  <w:shd w:val="clear" w:color="auto" w:fill="auto"/>
                  <w:noWrap/>
                  <w:vAlign w:val="center"/>
                  <w:hideMark/>
                </w:tcPr>
                <w:p w14:paraId="6D05ABD9" w14:textId="77777777" w:rsidR="007B0095" w:rsidRPr="009E4993" w:rsidRDefault="007B0095" w:rsidP="00A07366">
                  <w:pPr>
                    <w:jc w:val="center"/>
                    <w:rPr>
                      <w:rFonts w:ascii="Times New Roman" w:eastAsia="Times New Roman" w:hAnsi="Times New Roman" w:cs="Times New Roman"/>
                      <w:color w:val="000000"/>
                      <w:sz w:val="20"/>
                      <w:szCs w:val="20"/>
                      <w:lang w:eastAsia="es-GT"/>
                    </w:rPr>
                  </w:pPr>
                  <w:r w:rsidRPr="009E4993">
                    <w:rPr>
                      <w:rFonts w:ascii="Times New Roman" w:eastAsia="Times New Roman" w:hAnsi="Times New Roman" w:cs="Times New Roman"/>
                      <w:color w:val="000000"/>
                      <w:sz w:val="20"/>
                      <w:szCs w:val="20"/>
                      <w:lang w:eastAsia="es-GT"/>
                    </w:rPr>
                    <w:t>-5.0</w:t>
                  </w:r>
                </w:p>
              </w:tc>
            </w:tr>
          </w:tbl>
          <w:p w14:paraId="1991E465" w14:textId="77777777" w:rsidR="007B0095" w:rsidRPr="001833B3" w:rsidRDefault="007B0095" w:rsidP="00973C72">
            <w:pPr>
              <w:spacing w:line="276" w:lineRule="auto"/>
              <w:contextualSpacing/>
              <w:jc w:val="both"/>
              <w:rPr>
                <w:rFonts w:ascii="Times New Roman" w:eastAsia="Times New Roman" w:hAnsi="Times New Roman" w:cs="Calibri"/>
                <w:sz w:val="22"/>
                <w:szCs w:val="22"/>
              </w:rPr>
            </w:pPr>
          </w:p>
        </w:tc>
      </w:tr>
      <w:tr w:rsidR="007B0095" w14:paraId="674DFB52" w14:textId="77777777" w:rsidTr="00053BEC">
        <w:tc>
          <w:tcPr>
            <w:tcW w:w="8838" w:type="dxa"/>
          </w:tcPr>
          <w:p w14:paraId="7F2C733E" w14:textId="77777777" w:rsidR="007B0095" w:rsidRPr="00173385" w:rsidRDefault="007B0095" w:rsidP="00973C72">
            <w:pPr>
              <w:spacing w:line="276" w:lineRule="auto"/>
              <w:contextualSpacing/>
              <w:jc w:val="both"/>
              <w:rPr>
                <w:rFonts w:ascii="Times New Roman" w:eastAsia="Times New Roman" w:hAnsi="Times New Roman" w:cs="Calibri"/>
                <w:sz w:val="20"/>
                <w:szCs w:val="20"/>
              </w:rPr>
            </w:pPr>
            <w:r w:rsidRPr="001833B3">
              <w:rPr>
                <w:rFonts w:ascii="Times New Roman" w:eastAsia="Times New Roman" w:hAnsi="Times New Roman" w:cs="Calibri"/>
                <w:sz w:val="20"/>
                <w:szCs w:val="20"/>
              </w:rPr>
              <w:t>Fuente: Banco de Guatemala</w:t>
            </w:r>
          </w:p>
        </w:tc>
      </w:tr>
    </w:tbl>
    <w:p w14:paraId="5AE2F3E9" w14:textId="77777777" w:rsidR="00143E77" w:rsidRDefault="00143E77" w:rsidP="0092425F"/>
    <w:sectPr w:rsidR="00143E77" w:rsidSect="00B005F6">
      <w:headerReference w:type="default" r:id="rId77"/>
      <w:footerReference w:type="default" r:id="rId78"/>
      <w:pgSz w:w="12240" w:h="15840" w:code="1"/>
      <w:pgMar w:top="1418" w:right="1701"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4DE02" w14:textId="77777777" w:rsidR="00DE120B" w:rsidRDefault="00DE120B" w:rsidP="006710E8">
      <w:r>
        <w:separator/>
      </w:r>
    </w:p>
  </w:endnote>
  <w:endnote w:type="continuationSeparator" w:id="0">
    <w:p w14:paraId="67B7193B" w14:textId="77777777" w:rsidR="00DE120B" w:rsidRDefault="00DE120B" w:rsidP="00671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GaramondPro-Regular">
    <w:altName w:val="Yu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color w:val="1F3864" w:themeColor="accent1" w:themeShade="80"/>
        <w:sz w:val="12"/>
        <w:szCs w:val="12"/>
        <w:lang w:val="es-ES"/>
      </w:rPr>
      <w:id w:val="605312241"/>
      <w:docPartObj>
        <w:docPartGallery w:val="Page Numbers (Bottom of Page)"/>
        <w:docPartUnique/>
      </w:docPartObj>
    </w:sdtPr>
    <w:sdtEndPr/>
    <w:sdtContent>
      <w:p w14:paraId="78CBDAF0" w14:textId="61AA2836" w:rsidR="00E363AA" w:rsidRPr="00EB0485" w:rsidRDefault="00EB0485">
        <w:pPr>
          <w:pStyle w:val="Piedepgina"/>
          <w:jc w:val="right"/>
          <w:rPr>
            <w:rFonts w:ascii="Arial" w:hAnsi="Arial" w:cs="Arial"/>
            <w:color w:val="1F3864" w:themeColor="accent1" w:themeShade="80"/>
            <w:sz w:val="12"/>
            <w:szCs w:val="12"/>
            <w:lang w:val="es-ES"/>
          </w:rPr>
        </w:pPr>
        <w:r>
          <w:rPr>
            <w:rFonts w:ascii="Arial" w:hAnsi="Arial" w:cs="Arial"/>
            <w:noProof/>
            <w:color w:val="4472C4" w:themeColor="accent1"/>
            <w:sz w:val="12"/>
            <w:szCs w:val="12"/>
            <w:lang w:val="es-ES"/>
          </w:rPr>
          <mc:AlternateContent>
            <mc:Choice Requires="wps">
              <w:drawing>
                <wp:anchor distT="0" distB="0" distL="114300" distR="114300" simplePos="0" relativeHeight="251673600" behindDoc="0" locked="0" layoutInCell="1" allowOverlap="1" wp14:anchorId="57D59CAC" wp14:editId="0A696802">
                  <wp:simplePos x="0" y="0"/>
                  <wp:positionH relativeFrom="column">
                    <wp:posOffset>-60960</wp:posOffset>
                  </wp:positionH>
                  <wp:positionV relativeFrom="paragraph">
                    <wp:posOffset>-28575</wp:posOffset>
                  </wp:positionV>
                  <wp:extent cx="5753100" cy="0"/>
                  <wp:effectExtent l="0" t="0" r="0" b="0"/>
                  <wp:wrapNone/>
                  <wp:docPr id="998" name="Conector recto 998"/>
                  <wp:cNvGraphicFramePr/>
                  <a:graphic xmlns:a="http://schemas.openxmlformats.org/drawingml/2006/main">
                    <a:graphicData uri="http://schemas.microsoft.com/office/word/2010/wordprocessingShape">
                      <wps:wsp>
                        <wps:cNvCnPr/>
                        <wps:spPr>
                          <a:xfrm>
                            <a:off x="0" y="0"/>
                            <a:ext cx="575310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A7FD09" id="Conector recto 998"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4.8pt,-2.25pt" to="448.2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" strokecolor="#cfcdcd [2894]" strokeweight=".5pt">
                  <v:stroke joinstyle="miter"/>
                </v:line>
              </w:pict>
            </mc:Fallback>
          </mc:AlternateContent>
        </w:r>
        <w:r w:rsidR="00E363AA" w:rsidRPr="00EB0485">
          <w:rPr>
            <w:rFonts w:ascii="Arial" w:hAnsi="Arial" w:cs="Arial"/>
            <w:color w:val="1F3864" w:themeColor="accent1" w:themeShade="80"/>
            <w:sz w:val="12"/>
            <w:szCs w:val="12"/>
            <w:lang w:val="es-ES"/>
          </w:rPr>
          <w:fldChar w:fldCharType="begin"/>
        </w:r>
        <w:r w:rsidR="00E363AA" w:rsidRPr="00EB0485">
          <w:rPr>
            <w:rFonts w:ascii="Arial" w:hAnsi="Arial" w:cs="Arial"/>
            <w:color w:val="1F3864" w:themeColor="accent1" w:themeShade="80"/>
            <w:sz w:val="12"/>
            <w:szCs w:val="12"/>
            <w:lang w:val="es-ES"/>
          </w:rPr>
          <w:instrText>PAGE   \* MERGEFORMAT</w:instrText>
        </w:r>
        <w:r w:rsidR="00E363AA" w:rsidRPr="00EB0485">
          <w:rPr>
            <w:rFonts w:ascii="Arial" w:hAnsi="Arial" w:cs="Arial"/>
            <w:color w:val="1F3864" w:themeColor="accent1" w:themeShade="80"/>
            <w:sz w:val="12"/>
            <w:szCs w:val="12"/>
            <w:lang w:val="es-ES"/>
          </w:rPr>
          <w:fldChar w:fldCharType="separate"/>
        </w:r>
        <w:r w:rsidR="00E363AA" w:rsidRPr="00EB0485">
          <w:rPr>
            <w:rFonts w:ascii="Arial" w:hAnsi="Arial" w:cs="Arial"/>
            <w:color w:val="1F3864" w:themeColor="accent1" w:themeShade="80"/>
            <w:sz w:val="12"/>
            <w:szCs w:val="12"/>
            <w:lang w:val="es-ES"/>
          </w:rPr>
          <w:t>2</w:t>
        </w:r>
        <w:r w:rsidR="00E363AA" w:rsidRPr="00EB0485">
          <w:rPr>
            <w:rFonts w:ascii="Arial" w:hAnsi="Arial" w:cs="Arial"/>
            <w:color w:val="1F3864" w:themeColor="accent1" w:themeShade="80"/>
            <w:sz w:val="12"/>
            <w:szCs w:val="12"/>
            <w:lang w:val="es-ES"/>
          </w:rPr>
          <w:fldChar w:fldCharType="end"/>
        </w:r>
      </w:p>
    </w:sdtContent>
  </w:sdt>
  <w:p w14:paraId="10DFE7CA" w14:textId="77777777" w:rsidR="00E363AA" w:rsidRDefault="00E363A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1012582"/>
      <w:docPartObj>
        <w:docPartGallery w:val="Page Numbers (Bottom of Page)"/>
        <w:docPartUnique/>
      </w:docPartObj>
    </w:sdtPr>
    <w:sdtEndPr>
      <w:rPr>
        <w:rFonts w:ascii="Times New Roman" w:hAnsi="Times New Roman" w:cs="Times New Roman"/>
        <w:color w:val="1F3864" w:themeColor="accent1" w:themeShade="80"/>
        <w:spacing w:val="60"/>
        <w:sz w:val="14"/>
        <w:szCs w:val="14"/>
        <w:lang w:val="es-ES"/>
      </w:rPr>
    </w:sdtEndPr>
    <w:sdtContent>
      <w:p w14:paraId="17F6DE2A" w14:textId="0837DFAF" w:rsidR="00F57D2D" w:rsidRPr="00F57D2D" w:rsidRDefault="00F57D2D">
        <w:pPr>
          <w:pStyle w:val="Piedepgina"/>
          <w:pBdr>
            <w:top w:val="single" w:sz="4" w:space="1" w:color="D9D9D9" w:themeColor="background1" w:themeShade="D9"/>
          </w:pBdr>
          <w:jc w:val="right"/>
          <w:rPr>
            <w:rFonts w:ascii="Times New Roman" w:hAnsi="Times New Roman" w:cs="Times New Roman"/>
            <w:color w:val="1F3864" w:themeColor="accent1" w:themeShade="80"/>
            <w:sz w:val="14"/>
            <w:szCs w:val="14"/>
          </w:rPr>
        </w:pPr>
        <w:r w:rsidRPr="00CF4F63">
          <w:rPr>
            <w:rFonts w:ascii="Arial" w:hAnsi="Arial" w:cs="Arial"/>
            <w:color w:val="1F3864" w:themeColor="accent1" w:themeShade="80"/>
            <w:sz w:val="12"/>
            <w:szCs w:val="12"/>
          </w:rPr>
          <w:fldChar w:fldCharType="begin"/>
        </w:r>
        <w:r w:rsidRPr="00CF4F63">
          <w:rPr>
            <w:rFonts w:ascii="Arial" w:hAnsi="Arial" w:cs="Arial"/>
            <w:color w:val="1F3864" w:themeColor="accent1" w:themeShade="80"/>
            <w:sz w:val="12"/>
            <w:szCs w:val="12"/>
          </w:rPr>
          <w:instrText>PAGE   \* MERGEFORMAT</w:instrText>
        </w:r>
        <w:r w:rsidRPr="00CF4F63">
          <w:rPr>
            <w:rFonts w:ascii="Arial" w:hAnsi="Arial" w:cs="Arial"/>
            <w:color w:val="1F3864" w:themeColor="accent1" w:themeShade="80"/>
            <w:sz w:val="12"/>
            <w:szCs w:val="12"/>
          </w:rPr>
          <w:fldChar w:fldCharType="separate"/>
        </w:r>
        <w:r w:rsidRPr="00CF4F63">
          <w:rPr>
            <w:rFonts w:ascii="Arial" w:hAnsi="Arial" w:cs="Arial"/>
            <w:color w:val="1F3864" w:themeColor="accent1" w:themeShade="80"/>
            <w:sz w:val="12"/>
            <w:szCs w:val="12"/>
            <w:lang w:val="es-ES"/>
          </w:rPr>
          <w:t>2</w:t>
        </w:r>
        <w:r w:rsidRPr="00CF4F63">
          <w:rPr>
            <w:rFonts w:ascii="Arial" w:hAnsi="Arial" w:cs="Arial"/>
            <w:color w:val="1F3864" w:themeColor="accent1" w:themeShade="80"/>
            <w:sz w:val="12"/>
            <w:szCs w:val="12"/>
          </w:rPr>
          <w:fldChar w:fldCharType="end"/>
        </w:r>
      </w:p>
    </w:sdtContent>
  </w:sdt>
  <w:p w14:paraId="115C6A3D" w14:textId="77777777" w:rsidR="00F57D2D" w:rsidRDefault="00F57D2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12F40" w14:textId="77777777" w:rsidR="00DE120B" w:rsidRDefault="00DE120B" w:rsidP="006710E8">
      <w:r>
        <w:separator/>
      </w:r>
    </w:p>
  </w:footnote>
  <w:footnote w:type="continuationSeparator" w:id="0">
    <w:p w14:paraId="018DEB6A" w14:textId="77777777" w:rsidR="00DE120B" w:rsidRDefault="00DE120B" w:rsidP="006710E8">
      <w:r>
        <w:continuationSeparator/>
      </w:r>
    </w:p>
  </w:footnote>
  <w:footnote w:id="1">
    <w:p w14:paraId="75A186C4" w14:textId="77777777" w:rsidR="006710E8" w:rsidRDefault="006710E8" w:rsidP="006710E8">
      <w:pPr>
        <w:pStyle w:val="Textonotapie"/>
        <w:jc w:val="both"/>
      </w:pPr>
      <w:r w:rsidRPr="000176D9">
        <w:rPr>
          <w:rStyle w:val="Refdenotaalpie"/>
        </w:rPr>
        <w:footnoteRef/>
      </w:r>
      <w:r w:rsidRPr="000176D9">
        <w:t xml:space="preserve"> </w:t>
      </w:r>
      <w:r w:rsidRPr="000176D9">
        <w:rPr>
          <w:rFonts w:ascii="Times New Roman" w:hAnsi="Times New Roman" w:cs="Times New Roman"/>
          <w:sz w:val="18"/>
          <w:szCs w:val="18"/>
        </w:rPr>
        <w:t>La meta de recaudación tributaria anual se revisó con información proporcionada por el BANGUAT respecto a las expectativas macroeconómicas de cierre, estimándose que, con el nuevo entorno, la recaudación observada superó el nuevo valor de la meta indicativa en 4.7%, generando una brecha positiva de Q4,085.3 millones asociadas a dichas variables.</w:t>
      </w:r>
    </w:p>
  </w:footnote>
  <w:footnote w:id="2">
    <w:p w14:paraId="50BBFC79" w14:textId="5ADB0BDB" w:rsidR="006710E8" w:rsidRPr="008C3120" w:rsidRDefault="006710E8" w:rsidP="006710E8">
      <w:pPr>
        <w:pStyle w:val="Textonotapie"/>
        <w:jc w:val="both"/>
        <w:rPr>
          <w:sz w:val="18"/>
          <w:szCs w:val="18"/>
        </w:rPr>
      </w:pPr>
      <w:r w:rsidRPr="008C3120">
        <w:rPr>
          <w:rStyle w:val="Refdenotaalpie"/>
          <w:rFonts w:ascii="Times New Roman" w:hAnsi="Times New Roman"/>
          <w:sz w:val="18"/>
          <w:szCs w:val="18"/>
        </w:rPr>
        <w:footnoteRef/>
      </w:r>
      <w:r w:rsidRPr="008C3120">
        <w:rPr>
          <w:rFonts w:ascii="Times New Roman" w:hAnsi="Times New Roman" w:cs="Times New Roman"/>
          <w:sz w:val="18"/>
          <w:szCs w:val="18"/>
        </w:rPr>
        <w:t xml:space="preserve"> Régimen de Actividades Lucrativas</w:t>
      </w:r>
      <w:r w:rsidR="001066AA">
        <w:rPr>
          <w:rFonts w:ascii="Times New Roman" w:hAnsi="Times New Roman" w:cs="Times New Roman"/>
          <w:sz w:val="18"/>
          <w:szCs w:val="18"/>
        </w:rPr>
        <w:t>:</w:t>
      </w:r>
      <w:r w:rsidRPr="008C3120">
        <w:rPr>
          <w:rFonts w:ascii="Times New Roman" w:hAnsi="Times New Roman" w:cs="Times New Roman"/>
          <w:sz w:val="18"/>
          <w:szCs w:val="18"/>
        </w:rPr>
        <w:t xml:space="preserve"> incluye actividades relacionadas con la producción y comercialización de productos y la prestación de servicios técnicos y profesionales.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1DF0E" w14:textId="77777777" w:rsidR="00AF7AEE" w:rsidRPr="00CF4F63" w:rsidRDefault="00AF7AEE" w:rsidP="00CF4F63">
    <w:pPr>
      <w:jc w:val="right"/>
      <w:rPr>
        <w:rFonts w:ascii="Arial" w:hAnsi="Arial" w:cs="Arial"/>
        <w:b/>
        <w:bCs/>
        <w:color w:val="1F2B50"/>
        <w:sz w:val="14"/>
        <w:szCs w:val="14"/>
      </w:rPr>
    </w:pPr>
    <w:r w:rsidRPr="00CF4F63">
      <w:rPr>
        <w:rFonts w:ascii="Arial" w:hAnsi="Arial" w:cs="Arial"/>
        <w:b/>
        <w:bCs/>
        <w:noProof/>
        <w:color w:val="1F2B50"/>
        <w:sz w:val="14"/>
        <w:szCs w:val="14"/>
      </w:rPr>
      <mc:AlternateContent>
        <mc:Choice Requires="wps">
          <w:drawing>
            <wp:anchor distT="0" distB="0" distL="114300" distR="114300" simplePos="0" relativeHeight="251664384" behindDoc="0" locked="0" layoutInCell="1" allowOverlap="1" wp14:anchorId="6E41FED3" wp14:editId="74D9E381">
              <wp:simplePos x="0" y="0"/>
              <wp:positionH relativeFrom="column">
                <wp:posOffset>104445</wp:posOffset>
              </wp:positionH>
              <wp:positionV relativeFrom="paragraph">
                <wp:posOffset>89535</wp:posOffset>
              </wp:positionV>
              <wp:extent cx="3549650" cy="219075"/>
              <wp:effectExtent l="0" t="0" r="0" b="0"/>
              <wp:wrapNone/>
              <wp:docPr id="984" name="Cuadro de texto 2"/>
              <wp:cNvGraphicFramePr/>
              <a:graphic xmlns:a="http://schemas.openxmlformats.org/drawingml/2006/main">
                <a:graphicData uri="http://schemas.microsoft.com/office/word/2010/wordprocessingShape">
                  <wps:wsp>
                    <wps:cNvSpPr txBox="1"/>
                    <wps:spPr>
                      <a:xfrm>
                        <a:off x="0" y="0"/>
                        <a:ext cx="3549650" cy="219075"/>
                      </a:xfrm>
                      <a:prstGeom prst="rect">
                        <a:avLst/>
                      </a:prstGeom>
                      <a:noFill/>
                      <a:ln w="6350">
                        <a:noFill/>
                      </a:ln>
                    </wps:spPr>
                    <wps:txbx>
                      <w:txbxContent>
                        <w:p w14:paraId="07CA0900" w14:textId="77777777" w:rsidR="00AF7AEE" w:rsidRPr="00CF4F63" w:rsidRDefault="00AF7AEE" w:rsidP="00CF4F63">
                          <w:pPr>
                            <w:rPr>
                              <w:rFonts w:ascii="Arial" w:hAnsi="Arial" w:cs="Arial"/>
                              <w:color w:val="1F2B50"/>
                              <w:sz w:val="14"/>
                              <w:szCs w:val="14"/>
                            </w:rPr>
                          </w:pPr>
                          <w:r w:rsidRPr="00CF4F63">
                            <w:rPr>
                              <w:rFonts w:ascii="Arial" w:hAnsi="Arial" w:cs="Arial"/>
                              <w:color w:val="1F2B50"/>
                              <w:sz w:val="14"/>
                              <w:szCs w:val="14"/>
                            </w:rPr>
                            <w:t xml:space="preserve">Dirección de </w:t>
                          </w:r>
                          <w:r>
                            <w:rPr>
                              <w:rFonts w:ascii="Arial" w:hAnsi="Arial" w:cs="Arial"/>
                              <w:color w:val="1F2B50"/>
                              <w:sz w:val="14"/>
                              <w:szCs w:val="14"/>
                            </w:rPr>
                            <w:t>Análisis y Política Fiscal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41FED3" id="_x0000_t202" coordsize="21600,21600" o:spt="202" path="m,l,21600r21600,l21600,xe">
              <v:stroke joinstyle="miter"/>
              <v:path gradientshapeok="t" o:connecttype="rect"/>
            </v:shapetype>
            <v:shape id="_x0000_s1036" type="#_x0000_t202" style="position:absolute;left:0;text-align:left;margin-left:8.2pt;margin-top:7.05pt;width:279.5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" filled="f" stroked="f" strokeweight=".5pt">
              <v:textbox>
                <w:txbxContent>
                  <w:p w14:paraId="07CA0900" w14:textId="77777777" w:rsidR="00AF7AEE" w:rsidRPr="00CF4F63" w:rsidRDefault="00AF7AEE" w:rsidP="00CF4F63">
                    <w:pPr>
                      <w:rPr>
                        <w:rFonts w:ascii="Arial" w:hAnsi="Arial" w:cs="Arial"/>
                        <w:color w:val="1F2B50"/>
                        <w:sz w:val="14"/>
                        <w:szCs w:val="14"/>
                      </w:rPr>
                    </w:pPr>
                    <w:r w:rsidRPr="00CF4F63">
                      <w:rPr>
                        <w:rFonts w:ascii="Arial" w:hAnsi="Arial" w:cs="Arial"/>
                        <w:color w:val="1F2B50"/>
                        <w:sz w:val="14"/>
                        <w:szCs w:val="14"/>
                      </w:rPr>
                      <w:t xml:space="preserve">Dirección de </w:t>
                    </w:r>
                    <w:r>
                      <w:rPr>
                        <w:rFonts w:ascii="Arial" w:hAnsi="Arial" w:cs="Arial"/>
                        <w:color w:val="1F2B50"/>
                        <w:sz w:val="14"/>
                        <w:szCs w:val="14"/>
                      </w:rPr>
                      <w:t>Análisis y Política Fiscal</w:t>
                    </w:r>
                  </w:p>
                </w:txbxContent>
              </v:textbox>
            </v:shape>
          </w:pict>
        </mc:Fallback>
      </mc:AlternateContent>
    </w:r>
    <w:r w:rsidRPr="00CF4F63">
      <w:rPr>
        <w:rFonts w:ascii="Arial" w:hAnsi="Arial" w:cs="Arial"/>
        <w:b/>
        <w:bCs/>
        <w:noProof/>
        <w:color w:val="1F2B50"/>
        <w:sz w:val="14"/>
        <w:szCs w:val="14"/>
      </w:rPr>
      <w:drawing>
        <wp:anchor distT="0" distB="0" distL="114300" distR="114300" simplePos="0" relativeHeight="251663360" behindDoc="1" locked="0" layoutInCell="1" allowOverlap="1" wp14:anchorId="65F9B9A2" wp14:editId="385359BD">
          <wp:simplePos x="0" y="0"/>
          <wp:positionH relativeFrom="column">
            <wp:posOffset>-429083</wp:posOffset>
          </wp:positionH>
          <wp:positionV relativeFrom="paragraph">
            <wp:posOffset>-324873</wp:posOffset>
          </wp:positionV>
          <wp:extent cx="1631289" cy="735440"/>
          <wp:effectExtent l="0" t="0" r="7620" b="7620"/>
          <wp:wrapNone/>
          <wp:docPr id="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977079"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663395" cy="749914"/>
                  </a:xfrm>
                  <a:prstGeom prst="rect">
                    <a:avLst/>
                  </a:prstGeom>
                  <a:ln>
                    <a:noFill/>
                  </a:ln>
                </pic:spPr>
              </pic:pic>
            </a:graphicData>
          </a:graphic>
          <wp14:sizeRelH relativeFrom="page">
            <wp14:pctWidth>0</wp14:pctWidth>
          </wp14:sizeRelH>
          <wp14:sizeRelV relativeFrom="page">
            <wp14:pctHeight>0</wp14:pctHeight>
          </wp14:sizeRelV>
        </wp:anchor>
      </w:drawing>
    </w:r>
    <w:r w:rsidRPr="00CF4F63">
      <w:rPr>
        <w:rFonts w:ascii="Arial" w:hAnsi="Arial" w:cs="Arial"/>
        <w:b/>
        <w:bCs/>
        <w:color w:val="1F2B50"/>
        <w:sz w:val="14"/>
        <w:szCs w:val="14"/>
      </w:rPr>
      <w:t xml:space="preserve">Informe de Desempeño de la Política Fiscal 2023 y Perspectivas 2024 </w:t>
    </w:r>
  </w:p>
  <w:p w14:paraId="2486EFC8" w14:textId="77777777" w:rsidR="00AF7AEE" w:rsidRPr="00F57D2D" w:rsidRDefault="00AF7AEE" w:rsidP="004C2C0E">
    <w:pPr>
      <w:pStyle w:val="Encabezado"/>
      <w:tabs>
        <w:tab w:val="clear" w:pos="4419"/>
        <w:tab w:val="clear" w:pos="8838"/>
        <w:tab w:val="left" w:pos="5034"/>
      </w:tabs>
      <w:jc w:val="right"/>
      <w:rPr>
        <w:color w:val="2F5496" w:themeColor="accent1" w:themeShade="BF"/>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92C7D" w14:textId="541CFD7F" w:rsidR="00E363AA" w:rsidRDefault="00EB0485" w:rsidP="00E363AA">
    <w:pPr>
      <w:pStyle w:val="Encabezado"/>
      <w:jc w:val="right"/>
    </w:pPr>
    <w:r w:rsidRPr="00CF4F63">
      <w:rPr>
        <w:rFonts w:ascii="Arial" w:hAnsi="Arial" w:cs="Arial"/>
        <w:b/>
        <w:bCs/>
        <w:color w:val="1F2B50"/>
        <w:sz w:val="14"/>
        <w:szCs w:val="14"/>
      </w:rPr>
      <w:t>Informe de Desempeño de la Política Fiscal 2023 y Perspectivas 2024</w:t>
    </w:r>
    <w:r w:rsidRPr="00CF4F63">
      <w:rPr>
        <w:rFonts w:ascii="Arial" w:hAnsi="Arial" w:cs="Arial"/>
        <w:b/>
        <w:bCs/>
        <w:noProof/>
        <w:color w:val="1F2B50"/>
        <w:sz w:val="14"/>
        <w:szCs w:val="14"/>
      </w:rPr>
      <mc:AlternateContent>
        <mc:Choice Requires="wps">
          <w:drawing>
            <wp:anchor distT="0" distB="0" distL="114300" distR="114300" simplePos="0" relativeHeight="251672576" behindDoc="0" locked="0" layoutInCell="1" allowOverlap="1" wp14:anchorId="19D7FA8F" wp14:editId="7EB3B697">
              <wp:simplePos x="0" y="0"/>
              <wp:positionH relativeFrom="column">
                <wp:posOffset>66675</wp:posOffset>
              </wp:positionH>
              <wp:positionV relativeFrom="paragraph">
                <wp:posOffset>113665</wp:posOffset>
              </wp:positionV>
              <wp:extent cx="3549650" cy="219075"/>
              <wp:effectExtent l="0" t="0" r="0" b="0"/>
              <wp:wrapNone/>
              <wp:docPr id="996" name="Cuadro de texto 2"/>
              <wp:cNvGraphicFramePr/>
              <a:graphic xmlns:a="http://schemas.openxmlformats.org/drawingml/2006/main">
                <a:graphicData uri="http://schemas.microsoft.com/office/word/2010/wordprocessingShape">
                  <wps:wsp>
                    <wps:cNvSpPr txBox="1"/>
                    <wps:spPr>
                      <a:xfrm>
                        <a:off x="0" y="0"/>
                        <a:ext cx="3549650" cy="219075"/>
                      </a:xfrm>
                      <a:prstGeom prst="rect">
                        <a:avLst/>
                      </a:prstGeom>
                      <a:noFill/>
                      <a:ln w="6350">
                        <a:noFill/>
                      </a:ln>
                    </wps:spPr>
                    <wps:txbx>
                      <w:txbxContent>
                        <w:p w14:paraId="695775A4" w14:textId="77777777" w:rsidR="00EB0485" w:rsidRPr="00CF4F63" w:rsidRDefault="00EB0485" w:rsidP="00EB0485">
                          <w:pPr>
                            <w:rPr>
                              <w:rFonts w:ascii="Arial" w:hAnsi="Arial" w:cs="Arial"/>
                              <w:color w:val="1F2B50"/>
                              <w:sz w:val="14"/>
                              <w:szCs w:val="14"/>
                            </w:rPr>
                          </w:pPr>
                          <w:r w:rsidRPr="00CF4F63">
                            <w:rPr>
                              <w:rFonts w:ascii="Arial" w:hAnsi="Arial" w:cs="Arial"/>
                              <w:color w:val="1F2B50"/>
                              <w:sz w:val="14"/>
                              <w:szCs w:val="14"/>
                            </w:rPr>
                            <w:t xml:space="preserve">Dirección de </w:t>
                          </w:r>
                          <w:r>
                            <w:rPr>
                              <w:rFonts w:ascii="Arial" w:hAnsi="Arial" w:cs="Arial"/>
                              <w:color w:val="1F2B50"/>
                              <w:sz w:val="14"/>
                              <w:szCs w:val="14"/>
                            </w:rPr>
                            <w:t>Análisis y Política Fiscal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D7FA8F" id="_x0000_t202" coordsize="21600,21600" o:spt="202" path="m,l,21600r21600,l21600,xe">
              <v:stroke joinstyle="miter"/>
              <v:path gradientshapeok="t" o:connecttype="rect"/>
            </v:shapetype>
            <v:shape id="_x0000_s1037" type="#_x0000_t202" style="position:absolute;left:0;text-align:left;margin-left:5.25pt;margin-top:8.95pt;width:279.5pt;height:1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" filled="f" stroked="f" strokeweight=".5pt">
              <v:textbox>
                <w:txbxContent>
                  <w:p w14:paraId="695775A4" w14:textId="77777777" w:rsidR="00EB0485" w:rsidRPr="00CF4F63" w:rsidRDefault="00EB0485" w:rsidP="00EB0485">
                    <w:pPr>
                      <w:rPr>
                        <w:rFonts w:ascii="Arial" w:hAnsi="Arial" w:cs="Arial"/>
                        <w:color w:val="1F2B50"/>
                        <w:sz w:val="14"/>
                        <w:szCs w:val="14"/>
                      </w:rPr>
                    </w:pPr>
                    <w:r w:rsidRPr="00CF4F63">
                      <w:rPr>
                        <w:rFonts w:ascii="Arial" w:hAnsi="Arial" w:cs="Arial"/>
                        <w:color w:val="1F2B50"/>
                        <w:sz w:val="14"/>
                        <w:szCs w:val="14"/>
                      </w:rPr>
                      <w:t xml:space="preserve">Dirección de </w:t>
                    </w:r>
                    <w:r>
                      <w:rPr>
                        <w:rFonts w:ascii="Arial" w:hAnsi="Arial" w:cs="Arial"/>
                        <w:color w:val="1F2B50"/>
                        <w:sz w:val="14"/>
                        <w:szCs w:val="14"/>
                      </w:rPr>
                      <w:t>Análisis y Política Fiscal</w:t>
                    </w:r>
                  </w:p>
                </w:txbxContent>
              </v:textbox>
            </v:shape>
          </w:pict>
        </mc:Fallback>
      </mc:AlternateContent>
    </w:r>
    <w:r w:rsidRPr="00CF4F63">
      <w:rPr>
        <w:rFonts w:ascii="Arial" w:hAnsi="Arial" w:cs="Arial"/>
        <w:b/>
        <w:bCs/>
        <w:noProof/>
        <w:color w:val="1F2B50"/>
        <w:sz w:val="14"/>
        <w:szCs w:val="14"/>
      </w:rPr>
      <w:drawing>
        <wp:anchor distT="0" distB="0" distL="114300" distR="114300" simplePos="0" relativeHeight="251670528" behindDoc="1" locked="0" layoutInCell="1" allowOverlap="1" wp14:anchorId="53622052" wp14:editId="357660B8">
          <wp:simplePos x="0" y="0"/>
          <wp:positionH relativeFrom="column">
            <wp:posOffset>-466725</wp:posOffset>
          </wp:positionH>
          <wp:positionV relativeFrom="paragraph">
            <wp:posOffset>-314960</wp:posOffset>
          </wp:positionV>
          <wp:extent cx="1631289" cy="735440"/>
          <wp:effectExtent l="0" t="0" r="7620" b="7620"/>
          <wp:wrapNone/>
          <wp:docPr id="966" name="Imagen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977079"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631289" cy="735440"/>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11DC5" w14:textId="5E7B3F96" w:rsidR="004C2C0E" w:rsidRPr="00CF4F63" w:rsidRDefault="00E363AA" w:rsidP="00CF4F63">
    <w:pPr>
      <w:jc w:val="right"/>
      <w:rPr>
        <w:rFonts w:ascii="Arial" w:hAnsi="Arial" w:cs="Arial"/>
        <w:b/>
        <w:bCs/>
        <w:color w:val="1F2B50"/>
        <w:sz w:val="14"/>
        <w:szCs w:val="14"/>
      </w:rPr>
    </w:pPr>
    <w:r w:rsidRPr="00CF4F63">
      <w:rPr>
        <w:rFonts w:ascii="Arial" w:hAnsi="Arial" w:cs="Arial"/>
        <w:b/>
        <w:bCs/>
        <w:noProof/>
        <w:color w:val="1F2B50"/>
        <w:sz w:val="14"/>
        <w:szCs w:val="14"/>
      </w:rPr>
      <w:drawing>
        <wp:anchor distT="0" distB="0" distL="114300" distR="114300" simplePos="0" relativeHeight="251668480" behindDoc="1" locked="0" layoutInCell="1" allowOverlap="1" wp14:anchorId="3943335C" wp14:editId="743987D1">
          <wp:simplePos x="0" y="0"/>
          <wp:positionH relativeFrom="column">
            <wp:posOffset>-428625</wp:posOffset>
          </wp:positionH>
          <wp:positionV relativeFrom="paragraph">
            <wp:posOffset>-314960</wp:posOffset>
          </wp:positionV>
          <wp:extent cx="1631289" cy="735440"/>
          <wp:effectExtent l="0" t="0" r="7620" b="7620"/>
          <wp:wrapNone/>
          <wp:docPr id="987" name="Imagen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977079"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631289" cy="735440"/>
                  </a:xfrm>
                  <a:prstGeom prst="rect">
                    <a:avLst/>
                  </a:prstGeom>
                  <a:ln>
                    <a:noFill/>
                  </a:ln>
                </pic:spPr>
              </pic:pic>
            </a:graphicData>
          </a:graphic>
          <wp14:sizeRelH relativeFrom="page">
            <wp14:pctWidth>0</wp14:pctWidth>
          </wp14:sizeRelH>
          <wp14:sizeRelV relativeFrom="page">
            <wp14:pctHeight>0</wp14:pctHeight>
          </wp14:sizeRelV>
        </wp:anchor>
      </w:drawing>
    </w:r>
    <w:r w:rsidR="00CF4F63" w:rsidRPr="00CF4F63">
      <w:rPr>
        <w:rFonts w:ascii="Arial" w:hAnsi="Arial" w:cs="Arial"/>
        <w:b/>
        <w:bCs/>
        <w:noProof/>
        <w:color w:val="1F2B50"/>
        <w:sz w:val="14"/>
        <w:szCs w:val="14"/>
      </w:rPr>
      <mc:AlternateContent>
        <mc:Choice Requires="wps">
          <w:drawing>
            <wp:anchor distT="0" distB="0" distL="114300" distR="114300" simplePos="0" relativeHeight="251661312" behindDoc="0" locked="0" layoutInCell="1" allowOverlap="1" wp14:anchorId="7AAA48E6" wp14:editId="7DAB9F0B">
              <wp:simplePos x="0" y="0"/>
              <wp:positionH relativeFrom="column">
                <wp:posOffset>104445</wp:posOffset>
              </wp:positionH>
              <wp:positionV relativeFrom="paragraph">
                <wp:posOffset>89535</wp:posOffset>
              </wp:positionV>
              <wp:extent cx="3549650" cy="219075"/>
              <wp:effectExtent l="0" t="0" r="0" b="0"/>
              <wp:wrapNone/>
              <wp:docPr id="314176903" name="Cuadro de texto 2"/>
              <wp:cNvGraphicFramePr/>
              <a:graphic xmlns:a="http://schemas.openxmlformats.org/drawingml/2006/main">
                <a:graphicData uri="http://schemas.microsoft.com/office/word/2010/wordprocessingShape">
                  <wps:wsp>
                    <wps:cNvSpPr txBox="1"/>
                    <wps:spPr>
                      <a:xfrm>
                        <a:off x="0" y="0"/>
                        <a:ext cx="3549650" cy="219075"/>
                      </a:xfrm>
                      <a:prstGeom prst="rect">
                        <a:avLst/>
                      </a:prstGeom>
                      <a:noFill/>
                      <a:ln w="6350">
                        <a:noFill/>
                      </a:ln>
                    </wps:spPr>
                    <wps:txbx>
                      <w:txbxContent>
                        <w:p w14:paraId="106098F7" w14:textId="1BFBB12B" w:rsidR="00CF4F63" w:rsidRPr="00CF4F63" w:rsidRDefault="00CF4F63" w:rsidP="00CF4F63">
                          <w:pPr>
                            <w:rPr>
                              <w:rFonts w:ascii="Arial" w:hAnsi="Arial" w:cs="Arial"/>
                              <w:color w:val="1F2B50"/>
                              <w:sz w:val="14"/>
                              <w:szCs w:val="14"/>
                            </w:rPr>
                          </w:pPr>
                          <w:r w:rsidRPr="00CF4F63">
                            <w:rPr>
                              <w:rFonts w:ascii="Arial" w:hAnsi="Arial" w:cs="Arial"/>
                              <w:color w:val="1F2B50"/>
                              <w:sz w:val="14"/>
                              <w:szCs w:val="14"/>
                            </w:rPr>
                            <w:t xml:space="preserve">Dirección de </w:t>
                          </w:r>
                          <w:r>
                            <w:rPr>
                              <w:rFonts w:ascii="Arial" w:hAnsi="Arial" w:cs="Arial"/>
                              <w:color w:val="1F2B50"/>
                              <w:sz w:val="14"/>
                              <w:szCs w:val="14"/>
                            </w:rPr>
                            <w:t>Análisis y Política Fiscal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AA48E6" id="_x0000_t202" coordsize="21600,21600" o:spt="202" path="m,l,21600r21600,l21600,xe">
              <v:stroke joinstyle="miter"/>
              <v:path gradientshapeok="t" o:connecttype="rect"/>
            </v:shapetype>
            <v:shape id="_x0000_s1038" type="#_x0000_t202" style="position:absolute;left:0;text-align:left;margin-left:8.2pt;margin-top:7.05pt;width:279.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" filled="f" stroked="f" strokeweight=".5pt">
              <v:textbox>
                <w:txbxContent>
                  <w:p w14:paraId="106098F7" w14:textId="1BFBB12B" w:rsidR="00CF4F63" w:rsidRPr="00CF4F63" w:rsidRDefault="00CF4F63" w:rsidP="00CF4F63">
                    <w:pPr>
                      <w:rPr>
                        <w:rFonts w:ascii="Arial" w:hAnsi="Arial" w:cs="Arial"/>
                        <w:color w:val="1F2B50"/>
                        <w:sz w:val="14"/>
                        <w:szCs w:val="14"/>
                      </w:rPr>
                    </w:pPr>
                    <w:r w:rsidRPr="00CF4F63">
                      <w:rPr>
                        <w:rFonts w:ascii="Arial" w:hAnsi="Arial" w:cs="Arial"/>
                        <w:color w:val="1F2B50"/>
                        <w:sz w:val="14"/>
                        <w:szCs w:val="14"/>
                      </w:rPr>
                      <w:t xml:space="preserve">Dirección de </w:t>
                    </w:r>
                    <w:r>
                      <w:rPr>
                        <w:rFonts w:ascii="Arial" w:hAnsi="Arial" w:cs="Arial"/>
                        <w:color w:val="1F2B50"/>
                        <w:sz w:val="14"/>
                        <w:szCs w:val="14"/>
                      </w:rPr>
                      <w:t>Análisis y Política Fiscal</w:t>
                    </w:r>
                  </w:p>
                </w:txbxContent>
              </v:textbox>
            </v:shape>
          </w:pict>
        </mc:Fallback>
      </mc:AlternateContent>
    </w:r>
    <w:r w:rsidR="004C2C0E" w:rsidRPr="00CF4F63">
      <w:rPr>
        <w:rFonts w:ascii="Arial" w:hAnsi="Arial" w:cs="Arial"/>
        <w:b/>
        <w:bCs/>
        <w:color w:val="1F2B50"/>
        <w:sz w:val="14"/>
        <w:szCs w:val="14"/>
      </w:rPr>
      <w:t xml:space="preserve">Informe de Desempeño de la Política Fiscal 2023 y Perspectivas 2024 </w:t>
    </w:r>
  </w:p>
  <w:p w14:paraId="1B9E7588" w14:textId="12A2162E" w:rsidR="00F57D2D" w:rsidRPr="00F57D2D" w:rsidRDefault="00F57D2D" w:rsidP="004C2C0E">
    <w:pPr>
      <w:pStyle w:val="Encabezado"/>
      <w:tabs>
        <w:tab w:val="clear" w:pos="4419"/>
        <w:tab w:val="clear" w:pos="8838"/>
        <w:tab w:val="left" w:pos="5034"/>
      </w:tabs>
      <w:jc w:val="right"/>
      <w:rPr>
        <w:color w:val="2F5496" w:themeColor="accent1" w:themeShade="BF"/>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1257F"/>
    <w:multiLevelType w:val="hybridMultilevel"/>
    <w:tmpl w:val="29C001B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 w15:restartNumberingAfterBreak="0">
    <w:nsid w:val="0F1C5400"/>
    <w:multiLevelType w:val="hybridMultilevel"/>
    <w:tmpl w:val="C51662E8"/>
    <w:lvl w:ilvl="0" w:tplc="100A0019">
      <w:start w:val="1"/>
      <w:numFmt w:val="lowerLetter"/>
      <w:lvlText w:val="%1."/>
      <w:lvlJc w:val="left"/>
      <w:pPr>
        <w:ind w:left="720" w:hanging="360"/>
      </w:pPr>
      <w:rPr>
        <w:rFonts w:cs="Times New Roman" w:hint="default"/>
      </w:rPr>
    </w:lvl>
    <w:lvl w:ilvl="1" w:tplc="100A0019" w:tentative="1">
      <w:start w:val="1"/>
      <w:numFmt w:val="lowerLetter"/>
      <w:lvlText w:val="%2."/>
      <w:lvlJc w:val="left"/>
      <w:pPr>
        <w:ind w:left="1440" w:hanging="360"/>
      </w:pPr>
      <w:rPr>
        <w:rFonts w:cs="Times New Roman"/>
      </w:rPr>
    </w:lvl>
    <w:lvl w:ilvl="2" w:tplc="100A001B" w:tentative="1">
      <w:start w:val="1"/>
      <w:numFmt w:val="lowerRoman"/>
      <w:lvlText w:val="%3."/>
      <w:lvlJc w:val="right"/>
      <w:pPr>
        <w:ind w:left="2160" w:hanging="180"/>
      </w:pPr>
      <w:rPr>
        <w:rFonts w:cs="Times New Roman"/>
      </w:rPr>
    </w:lvl>
    <w:lvl w:ilvl="3" w:tplc="100A000F" w:tentative="1">
      <w:start w:val="1"/>
      <w:numFmt w:val="decimal"/>
      <w:lvlText w:val="%4."/>
      <w:lvlJc w:val="left"/>
      <w:pPr>
        <w:ind w:left="2880" w:hanging="360"/>
      </w:pPr>
      <w:rPr>
        <w:rFonts w:cs="Times New Roman"/>
      </w:rPr>
    </w:lvl>
    <w:lvl w:ilvl="4" w:tplc="100A0019" w:tentative="1">
      <w:start w:val="1"/>
      <w:numFmt w:val="lowerLetter"/>
      <w:lvlText w:val="%5."/>
      <w:lvlJc w:val="left"/>
      <w:pPr>
        <w:ind w:left="3600" w:hanging="360"/>
      </w:pPr>
      <w:rPr>
        <w:rFonts w:cs="Times New Roman"/>
      </w:rPr>
    </w:lvl>
    <w:lvl w:ilvl="5" w:tplc="100A001B" w:tentative="1">
      <w:start w:val="1"/>
      <w:numFmt w:val="lowerRoman"/>
      <w:lvlText w:val="%6."/>
      <w:lvlJc w:val="right"/>
      <w:pPr>
        <w:ind w:left="4320" w:hanging="180"/>
      </w:pPr>
      <w:rPr>
        <w:rFonts w:cs="Times New Roman"/>
      </w:rPr>
    </w:lvl>
    <w:lvl w:ilvl="6" w:tplc="100A000F" w:tentative="1">
      <w:start w:val="1"/>
      <w:numFmt w:val="decimal"/>
      <w:lvlText w:val="%7."/>
      <w:lvlJc w:val="left"/>
      <w:pPr>
        <w:ind w:left="5040" w:hanging="360"/>
      </w:pPr>
      <w:rPr>
        <w:rFonts w:cs="Times New Roman"/>
      </w:rPr>
    </w:lvl>
    <w:lvl w:ilvl="7" w:tplc="100A0019" w:tentative="1">
      <w:start w:val="1"/>
      <w:numFmt w:val="lowerLetter"/>
      <w:lvlText w:val="%8."/>
      <w:lvlJc w:val="left"/>
      <w:pPr>
        <w:ind w:left="5760" w:hanging="360"/>
      </w:pPr>
      <w:rPr>
        <w:rFonts w:cs="Times New Roman"/>
      </w:rPr>
    </w:lvl>
    <w:lvl w:ilvl="8" w:tplc="100A001B" w:tentative="1">
      <w:start w:val="1"/>
      <w:numFmt w:val="lowerRoman"/>
      <w:lvlText w:val="%9."/>
      <w:lvlJc w:val="right"/>
      <w:pPr>
        <w:ind w:left="6480" w:hanging="180"/>
      </w:pPr>
      <w:rPr>
        <w:rFonts w:cs="Times New Roman"/>
      </w:rPr>
    </w:lvl>
  </w:abstractNum>
  <w:abstractNum w:abstractNumId="2" w15:restartNumberingAfterBreak="0">
    <w:nsid w:val="1F9B2B89"/>
    <w:multiLevelType w:val="hybridMultilevel"/>
    <w:tmpl w:val="E74291EA"/>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220D7F8A"/>
    <w:multiLevelType w:val="hybridMultilevel"/>
    <w:tmpl w:val="5DB69E0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225A1547"/>
    <w:multiLevelType w:val="hybridMultilevel"/>
    <w:tmpl w:val="7188E478"/>
    <w:lvl w:ilvl="0" w:tplc="71D09B50">
      <w:start w:val="1"/>
      <w:numFmt w:val="bullet"/>
      <w:lvlText w:val=""/>
      <w:lvlJc w:val="left"/>
      <w:pPr>
        <w:ind w:left="720" w:hanging="360"/>
      </w:pPr>
      <w:rPr>
        <w:rFonts w:ascii="Symbol" w:hAnsi="Symbol" w:hint="default"/>
        <w:color w:val="auto"/>
      </w:rPr>
    </w:lvl>
    <w:lvl w:ilvl="1" w:tplc="100A0003" w:tentative="1">
      <w:start w:val="1"/>
      <w:numFmt w:val="bullet"/>
      <w:lvlText w:val="o"/>
      <w:lvlJc w:val="left"/>
      <w:pPr>
        <w:ind w:left="1440" w:hanging="360"/>
      </w:pPr>
      <w:rPr>
        <w:rFonts w:ascii="Courier New" w:hAnsi="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325B157E"/>
    <w:multiLevelType w:val="hybridMultilevel"/>
    <w:tmpl w:val="E8B4FE6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32756BFE"/>
    <w:multiLevelType w:val="hybridMultilevel"/>
    <w:tmpl w:val="A0EC13DE"/>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32953FF0"/>
    <w:multiLevelType w:val="hybridMultilevel"/>
    <w:tmpl w:val="3F0C02F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8" w15:restartNumberingAfterBreak="0">
    <w:nsid w:val="33922573"/>
    <w:multiLevelType w:val="hybridMultilevel"/>
    <w:tmpl w:val="F15AD442"/>
    <w:lvl w:ilvl="0" w:tplc="100A000B">
      <w:start w:val="1"/>
      <w:numFmt w:val="bullet"/>
      <w:lvlText w:val=""/>
      <w:lvlJc w:val="left"/>
      <w:pPr>
        <w:ind w:left="720" w:hanging="360"/>
      </w:pPr>
      <w:rPr>
        <w:rFonts w:ascii="Wingdings" w:hAnsi="Wingdings" w:hint="default"/>
      </w:rPr>
    </w:lvl>
    <w:lvl w:ilvl="1" w:tplc="100A0003">
      <w:start w:val="1"/>
      <w:numFmt w:val="bullet"/>
      <w:lvlText w:val="o"/>
      <w:lvlJc w:val="left"/>
      <w:pPr>
        <w:ind w:left="1440" w:hanging="360"/>
      </w:pPr>
      <w:rPr>
        <w:rFonts w:ascii="Courier New" w:hAnsi="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15:restartNumberingAfterBreak="0">
    <w:nsid w:val="33F74F00"/>
    <w:multiLevelType w:val="hybridMultilevel"/>
    <w:tmpl w:val="EF4A8C7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39BB6EF1"/>
    <w:multiLevelType w:val="hybridMultilevel"/>
    <w:tmpl w:val="A1581D42"/>
    <w:lvl w:ilvl="0" w:tplc="100A0019">
      <w:start w:val="1"/>
      <w:numFmt w:val="lowerLetter"/>
      <w:lvlText w:val="%1."/>
      <w:lvlJc w:val="left"/>
      <w:pPr>
        <w:ind w:left="720" w:hanging="360"/>
      </w:pPr>
      <w:rPr>
        <w:rFonts w:cs="Times New Roman"/>
      </w:rPr>
    </w:lvl>
    <w:lvl w:ilvl="1" w:tplc="100A0019" w:tentative="1">
      <w:start w:val="1"/>
      <w:numFmt w:val="lowerLetter"/>
      <w:lvlText w:val="%2."/>
      <w:lvlJc w:val="left"/>
      <w:pPr>
        <w:ind w:left="1440" w:hanging="360"/>
      </w:pPr>
      <w:rPr>
        <w:rFonts w:cs="Times New Roman"/>
      </w:rPr>
    </w:lvl>
    <w:lvl w:ilvl="2" w:tplc="100A001B" w:tentative="1">
      <w:start w:val="1"/>
      <w:numFmt w:val="lowerRoman"/>
      <w:lvlText w:val="%3."/>
      <w:lvlJc w:val="right"/>
      <w:pPr>
        <w:ind w:left="2160" w:hanging="180"/>
      </w:pPr>
      <w:rPr>
        <w:rFonts w:cs="Times New Roman"/>
      </w:rPr>
    </w:lvl>
    <w:lvl w:ilvl="3" w:tplc="100A000F" w:tentative="1">
      <w:start w:val="1"/>
      <w:numFmt w:val="decimal"/>
      <w:lvlText w:val="%4."/>
      <w:lvlJc w:val="left"/>
      <w:pPr>
        <w:ind w:left="2880" w:hanging="360"/>
      </w:pPr>
      <w:rPr>
        <w:rFonts w:cs="Times New Roman"/>
      </w:rPr>
    </w:lvl>
    <w:lvl w:ilvl="4" w:tplc="100A0019" w:tentative="1">
      <w:start w:val="1"/>
      <w:numFmt w:val="lowerLetter"/>
      <w:lvlText w:val="%5."/>
      <w:lvlJc w:val="left"/>
      <w:pPr>
        <w:ind w:left="3600" w:hanging="360"/>
      </w:pPr>
      <w:rPr>
        <w:rFonts w:cs="Times New Roman"/>
      </w:rPr>
    </w:lvl>
    <w:lvl w:ilvl="5" w:tplc="100A001B" w:tentative="1">
      <w:start w:val="1"/>
      <w:numFmt w:val="lowerRoman"/>
      <w:lvlText w:val="%6."/>
      <w:lvlJc w:val="right"/>
      <w:pPr>
        <w:ind w:left="4320" w:hanging="180"/>
      </w:pPr>
      <w:rPr>
        <w:rFonts w:cs="Times New Roman"/>
      </w:rPr>
    </w:lvl>
    <w:lvl w:ilvl="6" w:tplc="100A000F" w:tentative="1">
      <w:start w:val="1"/>
      <w:numFmt w:val="decimal"/>
      <w:lvlText w:val="%7."/>
      <w:lvlJc w:val="left"/>
      <w:pPr>
        <w:ind w:left="5040" w:hanging="360"/>
      </w:pPr>
      <w:rPr>
        <w:rFonts w:cs="Times New Roman"/>
      </w:rPr>
    </w:lvl>
    <w:lvl w:ilvl="7" w:tplc="100A0019" w:tentative="1">
      <w:start w:val="1"/>
      <w:numFmt w:val="lowerLetter"/>
      <w:lvlText w:val="%8."/>
      <w:lvlJc w:val="left"/>
      <w:pPr>
        <w:ind w:left="5760" w:hanging="360"/>
      </w:pPr>
      <w:rPr>
        <w:rFonts w:cs="Times New Roman"/>
      </w:rPr>
    </w:lvl>
    <w:lvl w:ilvl="8" w:tplc="100A001B" w:tentative="1">
      <w:start w:val="1"/>
      <w:numFmt w:val="lowerRoman"/>
      <w:lvlText w:val="%9."/>
      <w:lvlJc w:val="right"/>
      <w:pPr>
        <w:ind w:left="6480" w:hanging="180"/>
      </w:pPr>
      <w:rPr>
        <w:rFonts w:cs="Times New Roman"/>
      </w:rPr>
    </w:lvl>
  </w:abstractNum>
  <w:abstractNum w:abstractNumId="11" w15:restartNumberingAfterBreak="0">
    <w:nsid w:val="4196482E"/>
    <w:multiLevelType w:val="hybridMultilevel"/>
    <w:tmpl w:val="74C8A958"/>
    <w:lvl w:ilvl="0" w:tplc="0D06EB90">
      <w:start w:val="8"/>
      <w:numFmt w:val="upperRoman"/>
      <w:lvlText w:val="%1."/>
      <w:lvlJc w:val="left"/>
      <w:pPr>
        <w:ind w:left="720" w:hanging="720"/>
      </w:pPr>
      <w:rPr>
        <w:rFonts w:hint="default"/>
      </w:rPr>
    </w:lvl>
    <w:lvl w:ilvl="1" w:tplc="100A0019">
      <w:start w:val="1"/>
      <w:numFmt w:val="lowerLetter"/>
      <w:lvlText w:val="%2."/>
      <w:lvlJc w:val="left"/>
      <w:pPr>
        <w:ind w:left="1080" w:hanging="360"/>
      </w:pPr>
    </w:lvl>
    <w:lvl w:ilvl="2" w:tplc="100A001B">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 w15:restartNumberingAfterBreak="0">
    <w:nsid w:val="423772FF"/>
    <w:multiLevelType w:val="multilevel"/>
    <w:tmpl w:val="BA20F804"/>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bCs w:val="0"/>
        <w:sz w:val="22"/>
        <w:szCs w:val="22"/>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15:restartNumberingAfterBreak="0">
    <w:nsid w:val="42697225"/>
    <w:multiLevelType w:val="hybridMultilevel"/>
    <w:tmpl w:val="AD02D412"/>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439A4066"/>
    <w:multiLevelType w:val="multilevel"/>
    <w:tmpl w:val="7B06FA5C"/>
    <w:lvl w:ilvl="0">
      <w:start w:val="9"/>
      <w:numFmt w:val="decimal"/>
      <w:lvlText w:val="%1"/>
      <w:lvlJc w:val="left"/>
      <w:pPr>
        <w:ind w:left="360" w:hanging="360"/>
      </w:pPr>
      <w:rPr>
        <w:rFonts w:eastAsiaTheme="majorEastAsia" w:hint="default"/>
        <w:color w:val="auto"/>
      </w:rPr>
    </w:lvl>
    <w:lvl w:ilvl="1">
      <w:start w:val="1"/>
      <w:numFmt w:val="decimal"/>
      <w:lvlText w:val="%1.%2"/>
      <w:lvlJc w:val="left"/>
      <w:pPr>
        <w:ind w:left="1080" w:hanging="360"/>
      </w:pPr>
      <w:rPr>
        <w:rFonts w:eastAsiaTheme="majorEastAsia" w:hint="default"/>
        <w:color w:val="auto"/>
      </w:rPr>
    </w:lvl>
    <w:lvl w:ilvl="2">
      <w:start w:val="1"/>
      <w:numFmt w:val="decimal"/>
      <w:lvlText w:val="%1.%2.%3"/>
      <w:lvlJc w:val="left"/>
      <w:pPr>
        <w:ind w:left="2160" w:hanging="720"/>
      </w:pPr>
      <w:rPr>
        <w:rFonts w:eastAsiaTheme="majorEastAsia" w:hint="default"/>
        <w:color w:val="auto"/>
      </w:rPr>
    </w:lvl>
    <w:lvl w:ilvl="3">
      <w:start w:val="1"/>
      <w:numFmt w:val="decimal"/>
      <w:lvlText w:val="%1.%2.%3.%4"/>
      <w:lvlJc w:val="left"/>
      <w:pPr>
        <w:ind w:left="2880" w:hanging="720"/>
      </w:pPr>
      <w:rPr>
        <w:rFonts w:eastAsiaTheme="majorEastAsia" w:hint="default"/>
        <w:color w:val="auto"/>
      </w:rPr>
    </w:lvl>
    <w:lvl w:ilvl="4">
      <w:start w:val="1"/>
      <w:numFmt w:val="decimal"/>
      <w:lvlText w:val="%1.%2.%3.%4.%5"/>
      <w:lvlJc w:val="left"/>
      <w:pPr>
        <w:ind w:left="3960" w:hanging="1080"/>
      </w:pPr>
      <w:rPr>
        <w:rFonts w:eastAsiaTheme="majorEastAsia" w:hint="default"/>
        <w:color w:val="auto"/>
      </w:rPr>
    </w:lvl>
    <w:lvl w:ilvl="5">
      <w:start w:val="1"/>
      <w:numFmt w:val="decimal"/>
      <w:lvlText w:val="%1.%2.%3.%4.%5.%6"/>
      <w:lvlJc w:val="left"/>
      <w:pPr>
        <w:ind w:left="4680" w:hanging="1080"/>
      </w:pPr>
      <w:rPr>
        <w:rFonts w:eastAsiaTheme="majorEastAsia" w:hint="default"/>
        <w:color w:val="auto"/>
      </w:rPr>
    </w:lvl>
    <w:lvl w:ilvl="6">
      <w:start w:val="1"/>
      <w:numFmt w:val="decimal"/>
      <w:lvlText w:val="%1.%2.%3.%4.%5.%6.%7"/>
      <w:lvlJc w:val="left"/>
      <w:pPr>
        <w:ind w:left="5760" w:hanging="1440"/>
      </w:pPr>
      <w:rPr>
        <w:rFonts w:eastAsiaTheme="majorEastAsia" w:hint="default"/>
        <w:color w:val="auto"/>
      </w:rPr>
    </w:lvl>
    <w:lvl w:ilvl="7">
      <w:start w:val="1"/>
      <w:numFmt w:val="decimal"/>
      <w:lvlText w:val="%1.%2.%3.%4.%5.%6.%7.%8"/>
      <w:lvlJc w:val="left"/>
      <w:pPr>
        <w:ind w:left="6480" w:hanging="1440"/>
      </w:pPr>
      <w:rPr>
        <w:rFonts w:eastAsiaTheme="majorEastAsia" w:hint="default"/>
        <w:color w:val="auto"/>
      </w:rPr>
    </w:lvl>
    <w:lvl w:ilvl="8">
      <w:start w:val="1"/>
      <w:numFmt w:val="decimal"/>
      <w:lvlText w:val="%1.%2.%3.%4.%5.%6.%7.%8.%9"/>
      <w:lvlJc w:val="left"/>
      <w:pPr>
        <w:ind w:left="7560" w:hanging="1800"/>
      </w:pPr>
      <w:rPr>
        <w:rFonts w:eastAsiaTheme="majorEastAsia" w:hint="default"/>
        <w:color w:val="auto"/>
      </w:rPr>
    </w:lvl>
  </w:abstractNum>
  <w:abstractNum w:abstractNumId="15" w15:restartNumberingAfterBreak="0">
    <w:nsid w:val="44B05A93"/>
    <w:multiLevelType w:val="hybridMultilevel"/>
    <w:tmpl w:val="A33CD6D2"/>
    <w:lvl w:ilvl="0" w:tplc="A4BE7A3A">
      <w:start w:val="1"/>
      <w:numFmt w:val="bullet"/>
      <w:lvlText w:val="-"/>
      <w:lvlJc w:val="left"/>
      <w:pPr>
        <w:ind w:left="1080" w:hanging="360"/>
      </w:pPr>
      <w:rPr>
        <w:rFonts w:ascii="Times New Roman" w:eastAsia="Times New Roman" w:hAnsi="Times New Roman" w:cs="Times New Roman"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16" w15:restartNumberingAfterBreak="0">
    <w:nsid w:val="514D44F9"/>
    <w:multiLevelType w:val="hybridMultilevel"/>
    <w:tmpl w:val="862E272C"/>
    <w:lvl w:ilvl="0" w:tplc="100A0001">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17" w15:restartNumberingAfterBreak="0">
    <w:nsid w:val="5204388F"/>
    <w:multiLevelType w:val="hybridMultilevel"/>
    <w:tmpl w:val="5AE4660E"/>
    <w:lvl w:ilvl="0" w:tplc="9B2ED388">
      <w:start w:val="1"/>
      <w:numFmt w:val="bullet"/>
      <w:lvlText w:val=""/>
      <w:lvlJc w:val="left"/>
      <w:pPr>
        <w:ind w:left="720" w:hanging="360"/>
      </w:pPr>
      <w:rPr>
        <w:rFonts w:ascii="Symbol" w:hAnsi="Symbol" w:hint="default"/>
        <w:color w:val="000000" w:themeColor="text1"/>
      </w:rPr>
    </w:lvl>
    <w:lvl w:ilvl="1" w:tplc="100A0003" w:tentative="1">
      <w:start w:val="1"/>
      <w:numFmt w:val="bullet"/>
      <w:lvlText w:val="o"/>
      <w:lvlJc w:val="left"/>
      <w:pPr>
        <w:ind w:left="1440" w:hanging="360"/>
      </w:pPr>
      <w:rPr>
        <w:rFonts w:ascii="Courier New" w:hAnsi="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 w15:restartNumberingAfterBreak="0">
    <w:nsid w:val="52792B07"/>
    <w:multiLevelType w:val="hybridMultilevel"/>
    <w:tmpl w:val="B896D40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15:restartNumberingAfterBreak="0">
    <w:nsid w:val="5424404D"/>
    <w:multiLevelType w:val="hybridMultilevel"/>
    <w:tmpl w:val="086EA1E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57B2152F"/>
    <w:multiLevelType w:val="multilevel"/>
    <w:tmpl w:val="0D48E6AE"/>
    <w:lvl w:ilvl="0">
      <w:start w:val="1"/>
      <w:numFmt w:val="bullet"/>
      <w:lvlText w:val=""/>
      <w:lvlJc w:val="left"/>
      <w:pPr>
        <w:ind w:left="720" w:hanging="720"/>
      </w:pPr>
      <w:rPr>
        <w:rFonts w:ascii="Symbol" w:hAnsi="Symbol" w:hint="default"/>
      </w:rPr>
    </w:lvl>
    <w:lvl w:ilvl="1">
      <w:start w:val="1"/>
      <w:numFmt w:val="decimal"/>
      <w:isLgl/>
      <w:lvlText w:val="%1.%2"/>
      <w:lvlJc w:val="left"/>
      <w:pPr>
        <w:ind w:left="0" w:hanging="360"/>
      </w:pPr>
      <w:rPr>
        <w:rFonts w:hint="default"/>
        <w:b/>
        <w:bCs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 w15:restartNumberingAfterBreak="0">
    <w:nsid w:val="65C207E7"/>
    <w:multiLevelType w:val="hybridMultilevel"/>
    <w:tmpl w:val="A7AE39D8"/>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2" w15:restartNumberingAfterBreak="0">
    <w:nsid w:val="67044010"/>
    <w:multiLevelType w:val="hybridMultilevel"/>
    <w:tmpl w:val="11006C0C"/>
    <w:lvl w:ilvl="0" w:tplc="100A000F">
      <w:start w:val="1"/>
      <w:numFmt w:val="decimal"/>
      <w:lvlText w:val="%1."/>
      <w:lvlJc w:val="left"/>
      <w:pPr>
        <w:ind w:left="720" w:hanging="360"/>
      </w:pPr>
      <w:rPr>
        <w:rFonts w:hint="default"/>
      </w:rPr>
    </w:lvl>
    <w:lvl w:ilvl="1" w:tplc="100A0001">
      <w:start w:val="1"/>
      <w:numFmt w:val="bullet"/>
      <w:lvlText w:val=""/>
      <w:lvlJc w:val="left"/>
      <w:pPr>
        <w:ind w:left="1440" w:hanging="360"/>
      </w:pPr>
      <w:rPr>
        <w:rFonts w:ascii="Symbol" w:hAnsi="Symbol" w:hint="default"/>
      </w:rPr>
    </w:lvl>
    <w:lvl w:ilvl="2" w:tplc="100A001B" w:tentative="1">
      <w:start w:val="1"/>
      <w:numFmt w:val="lowerRoman"/>
      <w:lvlText w:val="%3."/>
      <w:lvlJc w:val="right"/>
      <w:pPr>
        <w:ind w:left="2160" w:hanging="180"/>
      </w:pPr>
      <w:rPr>
        <w:rFonts w:cs="Times New Roman"/>
      </w:rPr>
    </w:lvl>
    <w:lvl w:ilvl="3" w:tplc="100A000F" w:tentative="1">
      <w:start w:val="1"/>
      <w:numFmt w:val="decimal"/>
      <w:lvlText w:val="%4."/>
      <w:lvlJc w:val="left"/>
      <w:pPr>
        <w:ind w:left="2880" w:hanging="360"/>
      </w:pPr>
      <w:rPr>
        <w:rFonts w:cs="Times New Roman"/>
      </w:rPr>
    </w:lvl>
    <w:lvl w:ilvl="4" w:tplc="100A0019" w:tentative="1">
      <w:start w:val="1"/>
      <w:numFmt w:val="lowerLetter"/>
      <w:lvlText w:val="%5."/>
      <w:lvlJc w:val="left"/>
      <w:pPr>
        <w:ind w:left="3600" w:hanging="360"/>
      </w:pPr>
      <w:rPr>
        <w:rFonts w:cs="Times New Roman"/>
      </w:rPr>
    </w:lvl>
    <w:lvl w:ilvl="5" w:tplc="100A001B" w:tentative="1">
      <w:start w:val="1"/>
      <w:numFmt w:val="lowerRoman"/>
      <w:lvlText w:val="%6."/>
      <w:lvlJc w:val="right"/>
      <w:pPr>
        <w:ind w:left="4320" w:hanging="180"/>
      </w:pPr>
      <w:rPr>
        <w:rFonts w:cs="Times New Roman"/>
      </w:rPr>
    </w:lvl>
    <w:lvl w:ilvl="6" w:tplc="100A000F" w:tentative="1">
      <w:start w:val="1"/>
      <w:numFmt w:val="decimal"/>
      <w:lvlText w:val="%7."/>
      <w:lvlJc w:val="left"/>
      <w:pPr>
        <w:ind w:left="5040" w:hanging="360"/>
      </w:pPr>
      <w:rPr>
        <w:rFonts w:cs="Times New Roman"/>
      </w:rPr>
    </w:lvl>
    <w:lvl w:ilvl="7" w:tplc="100A0019" w:tentative="1">
      <w:start w:val="1"/>
      <w:numFmt w:val="lowerLetter"/>
      <w:lvlText w:val="%8."/>
      <w:lvlJc w:val="left"/>
      <w:pPr>
        <w:ind w:left="5760" w:hanging="360"/>
      </w:pPr>
      <w:rPr>
        <w:rFonts w:cs="Times New Roman"/>
      </w:rPr>
    </w:lvl>
    <w:lvl w:ilvl="8" w:tplc="100A001B" w:tentative="1">
      <w:start w:val="1"/>
      <w:numFmt w:val="lowerRoman"/>
      <w:lvlText w:val="%9."/>
      <w:lvlJc w:val="right"/>
      <w:pPr>
        <w:ind w:left="6480" w:hanging="180"/>
      </w:pPr>
      <w:rPr>
        <w:rFonts w:cs="Times New Roman"/>
      </w:rPr>
    </w:lvl>
  </w:abstractNum>
  <w:abstractNum w:abstractNumId="23" w15:restartNumberingAfterBreak="0">
    <w:nsid w:val="69E413F6"/>
    <w:multiLevelType w:val="hybridMultilevel"/>
    <w:tmpl w:val="0DFC026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4" w15:restartNumberingAfterBreak="0">
    <w:nsid w:val="712267B4"/>
    <w:multiLevelType w:val="hybridMultilevel"/>
    <w:tmpl w:val="48B4AAFA"/>
    <w:lvl w:ilvl="0" w:tplc="100A0001">
      <w:start w:val="1"/>
      <w:numFmt w:val="bullet"/>
      <w:lvlText w:val=""/>
      <w:lvlJc w:val="left"/>
      <w:pPr>
        <w:ind w:left="1004" w:hanging="360"/>
      </w:pPr>
      <w:rPr>
        <w:rFonts w:ascii="Symbol" w:hAnsi="Symbol" w:hint="default"/>
      </w:rPr>
    </w:lvl>
    <w:lvl w:ilvl="1" w:tplc="100A0003" w:tentative="1">
      <w:start w:val="1"/>
      <w:numFmt w:val="bullet"/>
      <w:lvlText w:val="o"/>
      <w:lvlJc w:val="left"/>
      <w:pPr>
        <w:ind w:left="1724" w:hanging="360"/>
      </w:pPr>
      <w:rPr>
        <w:rFonts w:ascii="Courier New" w:hAnsi="Courier New" w:cs="Courier New" w:hint="default"/>
      </w:rPr>
    </w:lvl>
    <w:lvl w:ilvl="2" w:tplc="100A0005" w:tentative="1">
      <w:start w:val="1"/>
      <w:numFmt w:val="bullet"/>
      <w:lvlText w:val=""/>
      <w:lvlJc w:val="left"/>
      <w:pPr>
        <w:ind w:left="2444" w:hanging="360"/>
      </w:pPr>
      <w:rPr>
        <w:rFonts w:ascii="Wingdings" w:hAnsi="Wingdings" w:hint="default"/>
      </w:rPr>
    </w:lvl>
    <w:lvl w:ilvl="3" w:tplc="100A0001" w:tentative="1">
      <w:start w:val="1"/>
      <w:numFmt w:val="bullet"/>
      <w:lvlText w:val=""/>
      <w:lvlJc w:val="left"/>
      <w:pPr>
        <w:ind w:left="3164" w:hanging="360"/>
      </w:pPr>
      <w:rPr>
        <w:rFonts w:ascii="Symbol" w:hAnsi="Symbol" w:hint="default"/>
      </w:rPr>
    </w:lvl>
    <w:lvl w:ilvl="4" w:tplc="100A0003" w:tentative="1">
      <w:start w:val="1"/>
      <w:numFmt w:val="bullet"/>
      <w:lvlText w:val="o"/>
      <w:lvlJc w:val="left"/>
      <w:pPr>
        <w:ind w:left="3884" w:hanging="360"/>
      </w:pPr>
      <w:rPr>
        <w:rFonts w:ascii="Courier New" w:hAnsi="Courier New" w:cs="Courier New" w:hint="default"/>
      </w:rPr>
    </w:lvl>
    <w:lvl w:ilvl="5" w:tplc="100A0005" w:tentative="1">
      <w:start w:val="1"/>
      <w:numFmt w:val="bullet"/>
      <w:lvlText w:val=""/>
      <w:lvlJc w:val="left"/>
      <w:pPr>
        <w:ind w:left="4604" w:hanging="360"/>
      </w:pPr>
      <w:rPr>
        <w:rFonts w:ascii="Wingdings" w:hAnsi="Wingdings" w:hint="default"/>
      </w:rPr>
    </w:lvl>
    <w:lvl w:ilvl="6" w:tplc="100A0001" w:tentative="1">
      <w:start w:val="1"/>
      <w:numFmt w:val="bullet"/>
      <w:lvlText w:val=""/>
      <w:lvlJc w:val="left"/>
      <w:pPr>
        <w:ind w:left="5324" w:hanging="360"/>
      </w:pPr>
      <w:rPr>
        <w:rFonts w:ascii="Symbol" w:hAnsi="Symbol" w:hint="default"/>
      </w:rPr>
    </w:lvl>
    <w:lvl w:ilvl="7" w:tplc="100A0003" w:tentative="1">
      <w:start w:val="1"/>
      <w:numFmt w:val="bullet"/>
      <w:lvlText w:val="o"/>
      <w:lvlJc w:val="left"/>
      <w:pPr>
        <w:ind w:left="6044" w:hanging="360"/>
      </w:pPr>
      <w:rPr>
        <w:rFonts w:ascii="Courier New" w:hAnsi="Courier New" w:cs="Courier New" w:hint="default"/>
      </w:rPr>
    </w:lvl>
    <w:lvl w:ilvl="8" w:tplc="100A0005" w:tentative="1">
      <w:start w:val="1"/>
      <w:numFmt w:val="bullet"/>
      <w:lvlText w:val=""/>
      <w:lvlJc w:val="left"/>
      <w:pPr>
        <w:ind w:left="6764" w:hanging="360"/>
      </w:pPr>
      <w:rPr>
        <w:rFonts w:ascii="Wingdings" w:hAnsi="Wingdings" w:hint="default"/>
      </w:rPr>
    </w:lvl>
  </w:abstractNum>
  <w:abstractNum w:abstractNumId="25" w15:restartNumberingAfterBreak="0">
    <w:nsid w:val="72904360"/>
    <w:multiLevelType w:val="multilevel"/>
    <w:tmpl w:val="1A6ABB16"/>
    <w:lvl w:ilvl="0">
      <w:start w:val="1"/>
      <w:numFmt w:val="upperRoman"/>
      <w:lvlText w:val="%1."/>
      <w:lvlJc w:val="left"/>
      <w:pPr>
        <w:ind w:left="720" w:hanging="720"/>
      </w:pPr>
      <w:rPr>
        <w:rFonts w:cs="Times New Roman" w:hint="default"/>
      </w:rPr>
    </w:lvl>
    <w:lvl w:ilvl="1">
      <w:start w:val="1"/>
      <w:numFmt w:val="decimal"/>
      <w:isLgl/>
      <w:lvlText w:val="%1.%2"/>
      <w:lvlJc w:val="left"/>
      <w:pPr>
        <w:ind w:left="360" w:hanging="36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79A213EC"/>
    <w:multiLevelType w:val="multilevel"/>
    <w:tmpl w:val="0D48E6AE"/>
    <w:lvl w:ilvl="0">
      <w:start w:val="1"/>
      <w:numFmt w:val="bullet"/>
      <w:lvlText w:val=""/>
      <w:lvlJc w:val="left"/>
      <w:pPr>
        <w:ind w:left="1080" w:hanging="720"/>
      </w:pPr>
      <w:rPr>
        <w:rFonts w:ascii="Symbol" w:hAnsi="Symbol" w:hint="default"/>
      </w:rPr>
    </w:lvl>
    <w:lvl w:ilvl="1">
      <w:start w:val="1"/>
      <w:numFmt w:val="decimal"/>
      <w:isLgl/>
      <w:lvlText w:val="%1.%2"/>
      <w:lvlJc w:val="left"/>
      <w:pPr>
        <w:ind w:left="360" w:hanging="36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7A57400F"/>
    <w:multiLevelType w:val="hybridMultilevel"/>
    <w:tmpl w:val="86E8E90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15:restartNumberingAfterBreak="0">
    <w:nsid w:val="7CF87B9C"/>
    <w:multiLevelType w:val="hybridMultilevel"/>
    <w:tmpl w:val="E348CDBC"/>
    <w:lvl w:ilvl="0" w:tplc="100A0003">
      <w:start w:val="1"/>
      <w:numFmt w:val="bullet"/>
      <w:lvlText w:val="o"/>
      <w:lvlJc w:val="left"/>
      <w:pPr>
        <w:ind w:left="720" w:hanging="360"/>
      </w:pPr>
      <w:rPr>
        <w:rFonts w:ascii="Courier New" w:hAnsi="Courier New" w:cs="Courier New"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9" w15:restartNumberingAfterBreak="0">
    <w:nsid w:val="7F134448"/>
    <w:multiLevelType w:val="hybridMultilevel"/>
    <w:tmpl w:val="8F288D7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25"/>
  </w:num>
  <w:num w:numId="2">
    <w:abstractNumId w:val="10"/>
  </w:num>
  <w:num w:numId="3">
    <w:abstractNumId w:val="22"/>
  </w:num>
  <w:num w:numId="4">
    <w:abstractNumId w:val="1"/>
  </w:num>
  <w:num w:numId="5">
    <w:abstractNumId w:val="6"/>
  </w:num>
  <w:num w:numId="6">
    <w:abstractNumId w:val="19"/>
  </w:num>
  <w:num w:numId="7">
    <w:abstractNumId w:val="9"/>
  </w:num>
  <w:num w:numId="8">
    <w:abstractNumId w:val="8"/>
  </w:num>
  <w:num w:numId="9">
    <w:abstractNumId w:val="18"/>
  </w:num>
  <w:num w:numId="10">
    <w:abstractNumId w:val="29"/>
  </w:num>
  <w:num w:numId="11">
    <w:abstractNumId w:val="2"/>
  </w:num>
  <w:num w:numId="12">
    <w:abstractNumId w:val="26"/>
  </w:num>
  <w:num w:numId="13">
    <w:abstractNumId w:val="20"/>
  </w:num>
  <w:num w:numId="14">
    <w:abstractNumId w:val="4"/>
  </w:num>
  <w:num w:numId="15">
    <w:abstractNumId w:val="15"/>
  </w:num>
  <w:num w:numId="16">
    <w:abstractNumId w:val="21"/>
  </w:num>
  <w:num w:numId="17">
    <w:abstractNumId w:val="0"/>
  </w:num>
  <w:num w:numId="18">
    <w:abstractNumId w:val="5"/>
  </w:num>
  <w:num w:numId="19">
    <w:abstractNumId w:val="23"/>
  </w:num>
  <w:num w:numId="20">
    <w:abstractNumId w:val="7"/>
  </w:num>
  <w:num w:numId="21">
    <w:abstractNumId w:val="12"/>
  </w:num>
  <w:num w:numId="22">
    <w:abstractNumId w:val="27"/>
  </w:num>
  <w:num w:numId="23">
    <w:abstractNumId w:val="17"/>
  </w:num>
  <w:num w:numId="24">
    <w:abstractNumId w:val="11"/>
  </w:num>
  <w:num w:numId="25">
    <w:abstractNumId w:val="3"/>
  </w:num>
  <w:num w:numId="26">
    <w:abstractNumId w:val="16"/>
  </w:num>
  <w:num w:numId="27">
    <w:abstractNumId w:val="13"/>
  </w:num>
  <w:num w:numId="28">
    <w:abstractNumId w:val="14"/>
  </w:num>
  <w:num w:numId="29">
    <w:abstractNumId w:val="24"/>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45E"/>
    <w:rsid w:val="000015E4"/>
    <w:rsid w:val="000017C9"/>
    <w:rsid w:val="00007301"/>
    <w:rsid w:val="000134BD"/>
    <w:rsid w:val="00017817"/>
    <w:rsid w:val="00026EDE"/>
    <w:rsid w:val="00035ACE"/>
    <w:rsid w:val="0004046B"/>
    <w:rsid w:val="00046AC5"/>
    <w:rsid w:val="00053BEC"/>
    <w:rsid w:val="00057C59"/>
    <w:rsid w:val="000649EB"/>
    <w:rsid w:val="000656CC"/>
    <w:rsid w:val="00070D4A"/>
    <w:rsid w:val="0007141F"/>
    <w:rsid w:val="0007165E"/>
    <w:rsid w:val="00073D12"/>
    <w:rsid w:val="0007436C"/>
    <w:rsid w:val="0007518F"/>
    <w:rsid w:val="0008219A"/>
    <w:rsid w:val="000822C0"/>
    <w:rsid w:val="000824CF"/>
    <w:rsid w:val="0008689C"/>
    <w:rsid w:val="000873A3"/>
    <w:rsid w:val="00090E74"/>
    <w:rsid w:val="00092964"/>
    <w:rsid w:val="000945C6"/>
    <w:rsid w:val="00095BEA"/>
    <w:rsid w:val="00095E74"/>
    <w:rsid w:val="00096FE3"/>
    <w:rsid w:val="000A05EA"/>
    <w:rsid w:val="000A228C"/>
    <w:rsid w:val="000A4595"/>
    <w:rsid w:val="000B060C"/>
    <w:rsid w:val="000B3BF3"/>
    <w:rsid w:val="000B480C"/>
    <w:rsid w:val="000C1DF7"/>
    <w:rsid w:val="000C355C"/>
    <w:rsid w:val="000C73B9"/>
    <w:rsid w:val="000E5F15"/>
    <w:rsid w:val="000E6A8E"/>
    <w:rsid w:val="000E78CA"/>
    <w:rsid w:val="000F6270"/>
    <w:rsid w:val="0010424C"/>
    <w:rsid w:val="001066AA"/>
    <w:rsid w:val="00110309"/>
    <w:rsid w:val="00111633"/>
    <w:rsid w:val="00114650"/>
    <w:rsid w:val="00115CFA"/>
    <w:rsid w:val="0011663B"/>
    <w:rsid w:val="001208CC"/>
    <w:rsid w:val="00120AE2"/>
    <w:rsid w:val="001223EE"/>
    <w:rsid w:val="00131137"/>
    <w:rsid w:val="00134C5C"/>
    <w:rsid w:val="00135023"/>
    <w:rsid w:val="00137CD0"/>
    <w:rsid w:val="0014247D"/>
    <w:rsid w:val="00143E77"/>
    <w:rsid w:val="00147920"/>
    <w:rsid w:val="00153D22"/>
    <w:rsid w:val="00157F3B"/>
    <w:rsid w:val="00164D27"/>
    <w:rsid w:val="00165209"/>
    <w:rsid w:val="0016525A"/>
    <w:rsid w:val="0016531A"/>
    <w:rsid w:val="00165572"/>
    <w:rsid w:val="001730B4"/>
    <w:rsid w:val="0018006F"/>
    <w:rsid w:val="00180F0C"/>
    <w:rsid w:val="001858B9"/>
    <w:rsid w:val="0018742E"/>
    <w:rsid w:val="0019613D"/>
    <w:rsid w:val="001973C1"/>
    <w:rsid w:val="001973C9"/>
    <w:rsid w:val="00197416"/>
    <w:rsid w:val="001A1D21"/>
    <w:rsid w:val="001A25FC"/>
    <w:rsid w:val="001A3AFD"/>
    <w:rsid w:val="001A4651"/>
    <w:rsid w:val="001A4AC4"/>
    <w:rsid w:val="001A6174"/>
    <w:rsid w:val="001A7CCB"/>
    <w:rsid w:val="001B08F8"/>
    <w:rsid w:val="001B16CA"/>
    <w:rsid w:val="001B500D"/>
    <w:rsid w:val="001B6652"/>
    <w:rsid w:val="001B7C71"/>
    <w:rsid w:val="001C17ED"/>
    <w:rsid w:val="001D2B01"/>
    <w:rsid w:val="001D490E"/>
    <w:rsid w:val="001D5710"/>
    <w:rsid w:val="001D7A7E"/>
    <w:rsid w:val="001E048E"/>
    <w:rsid w:val="001E17B9"/>
    <w:rsid w:val="001E28D7"/>
    <w:rsid w:val="001E7F1A"/>
    <w:rsid w:val="001F10FC"/>
    <w:rsid w:val="001F1269"/>
    <w:rsid w:val="001F2900"/>
    <w:rsid w:val="001F42E6"/>
    <w:rsid w:val="001F582A"/>
    <w:rsid w:val="002037C1"/>
    <w:rsid w:val="00203829"/>
    <w:rsid w:val="00203CCD"/>
    <w:rsid w:val="00217F22"/>
    <w:rsid w:val="00221FF0"/>
    <w:rsid w:val="0022699D"/>
    <w:rsid w:val="0023156C"/>
    <w:rsid w:val="002359C0"/>
    <w:rsid w:val="00251F9F"/>
    <w:rsid w:val="002537F6"/>
    <w:rsid w:val="00254DB9"/>
    <w:rsid w:val="00255899"/>
    <w:rsid w:val="00256B0F"/>
    <w:rsid w:val="00266191"/>
    <w:rsid w:val="0026716F"/>
    <w:rsid w:val="002744F3"/>
    <w:rsid w:val="002766FE"/>
    <w:rsid w:val="002808D2"/>
    <w:rsid w:val="00284323"/>
    <w:rsid w:val="00295B39"/>
    <w:rsid w:val="00297DB8"/>
    <w:rsid w:val="002A37D2"/>
    <w:rsid w:val="002A7761"/>
    <w:rsid w:val="002B0610"/>
    <w:rsid w:val="002C0B5C"/>
    <w:rsid w:val="002C35EB"/>
    <w:rsid w:val="002C3BC4"/>
    <w:rsid w:val="002D3E09"/>
    <w:rsid w:val="002D4290"/>
    <w:rsid w:val="002E5F74"/>
    <w:rsid w:val="002F33BA"/>
    <w:rsid w:val="002F5044"/>
    <w:rsid w:val="002F697B"/>
    <w:rsid w:val="003004DE"/>
    <w:rsid w:val="00303508"/>
    <w:rsid w:val="00306761"/>
    <w:rsid w:val="003116B1"/>
    <w:rsid w:val="00332BC5"/>
    <w:rsid w:val="00341E46"/>
    <w:rsid w:val="0034419C"/>
    <w:rsid w:val="003444AD"/>
    <w:rsid w:val="00344616"/>
    <w:rsid w:val="00344730"/>
    <w:rsid w:val="00352C65"/>
    <w:rsid w:val="00353630"/>
    <w:rsid w:val="00354821"/>
    <w:rsid w:val="003565E1"/>
    <w:rsid w:val="00363E4D"/>
    <w:rsid w:val="003647FF"/>
    <w:rsid w:val="00366EED"/>
    <w:rsid w:val="00370362"/>
    <w:rsid w:val="00373720"/>
    <w:rsid w:val="00374ACB"/>
    <w:rsid w:val="003864DF"/>
    <w:rsid w:val="00392126"/>
    <w:rsid w:val="003948FE"/>
    <w:rsid w:val="00395F1D"/>
    <w:rsid w:val="003962E6"/>
    <w:rsid w:val="0039645E"/>
    <w:rsid w:val="003A574E"/>
    <w:rsid w:val="003A7E93"/>
    <w:rsid w:val="003B1C90"/>
    <w:rsid w:val="003B3555"/>
    <w:rsid w:val="003B66CB"/>
    <w:rsid w:val="003D11D5"/>
    <w:rsid w:val="003D6877"/>
    <w:rsid w:val="003D6F7B"/>
    <w:rsid w:val="003E292C"/>
    <w:rsid w:val="003E735B"/>
    <w:rsid w:val="003F3F73"/>
    <w:rsid w:val="003F65C5"/>
    <w:rsid w:val="00400499"/>
    <w:rsid w:val="00400D3F"/>
    <w:rsid w:val="00400EB0"/>
    <w:rsid w:val="00402BE7"/>
    <w:rsid w:val="0040378F"/>
    <w:rsid w:val="004068F9"/>
    <w:rsid w:val="00407725"/>
    <w:rsid w:val="00410B8F"/>
    <w:rsid w:val="00413BC2"/>
    <w:rsid w:val="00422C89"/>
    <w:rsid w:val="00423D9F"/>
    <w:rsid w:val="004245AE"/>
    <w:rsid w:val="00425F78"/>
    <w:rsid w:val="00425FD9"/>
    <w:rsid w:val="00434680"/>
    <w:rsid w:val="0043706E"/>
    <w:rsid w:val="00437F1D"/>
    <w:rsid w:val="00442BA0"/>
    <w:rsid w:val="00445185"/>
    <w:rsid w:val="00447FC2"/>
    <w:rsid w:val="0045021B"/>
    <w:rsid w:val="00456444"/>
    <w:rsid w:val="0045661A"/>
    <w:rsid w:val="00460270"/>
    <w:rsid w:val="00466C28"/>
    <w:rsid w:val="00467AC5"/>
    <w:rsid w:val="0048246B"/>
    <w:rsid w:val="00483FA3"/>
    <w:rsid w:val="004861EF"/>
    <w:rsid w:val="00486FB8"/>
    <w:rsid w:val="00487C2D"/>
    <w:rsid w:val="00490250"/>
    <w:rsid w:val="00494C1A"/>
    <w:rsid w:val="00494D0A"/>
    <w:rsid w:val="004968C3"/>
    <w:rsid w:val="004A0A14"/>
    <w:rsid w:val="004A4C21"/>
    <w:rsid w:val="004B261E"/>
    <w:rsid w:val="004B5AD8"/>
    <w:rsid w:val="004B7B50"/>
    <w:rsid w:val="004C137E"/>
    <w:rsid w:val="004C2C0E"/>
    <w:rsid w:val="004C3440"/>
    <w:rsid w:val="004C4029"/>
    <w:rsid w:val="004C5AAF"/>
    <w:rsid w:val="004D0EB9"/>
    <w:rsid w:val="004D2369"/>
    <w:rsid w:val="004D2703"/>
    <w:rsid w:val="004D4306"/>
    <w:rsid w:val="004F0B2E"/>
    <w:rsid w:val="004F1823"/>
    <w:rsid w:val="004F54F7"/>
    <w:rsid w:val="0050111A"/>
    <w:rsid w:val="00501DD4"/>
    <w:rsid w:val="005112CE"/>
    <w:rsid w:val="00512244"/>
    <w:rsid w:val="00512F25"/>
    <w:rsid w:val="005144B5"/>
    <w:rsid w:val="005207E4"/>
    <w:rsid w:val="00526A86"/>
    <w:rsid w:val="0053330C"/>
    <w:rsid w:val="00533EE7"/>
    <w:rsid w:val="00534D04"/>
    <w:rsid w:val="005404FA"/>
    <w:rsid w:val="00544561"/>
    <w:rsid w:val="005615B4"/>
    <w:rsid w:val="0057248B"/>
    <w:rsid w:val="00573B09"/>
    <w:rsid w:val="00574DD9"/>
    <w:rsid w:val="00577A2D"/>
    <w:rsid w:val="00583CBF"/>
    <w:rsid w:val="00586D46"/>
    <w:rsid w:val="005A055C"/>
    <w:rsid w:val="005A3C25"/>
    <w:rsid w:val="005A618C"/>
    <w:rsid w:val="005B0051"/>
    <w:rsid w:val="005B4F12"/>
    <w:rsid w:val="005C1BC8"/>
    <w:rsid w:val="005C1F95"/>
    <w:rsid w:val="005C2DD3"/>
    <w:rsid w:val="005C4F5F"/>
    <w:rsid w:val="005C6D5A"/>
    <w:rsid w:val="005C73C0"/>
    <w:rsid w:val="005D4864"/>
    <w:rsid w:val="005E5D25"/>
    <w:rsid w:val="005E6750"/>
    <w:rsid w:val="005F5C75"/>
    <w:rsid w:val="005F7CDA"/>
    <w:rsid w:val="00601C88"/>
    <w:rsid w:val="006029AA"/>
    <w:rsid w:val="00605BAB"/>
    <w:rsid w:val="006073CF"/>
    <w:rsid w:val="00613442"/>
    <w:rsid w:val="00617A92"/>
    <w:rsid w:val="00641504"/>
    <w:rsid w:val="00641B43"/>
    <w:rsid w:val="00642ED6"/>
    <w:rsid w:val="0064618E"/>
    <w:rsid w:val="00653BBD"/>
    <w:rsid w:val="006625C1"/>
    <w:rsid w:val="0066363E"/>
    <w:rsid w:val="00665414"/>
    <w:rsid w:val="00665558"/>
    <w:rsid w:val="0066608C"/>
    <w:rsid w:val="00666668"/>
    <w:rsid w:val="006710E8"/>
    <w:rsid w:val="0067328C"/>
    <w:rsid w:val="00673FF8"/>
    <w:rsid w:val="006910F4"/>
    <w:rsid w:val="006A31C4"/>
    <w:rsid w:val="006B62C9"/>
    <w:rsid w:val="006C15EF"/>
    <w:rsid w:val="006C23B0"/>
    <w:rsid w:val="006C2DDB"/>
    <w:rsid w:val="006C36BE"/>
    <w:rsid w:val="006C5718"/>
    <w:rsid w:val="006C7E4B"/>
    <w:rsid w:val="006C7EF3"/>
    <w:rsid w:val="006D5D66"/>
    <w:rsid w:val="006E08BE"/>
    <w:rsid w:val="006E0AF2"/>
    <w:rsid w:val="006E129B"/>
    <w:rsid w:val="006E27EA"/>
    <w:rsid w:val="006F0860"/>
    <w:rsid w:val="006F3E7A"/>
    <w:rsid w:val="00701CCE"/>
    <w:rsid w:val="00701E4B"/>
    <w:rsid w:val="0070295D"/>
    <w:rsid w:val="007030EC"/>
    <w:rsid w:val="00703FF9"/>
    <w:rsid w:val="007043C5"/>
    <w:rsid w:val="00717B12"/>
    <w:rsid w:val="00722169"/>
    <w:rsid w:val="00732259"/>
    <w:rsid w:val="007370D8"/>
    <w:rsid w:val="00740E72"/>
    <w:rsid w:val="007444A1"/>
    <w:rsid w:val="00744A13"/>
    <w:rsid w:val="007467CF"/>
    <w:rsid w:val="00750624"/>
    <w:rsid w:val="00754A11"/>
    <w:rsid w:val="00757B2C"/>
    <w:rsid w:val="00761981"/>
    <w:rsid w:val="00763142"/>
    <w:rsid w:val="0077526F"/>
    <w:rsid w:val="007830D3"/>
    <w:rsid w:val="00785842"/>
    <w:rsid w:val="00790233"/>
    <w:rsid w:val="0079241B"/>
    <w:rsid w:val="007961BA"/>
    <w:rsid w:val="007979D5"/>
    <w:rsid w:val="007A6DE4"/>
    <w:rsid w:val="007A72A0"/>
    <w:rsid w:val="007A7E37"/>
    <w:rsid w:val="007B0095"/>
    <w:rsid w:val="007B284A"/>
    <w:rsid w:val="007B2E98"/>
    <w:rsid w:val="007B583D"/>
    <w:rsid w:val="007B75CB"/>
    <w:rsid w:val="007C3BA9"/>
    <w:rsid w:val="007D27F8"/>
    <w:rsid w:val="007D3B6F"/>
    <w:rsid w:val="007D486D"/>
    <w:rsid w:val="007D5731"/>
    <w:rsid w:val="007E2DEF"/>
    <w:rsid w:val="007E47C9"/>
    <w:rsid w:val="007E7285"/>
    <w:rsid w:val="007F74E7"/>
    <w:rsid w:val="008078E8"/>
    <w:rsid w:val="00807DF0"/>
    <w:rsid w:val="00812B9A"/>
    <w:rsid w:val="00815113"/>
    <w:rsid w:val="00815663"/>
    <w:rsid w:val="00815A98"/>
    <w:rsid w:val="00820EAD"/>
    <w:rsid w:val="0082124F"/>
    <w:rsid w:val="00821B4C"/>
    <w:rsid w:val="00824472"/>
    <w:rsid w:val="00831173"/>
    <w:rsid w:val="00831FCD"/>
    <w:rsid w:val="00832116"/>
    <w:rsid w:val="00835509"/>
    <w:rsid w:val="0083635A"/>
    <w:rsid w:val="0084166E"/>
    <w:rsid w:val="008422BE"/>
    <w:rsid w:val="00845089"/>
    <w:rsid w:val="008458FA"/>
    <w:rsid w:val="00846949"/>
    <w:rsid w:val="00853EA1"/>
    <w:rsid w:val="00855899"/>
    <w:rsid w:val="008569F5"/>
    <w:rsid w:val="008611D6"/>
    <w:rsid w:val="00871804"/>
    <w:rsid w:val="00871B1F"/>
    <w:rsid w:val="0087224F"/>
    <w:rsid w:val="00874510"/>
    <w:rsid w:val="00876B1B"/>
    <w:rsid w:val="00884E99"/>
    <w:rsid w:val="0088633C"/>
    <w:rsid w:val="00886DD2"/>
    <w:rsid w:val="008876FF"/>
    <w:rsid w:val="00893908"/>
    <w:rsid w:val="0089421B"/>
    <w:rsid w:val="00895C9B"/>
    <w:rsid w:val="00897FDB"/>
    <w:rsid w:val="008A29AD"/>
    <w:rsid w:val="008B3CBB"/>
    <w:rsid w:val="008B58D3"/>
    <w:rsid w:val="008B6FB2"/>
    <w:rsid w:val="008C0944"/>
    <w:rsid w:val="008C1480"/>
    <w:rsid w:val="008C57B7"/>
    <w:rsid w:val="008D297F"/>
    <w:rsid w:val="008D61FE"/>
    <w:rsid w:val="008D6E8B"/>
    <w:rsid w:val="008D7984"/>
    <w:rsid w:val="008E236E"/>
    <w:rsid w:val="008E506F"/>
    <w:rsid w:val="008F1471"/>
    <w:rsid w:val="008F2B0F"/>
    <w:rsid w:val="008F59DE"/>
    <w:rsid w:val="009007ED"/>
    <w:rsid w:val="0090229A"/>
    <w:rsid w:val="00904C11"/>
    <w:rsid w:val="009056AF"/>
    <w:rsid w:val="00907844"/>
    <w:rsid w:val="0091695A"/>
    <w:rsid w:val="009222B9"/>
    <w:rsid w:val="009236ED"/>
    <w:rsid w:val="0092425F"/>
    <w:rsid w:val="0092591E"/>
    <w:rsid w:val="009267B9"/>
    <w:rsid w:val="00932170"/>
    <w:rsid w:val="009366BB"/>
    <w:rsid w:val="00941EE0"/>
    <w:rsid w:val="00942885"/>
    <w:rsid w:val="009466D9"/>
    <w:rsid w:val="0095142E"/>
    <w:rsid w:val="009519EC"/>
    <w:rsid w:val="00955ABE"/>
    <w:rsid w:val="00961373"/>
    <w:rsid w:val="00962169"/>
    <w:rsid w:val="00971994"/>
    <w:rsid w:val="00975EDA"/>
    <w:rsid w:val="00976339"/>
    <w:rsid w:val="00976AA1"/>
    <w:rsid w:val="00980627"/>
    <w:rsid w:val="00984A96"/>
    <w:rsid w:val="009951DB"/>
    <w:rsid w:val="009A2358"/>
    <w:rsid w:val="009A26C0"/>
    <w:rsid w:val="009A38FE"/>
    <w:rsid w:val="009A4A84"/>
    <w:rsid w:val="009A546A"/>
    <w:rsid w:val="009B263F"/>
    <w:rsid w:val="009B3C00"/>
    <w:rsid w:val="009B6BCC"/>
    <w:rsid w:val="009C1035"/>
    <w:rsid w:val="009C1DAD"/>
    <w:rsid w:val="009C7B5E"/>
    <w:rsid w:val="009D26D8"/>
    <w:rsid w:val="009D2D2E"/>
    <w:rsid w:val="009E4D6D"/>
    <w:rsid w:val="009F0FA0"/>
    <w:rsid w:val="009F2BD2"/>
    <w:rsid w:val="009F3DB9"/>
    <w:rsid w:val="009F727D"/>
    <w:rsid w:val="00A02487"/>
    <w:rsid w:val="00A07366"/>
    <w:rsid w:val="00A233F7"/>
    <w:rsid w:val="00A2345B"/>
    <w:rsid w:val="00A2486F"/>
    <w:rsid w:val="00A25721"/>
    <w:rsid w:val="00A3038C"/>
    <w:rsid w:val="00A4075F"/>
    <w:rsid w:val="00A429F2"/>
    <w:rsid w:val="00A529AA"/>
    <w:rsid w:val="00A53424"/>
    <w:rsid w:val="00A54787"/>
    <w:rsid w:val="00A607B6"/>
    <w:rsid w:val="00A60855"/>
    <w:rsid w:val="00A60AE0"/>
    <w:rsid w:val="00A61E53"/>
    <w:rsid w:val="00A645ED"/>
    <w:rsid w:val="00A66EAC"/>
    <w:rsid w:val="00A66F2B"/>
    <w:rsid w:val="00A72256"/>
    <w:rsid w:val="00A728B5"/>
    <w:rsid w:val="00A7393D"/>
    <w:rsid w:val="00A74F7D"/>
    <w:rsid w:val="00A761B3"/>
    <w:rsid w:val="00A7689A"/>
    <w:rsid w:val="00A80D3F"/>
    <w:rsid w:val="00A84BC4"/>
    <w:rsid w:val="00A86425"/>
    <w:rsid w:val="00A86988"/>
    <w:rsid w:val="00A87DAE"/>
    <w:rsid w:val="00A91B3E"/>
    <w:rsid w:val="00A9582C"/>
    <w:rsid w:val="00A973FA"/>
    <w:rsid w:val="00AA3046"/>
    <w:rsid w:val="00AA5178"/>
    <w:rsid w:val="00AB012C"/>
    <w:rsid w:val="00AB05D7"/>
    <w:rsid w:val="00AB0A3C"/>
    <w:rsid w:val="00AB41B0"/>
    <w:rsid w:val="00AB6108"/>
    <w:rsid w:val="00AB70FC"/>
    <w:rsid w:val="00AC4663"/>
    <w:rsid w:val="00AC6D59"/>
    <w:rsid w:val="00AC7AF4"/>
    <w:rsid w:val="00AD32FE"/>
    <w:rsid w:val="00AD663D"/>
    <w:rsid w:val="00AE055B"/>
    <w:rsid w:val="00AE2C9D"/>
    <w:rsid w:val="00AE4227"/>
    <w:rsid w:val="00AE6815"/>
    <w:rsid w:val="00AF009E"/>
    <w:rsid w:val="00AF7783"/>
    <w:rsid w:val="00AF796C"/>
    <w:rsid w:val="00AF7AEE"/>
    <w:rsid w:val="00B005F6"/>
    <w:rsid w:val="00B01229"/>
    <w:rsid w:val="00B0129B"/>
    <w:rsid w:val="00B04142"/>
    <w:rsid w:val="00B041FE"/>
    <w:rsid w:val="00B102FA"/>
    <w:rsid w:val="00B10E9E"/>
    <w:rsid w:val="00B1100D"/>
    <w:rsid w:val="00B15187"/>
    <w:rsid w:val="00B17EF2"/>
    <w:rsid w:val="00B216A0"/>
    <w:rsid w:val="00B21B4A"/>
    <w:rsid w:val="00B23772"/>
    <w:rsid w:val="00B24EE4"/>
    <w:rsid w:val="00B3102D"/>
    <w:rsid w:val="00B319E9"/>
    <w:rsid w:val="00B31F69"/>
    <w:rsid w:val="00B32984"/>
    <w:rsid w:val="00B36B9D"/>
    <w:rsid w:val="00B4190D"/>
    <w:rsid w:val="00B43E10"/>
    <w:rsid w:val="00B46A63"/>
    <w:rsid w:val="00B53ACA"/>
    <w:rsid w:val="00B53C13"/>
    <w:rsid w:val="00B53E51"/>
    <w:rsid w:val="00B550F0"/>
    <w:rsid w:val="00B55A79"/>
    <w:rsid w:val="00B56C22"/>
    <w:rsid w:val="00B60499"/>
    <w:rsid w:val="00B65FA3"/>
    <w:rsid w:val="00B66431"/>
    <w:rsid w:val="00B725AA"/>
    <w:rsid w:val="00B8065A"/>
    <w:rsid w:val="00B842A5"/>
    <w:rsid w:val="00B865AF"/>
    <w:rsid w:val="00B91002"/>
    <w:rsid w:val="00B929A9"/>
    <w:rsid w:val="00B94D89"/>
    <w:rsid w:val="00B970AF"/>
    <w:rsid w:val="00BA097F"/>
    <w:rsid w:val="00BB0B27"/>
    <w:rsid w:val="00BB125C"/>
    <w:rsid w:val="00BB38CC"/>
    <w:rsid w:val="00BB5B21"/>
    <w:rsid w:val="00BB643F"/>
    <w:rsid w:val="00BC00C1"/>
    <w:rsid w:val="00BC372D"/>
    <w:rsid w:val="00BC47CB"/>
    <w:rsid w:val="00BC56DC"/>
    <w:rsid w:val="00BD70E3"/>
    <w:rsid w:val="00BE1C08"/>
    <w:rsid w:val="00BE2DC7"/>
    <w:rsid w:val="00C015DC"/>
    <w:rsid w:val="00C05217"/>
    <w:rsid w:val="00C05CC5"/>
    <w:rsid w:val="00C06C5D"/>
    <w:rsid w:val="00C10CE9"/>
    <w:rsid w:val="00C164DE"/>
    <w:rsid w:val="00C22636"/>
    <w:rsid w:val="00C22D70"/>
    <w:rsid w:val="00C3287F"/>
    <w:rsid w:val="00C32A09"/>
    <w:rsid w:val="00C33030"/>
    <w:rsid w:val="00C34F76"/>
    <w:rsid w:val="00C41F17"/>
    <w:rsid w:val="00C431D3"/>
    <w:rsid w:val="00C51E25"/>
    <w:rsid w:val="00C5202A"/>
    <w:rsid w:val="00C53A98"/>
    <w:rsid w:val="00C6124F"/>
    <w:rsid w:val="00C613B1"/>
    <w:rsid w:val="00C64042"/>
    <w:rsid w:val="00C71065"/>
    <w:rsid w:val="00C719D6"/>
    <w:rsid w:val="00C751E5"/>
    <w:rsid w:val="00C775FF"/>
    <w:rsid w:val="00C822CB"/>
    <w:rsid w:val="00C8555B"/>
    <w:rsid w:val="00C87B39"/>
    <w:rsid w:val="00C90427"/>
    <w:rsid w:val="00CA3ED1"/>
    <w:rsid w:val="00CA48BA"/>
    <w:rsid w:val="00CA5B9B"/>
    <w:rsid w:val="00CA682B"/>
    <w:rsid w:val="00CA7649"/>
    <w:rsid w:val="00CC0BC5"/>
    <w:rsid w:val="00CC4171"/>
    <w:rsid w:val="00CC692F"/>
    <w:rsid w:val="00CC7A03"/>
    <w:rsid w:val="00CD324A"/>
    <w:rsid w:val="00CE3D26"/>
    <w:rsid w:val="00CF1D6E"/>
    <w:rsid w:val="00CF37F4"/>
    <w:rsid w:val="00CF4008"/>
    <w:rsid w:val="00CF4F63"/>
    <w:rsid w:val="00D00D8F"/>
    <w:rsid w:val="00D0565D"/>
    <w:rsid w:val="00D06F26"/>
    <w:rsid w:val="00D13019"/>
    <w:rsid w:val="00D1356D"/>
    <w:rsid w:val="00D1533E"/>
    <w:rsid w:val="00D26B7C"/>
    <w:rsid w:val="00D32CF9"/>
    <w:rsid w:val="00D37599"/>
    <w:rsid w:val="00D421AA"/>
    <w:rsid w:val="00D42EF4"/>
    <w:rsid w:val="00D44B5A"/>
    <w:rsid w:val="00D45507"/>
    <w:rsid w:val="00D53B63"/>
    <w:rsid w:val="00D563BD"/>
    <w:rsid w:val="00D56D5A"/>
    <w:rsid w:val="00D63C58"/>
    <w:rsid w:val="00D6425E"/>
    <w:rsid w:val="00D71E21"/>
    <w:rsid w:val="00D74672"/>
    <w:rsid w:val="00D77F0D"/>
    <w:rsid w:val="00D80D79"/>
    <w:rsid w:val="00D859F9"/>
    <w:rsid w:val="00DA00CD"/>
    <w:rsid w:val="00DA2155"/>
    <w:rsid w:val="00DA2AB6"/>
    <w:rsid w:val="00DA359C"/>
    <w:rsid w:val="00DA375B"/>
    <w:rsid w:val="00DA747E"/>
    <w:rsid w:val="00DB315C"/>
    <w:rsid w:val="00DB4D58"/>
    <w:rsid w:val="00DC075D"/>
    <w:rsid w:val="00DC0B62"/>
    <w:rsid w:val="00DC2C33"/>
    <w:rsid w:val="00DD1053"/>
    <w:rsid w:val="00DD1991"/>
    <w:rsid w:val="00DE120B"/>
    <w:rsid w:val="00DE1A75"/>
    <w:rsid w:val="00DE5380"/>
    <w:rsid w:val="00DE5D7A"/>
    <w:rsid w:val="00DE67E4"/>
    <w:rsid w:val="00DF19B5"/>
    <w:rsid w:val="00DF2DC6"/>
    <w:rsid w:val="00DF3F9E"/>
    <w:rsid w:val="00DF5606"/>
    <w:rsid w:val="00DF5648"/>
    <w:rsid w:val="00E05F7C"/>
    <w:rsid w:val="00E06728"/>
    <w:rsid w:val="00E12E72"/>
    <w:rsid w:val="00E203F1"/>
    <w:rsid w:val="00E223BB"/>
    <w:rsid w:val="00E23A25"/>
    <w:rsid w:val="00E23B97"/>
    <w:rsid w:val="00E257F1"/>
    <w:rsid w:val="00E35C2A"/>
    <w:rsid w:val="00E36206"/>
    <w:rsid w:val="00E363AA"/>
    <w:rsid w:val="00E410F0"/>
    <w:rsid w:val="00E5098D"/>
    <w:rsid w:val="00E5202F"/>
    <w:rsid w:val="00E55539"/>
    <w:rsid w:val="00E55D59"/>
    <w:rsid w:val="00E61C95"/>
    <w:rsid w:val="00E647F4"/>
    <w:rsid w:val="00E70135"/>
    <w:rsid w:val="00E71470"/>
    <w:rsid w:val="00E73F44"/>
    <w:rsid w:val="00E76AB0"/>
    <w:rsid w:val="00E81B3F"/>
    <w:rsid w:val="00E82D81"/>
    <w:rsid w:val="00E83911"/>
    <w:rsid w:val="00E93115"/>
    <w:rsid w:val="00E9501F"/>
    <w:rsid w:val="00EA1761"/>
    <w:rsid w:val="00EA66F1"/>
    <w:rsid w:val="00EA6C1F"/>
    <w:rsid w:val="00EB01B5"/>
    <w:rsid w:val="00EB0485"/>
    <w:rsid w:val="00EB0A11"/>
    <w:rsid w:val="00EB3596"/>
    <w:rsid w:val="00EB4FD6"/>
    <w:rsid w:val="00EB501D"/>
    <w:rsid w:val="00EC399C"/>
    <w:rsid w:val="00EC426D"/>
    <w:rsid w:val="00EC5879"/>
    <w:rsid w:val="00ED0EE4"/>
    <w:rsid w:val="00ED1B5D"/>
    <w:rsid w:val="00ED2534"/>
    <w:rsid w:val="00ED345A"/>
    <w:rsid w:val="00ED4D2F"/>
    <w:rsid w:val="00EE05C2"/>
    <w:rsid w:val="00EE3AF3"/>
    <w:rsid w:val="00EE5DC5"/>
    <w:rsid w:val="00EE6AA7"/>
    <w:rsid w:val="00EE6EA9"/>
    <w:rsid w:val="00EE7944"/>
    <w:rsid w:val="00EF2997"/>
    <w:rsid w:val="00EF487E"/>
    <w:rsid w:val="00EF609A"/>
    <w:rsid w:val="00EF785A"/>
    <w:rsid w:val="00EF7DA9"/>
    <w:rsid w:val="00F00E31"/>
    <w:rsid w:val="00F016CB"/>
    <w:rsid w:val="00F021A5"/>
    <w:rsid w:val="00F06B7E"/>
    <w:rsid w:val="00F140D1"/>
    <w:rsid w:val="00F22DD8"/>
    <w:rsid w:val="00F3154C"/>
    <w:rsid w:val="00F31E98"/>
    <w:rsid w:val="00F33B68"/>
    <w:rsid w:val="00F35531"/>
    <w:rsid w:val="00F36450"/>
    <w:rsid w:val="00F36DBB"/>
    <w:rsid w:val="00F404D2"/>
    <w:rsid w:val="00F435A1"/>
    <w:rsid w:val="00F46012"/>
    <w:rsid w:val="00F4749C"/>
    <w:rsid w:val="00F527B8"/>
    <w:rsid w:val="00F534B0"/>
    <w:rsid w:val="00F55A8C"/>
    <w:rsid w:val="00F56934"/>
    <w:rsid w:val="00F57D2D"/>
    <w:rsid w:val="00F63787"/>
    <w:rsid w:val="00F63F0E"/>
    <w:rsid w:val="00F80363"/>
    <w:rsid w:val="00F85CAE"/>
    <w:rsid w:val="00F879D1"/>
    <w:rsid w:val="00F9554C"/>
    <w:rsid w:val="00F969C2"/>
    <w:rsid w:val="00FA2143"/>
    <w:rsid w:val="00FA6735"/>
    <w:rsid w:val="00FB2487"/>
    <w:rsid w:val="00FB40DA"/>
    <w:rsid w:val="00FC1A73"/>
    <w:rsid w:val="00FC330B"/>
    <w:rsid w:val="00FC78DE"/>
    <w:rsid w:val="00FD000D"/>
    <w:rsid w:val="00FD51D8"/>
    <w:rsid w:val="00FD597B"/>
    <w:rsid w:val="00FD7DEB"/>
    <w:rsid w:val="00FE230E"/>
    <w:rsid w:val="00FE3E89"/>
    <w:rsid w:val="00FE46A7"/>
    <w:rsid w:val="00FF3AB8"/>
    <w:rsid w:val="00FF781D"/>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4FAD42"/>
  <w15:chartTrackingRefBased/>
  <w15:docId w15:val="{DA25003B-1C50-4C1C-A29F-481A6904D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645E"/>
    <w:pPr>
      <w:spacing w:after="0" w:line="240" w:lineRule="auto"/>
    </w:pPr>
    <w:rPr>
      <w:rFonts w:eastAsiaTheme="minorEastAsia"/>
      <w:sz w:val="24"/>
      <w:szCs w:val="24"/>
    </w:rPr>
  </w:style>
  <w:style w:type="paragraph" w:styleId="Ttulo1">
    <w:name w:val="heading 1"/>
    <w:basedOn w:val="Normal"/>
    <w:next w:val="Normal"/>
    <w:link w:val="Ttulo1Car"/>
    <w:uiPriority w:val="9"/>
    <w:qFormat/>
    <w:rsid w:val="001A4AC4"/>
    <w:pPr>
      <w:keepNext/>
      <w:keepLines/>
      <w:spacing w:before="240"/>
      <w:outlineLvl w:val="0"/>
    </w:pPr>
    <w:rPr>
      <w:rFonts w:asciiTheme="majorHAnsi" w:eastAsiaTheme="majorEastAsia" w:hAnsiTheme="majorHAnsi" w:cs="Times New Roman"/>
      <w:color w:val="2F5496" w:themeColor="accent1" w:themeShade="BF"/>
      <w:sz w:val="32"/>
      <w:szCs w:val="32"/>
    </w:rPr>
  </w:style>
  <w:style w:type="paragraph" w:styleId="Ttulo2">
    <w:name w:val="heading 2"/>
    <w:basedOn w:val="Normal"/>
    <w:next w:val="Normal"/>
    <w:link w:val="Ttulo2Car"/>
    <w:uiPriority w:val="9"/>
    <w:semiHidden/>
    <w:unhideWhenUsed/>
    <w:qFormat/>
    <w:rsid w:val="004245A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PrrafodelistaCar">
    <w:name w:val="Párrafo de lista Car"/>
    <w:aliases w:val="Título PDM Car,Párrafo de lista 2 Car"/>
    <w:basedOn w:val="Fuentedeprrafopredeter"/>
    <w:link w:val="Prrafodelista"/>
    <w:uiPriority w:val="34"/>
    <w:locked/>
    <w:rsid w:val="0039645E"/>
    <w:rPr>
      <w:rFonts w:ascii="Calibri" w:hAnsi="Calibri" w:cs="Calibri"/>
    </w:rPr>
  </w:style>
  <w:style w:type="paragraph" w:styleId="Prrafodelista">
    <w:name w:val="List Paragraph"/>
    <w:aliases w:val="Título PDM,Párrafo de lista 2"/>
    <w:basedOn w:val="Normal"/>
    <w:link w:val="PrrafodelistaCar"/>
    <w:uiPriority w:val="34"/>
    <w:qFormat/>
    <w:rsid w:val="0039645E"/>
    <w:pPr>
      <w:ind w:left="720"/>
      <w:contextualSpacing/>
    </w:pPr>
    <w:rPr>
      <w:rFonts w:ascii="Calibri" w:eastAsiaTheme="minorHAnsi" w:hAnsi="Calibri" w:cs="Calibri"/>
      <w:sz w:val="22"/>
      <w:szCs w:val="22"/>
    </w:rPr>
  </w:style>
  <w:style w:type="paragraph" w:styleId="Descripcin">
    <w:name w:val="caption"/>
    <w:basedOn w:val="Normal"/>
    <w:next w:val="Normal"/>
    <w:uiPriority w:val="35"/>
    <w:unhideWhenUsed/>
    <w:qFormat/>
    <w:rsid w:val="0039645E"/>
    <w:pPr>
      <w:spacing w:after="200"/>
    </w:pPr>
    <w:rPr>
      <w:rFonts w:ascii="Times New Roman" w:hAnsi="Times New Roman"/>
      <w:b/>
      <w:iCs/>
      <w:sz w:val="18"/>
      <w:szCs w:val="18"/>
    </w:rPr>
  </w:style>
  <w:style w:type="character" w:styleId="Hipervnculo">
    <w:name w:val="Hyperlink"/>
    <w:basedOn w:val="Fuentedeprrafopredeter"/>
    <w:uiPriority w:val="99"/>
    <w:unhideWhenUsed/>
    <w:rsid w:val="0064618E"/>
    <w:rPr>
      <w:color w:val="0563C1" w:themeColor="hyperlink"/>
      <w:u w:val="single"/>
    </w:rPr>
  </w:style>
  <w:style w:type="character" w:styleId="Mencinsinresolver">
    <w:name w:val="Unresolved Mention"/>
    <w:basedOn w:val="Fuentedeprrafopredeter"/>
    <w:uiPriority w:val="99"/>
    <w:semiHidden/>
    <w:unhideWhenUsed/>
    <w:rsid w:val="0064618E"/>
    <w:rPr>
      <w:color w:val="605E5C"/>
      <w:shd w:val="clear" w:color="auto" w:fill="E1DFDD"/>
    </w:rPr>
  </w:style>
  <w:style w:type="table" w:styleId="Tablaconcuadrcula">
    <w:name w:val="Table Grid"/>
    <w:basedOn w:val="Tablanormal"/>
    <w:uiPriority w:val="39"/>
    <w:rsid w:val="00EF7D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0822C0"/>
    <w:rPr>
      <w:sz w:val="16"/>
      <w:szCs w:val="16"/>
    </w:rPr>
  </w:style>
  <w:style w:type="paragraph" w:styleId="Textocomentario">
    <w:name w:val="annotation text"/>
    <w:basedOn w:val="Normal"/>
    <w:link w:val="TextocomentarioCar"/>
    <w:uiPriority w:val="99"/>
    <w:semiHidden/>
    <w:unhideWhenUsed/>
    <w:rsid w:val="000822C0"/>
    <w:rPr>
      <w:sz w:val="20"/>
      <w:szCs w:val="20"/>
    </w:rPr>
  </w:style>
  <w:style w:type="character" w:customStyle="1" w:styleId="TextocomentarioCar">
    <w:name w:val="Texto comentario Car"/>
    <w:basedOn w:val="Fuentedeprrafopredeter"/>
    <w:link w:val="Textocomentario"/>
    <w:uiPriority w:val="99"/>
    <w:semiHidden/>
    <w:rsid w:val="000822C0"/>
    <w:rPr>
      <w:rFonts w:eastAsiaTheme="minorEastAsia"/>
      <w:sz w:val="20"/>
      <w:szCs w:val="20"/>
    </w:rPr>
  </w:style>
  <w:style w:type="paragraph" w:styleId="Asuntodelcomentario">
    <w:name w:val="annotation subject"/>
    <w:basedOn w:val="Textocomentario"/>
    <w:next w:val="Textocomentario"/>
    <w:link w:val="AsuntodelcomentarioCar"/>
    <w:uiPriority w:val="99"/>
    <w:semiHidden/>
    <w:unhideWhenUsed/>
    <w:rsid w:val="000822C0"/>
    <w:rPr>
      <w:b/>
      <w:bCs/>
    </w:rPr>
  </w:style>
  <w:style w:type="character" w:customStyle="1" w:styleId="AsuntodelcomentarioCar">
    <w:name w:val="Asunto del comentario Car"/>
    <w:basedOn w:val="TextocomentarioCar"/>
    <w:link w:val="Asuntodelcomentario"/>
    <w:uiPriority w:val="99"/>
    <w:semiHidden/>
    <w:rsid w:val="000822C0"/>
    <w:rPr>
      <w:rFonts w:eastAsiaTheme="minorEastAsia"/>
      <w:b/>
      <w:bCs/>
      <w:sz w:val="20"/>
      <w:szCs w:val="20"/>
    </w:rPr>
  </w:style>
  <w:style w:type="table" w:customStyle="1" w:styleId="Tablaconcuadrcula1">
    <w:name w:val="Tabla con cuadrícula1"/>
    <w:basedOn w:val="Tablanormal"/>
    <w:next w:val="Tablaconcuadrcula"/>
    <w:uiPriority w:val="39"/>
    <w:rsid w:val="00B60499"/>
    <w:pPr>
      <w:spacing w:after="0" w:line="240" w:lineRule="auto"/>
    </w:pPr>
    <w:rPr>
      <w:rFonts w:eastAsia="Times New Roman" w:cs="Times New Roman"/>
      <w:sz w:val="24"/>
      <w:szCs w:val="24"/>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60499"/>
    <w:pPr>
      <w:spacing w:after="0" w:line="240" w:lineRule="auto"/>
    </w:pPr>
    <w:rPr>
      <w:rFonts w:eastAsia="Times New Roman" w:cs="Times New Roman"/>
      <w:sz w:val="24"/>
      <w:szCs w:val="24"/>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22699D"/>
    <w:pPr>
      <w:spacing w:after="0" w:line="240" w:lineRule="auto"/>
    </w:pPr>
    <w:rPr>
      <w:rFonts w:eastAsia="Times New Roman" w:cs="Times New Roman"/>
      <w:sz w:val="24"/>
      <w:szCs w:val="24"/>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7B0095"/>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7B0095"/>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5404FA"/>
    <w:pPr>
      <w:spacing w:after="0" w:line="240" w:lineRule="auto"/>
    </w:pPr>
  </w:style>
  <w:style w:type="paragraph" w:styleId="Textonotapie">
    <w:name w:val="footnote text"/>
    <w:aliases w:val="Texto nota pie Car Car Car Car Car Car,Texto nota pie Car Car Car Car Car Car Car,Texto nota pie Car Car Car Car Car Car Ca"/>
    <w:basedOn w:val="Normal"/>
    <w:link w:val="TextonotapieCar"/>
    <w:uiPriority w:val="99"/>
    <w:unhideWhenUsed/>
    <w:rsid w:val="006710E8"/>
    <w:rPr>
      <w:rFonts w:ascii="Calibri" w:eastAsia="Times New Roman" w:hAnsi="Calibri" w:cs="Calibri"/>
      <w:sz w:val="20"/>
      <w:szCs w:val="20"/>
    </w:rPr>
  </w:style>
  <w:style w:type="character" w:customStyle="1" w:styleId="TextonotapieCar">
    <w:name w:val="Texto nota pie Car"/>
    <w:aliases w:val="Texto nota pie Car Car Car Car Car Car Car1,Texto nota pie Car Car Car Car Car Car Car Car,Texto nota pie Car Car Car Car Car Car Ca Car"/>
    <w:basedOn w:val="Fuentedeprrafopredeter"/>
    <w:link w:val="Textonotapie"/>
    <w:uiPriority w:val="99"/>
    <w:rsid w:val="006710E8"/>
    <w:rPr>
      <w:rFonts w:ascii="Calibri" w:eastAsia="Times New Roman" w:hAnsi="Calibri" w:cs="Calibri"/>
      <w:sz w:val="20"/>
      <w:szCs w:val="20"/>
    </w:rPr>
  </w:style>
  <w:style w:type="character" w:styleId="Refdenotaalpie">
    <w:name w:val="footnote reference"/>
    <w:basedOn w:val="Fuentedeprrafopredeter"/>
    <w:uiPriority w:val="99"/>
    <w:semiHidden/>
    <w:unhideWhenUsed/>
    <w:rsid w:val="006710E8"/>
    <w:rPr>
      <w:rFonts w:cs="Times New Roman"/>
      <w:vertAlign w:val="superscript"/>
    </w:rPr>
  </w:style>
  <w:style w:type="paragraph" w:styleId="Revisin">
    <w:name w:val="Revision"/>
    <w:hidden/>
    <w:uiPriority w:val="99"/>
    <w:semiHidden/>
    <w:rsid w:val="00975EDA"/>
    <w:pPr>
      <w:spacing w:after="0" w:line="240" w:lineRule="auto"/>
    </w:pPr>
  </w:style>
  <w:style w:type="character" w:customStyle="1" w:styleId="Ttulo1Car">
    <w:name w:val="Título 1 Car"/>
    <w:basedOn w:val="Fuentedeprrafopredeter"/>
    <w:link w:val="Ttulo1"/>
    <w:uiPriority w:val="9"/>
    <w:rsid w:val="001A4AC4"/>
    <w:rPr>
      <w:rFonts w:asciiTheme="majorHAnsi" w:eastAsiaTheme="majorEastAsia" w:hAnsiTheme="majorHAnsi" w:cs="Times New Roman"/>
      <w:color w:val="2F5496" w:themeColor="accent1" w:themeShade="BF"/>
      <w:sz w:val="32"/>
      <w:szCs w:val="32"/>
    </w:rPr>
  </w:style>
  <w:style w:type="character" w:customStyle="1" w:styleId="Ttulo2Car">
    <w:name w:val="Título 2 Car"/>
    <w:basedOn w:val="Fuentedeprrafopredeter"/>
    <w:link w:val="Ttulo2"/>
    <w:uiPriority w:val="9"/>
    <w:semiHidden/>
    <w:rsid w:val="004245AE"/>
    <w:rPr>
      <w:rFonts w:asciiTheme="majorHAnsi" w:eastAsiaTheme="majorEastAsia" w:hAnsiTheme="majorHAnsi" w:cstheme="majorBidi"/>
      <w:color w:val="2F5496" w:themeColor="accent1" w:themeShade="BF"/>
      <w:sz w:val="26"/>
      <w:szCs w:val="26"/>
    </w:rPr>
  </w:style>
  <w:style w:type="paragraph" w:styleId="Encabezado">
    <w:name w:val="header"/>
    <w:basedOn w:val="Normal"/>
    <w:link w:val="EncabezadoCar"/>
    <w:uiPriority w:val="99"/>
    <w:unhideWhenUsed/>
    <w:rsid w:val="004C2C0E"/>
    <w:pPr>
      <w:tabs>
        <w:tab w:val="center" w:pos="4419"/>
        <w:tab w:val="right" w:pos="8838"/>
      </w:tabs>
    </w:pPr>
  </w:style>
  <w:style w:type="character" w:customStyle="1" w:styleId="EncabezadoCar">
    <w:name w:val="Encabezado Car"/>
    <w:basedOn w:val="Fuentedeprrafopredeter"/>
    <w:link w:val="Encabezado"/>
    <w:uiPriority w:val="99"/>
    <w:rsid w:val="004C2C0E"/>
    <w:rPr>
      <w:rFonts w:eastAsiaTheme="minorEastAsia"/>
      <w:sz w:val="24"/>
      <w:szCs w:val="24"/>
    </w:rPr>
  </w:style>
  <w:style w:type="paragraph" w:styleId="Piedepgina">
    <w:name w:val="footer"/>
    <w:basedOn w:val="Normal"/>
    <w:link w:val="PiedepginaCar"/>
    <w:uiPriority w:val="99"/>
    <w:unhideWhenUsed/>
    <w:rsid w:val="004C2C0E"/>
    <w:pPr>
      <w:tabs>
        <w:tab w:val="center" w:pos="4419"/>
        <w:tab w:val="right" w:pos="8838"/>
      </w:tabs>
    </w:pPr>
  </w:style>
  <w:style w:type="character" w:customStyle="1" w:styleId="PiedepginaCar">
    <w:name w:val="Pie de página Car"/>
    <w:basedOn w:val="Fuentedeprrafopredeter"/>
    <w:link w:val="Piedepgina"/>
    <w:uiPriority w:val="99"/>
    <w:rsid w:val="004C2C0E"/>
    <w:rPr>
      <w:rFonts w:eastAsiaTheme="minorEastAsia"/>
      <w:sz w:val="24"/>
      <w:szCs w:val="24"/>
    </w:rPr>
  </w:style>
  <w:style w:type="paragraph" w:styleId="TtuloTDC">
    <w:name w:val="TOC Heading"/>
    <w:basedOn w:val="Ttulo1"/>
    <w:next w:val="Normal"/>
    <w:uiPriority w:val="39"/>
    <w:unhideWhenUsed/>
    <w:qFormat/>
    <w:rsid w:val="00CF4F63"/>
    <w:pPr>
      <w:spacing w:line="259" w:lineRule="auto"/>
      <w:outlineLvl w:val="9"/>
    </w:pPr>
    <w:rPr>
      <w:rFonts w:cstheme="majorBidi"/>
      <w:lang w:eastAsia="es-GT"/>
    </w:rPr>
  </w:style>
  <w:style w:type="paragraph" w:styleId="TDC1">
    <w:name w:val="toc 1"/>
    <w:basedOn w:val="Normal"/>
    <w:next w:val="Normal"/>
    <w:autoRedefine/>
    <w:uiPriority w:val="39"/>
    <w:unhideWhenUsed/>
    <w:rsid w:val="00A60AE0"/>
    <w:pPr>
      <w:tabs>
        <w:tab w:val="left" w:pos="660"/>
        <w:tab w:val="right" w:leader="dot" w:pos="8828"/>
      </w:tabs>
      <w:spacing w:after="100"/>
    </w:pPr>
  </w:style>
  <w:style w:type="paragraph" w:styleId="TDC2">
    <w:name w:val="toc 2"/>
    <w:basedOn w:val="Normal"/>
    <w:next w:val="Normal"/>
    <w:autoRedefine/>
    <w:uiPriority w:val="39"/>
    <w:unhideWhenUsed/>
    <w:rsid w:val="00A60AE0"/>
    <w:pPr>
      <w:tabs>
        <w:tab w:val="left" w:pos="880"/>
        <w:tab w:val="right" w:leader="dot" w:pos="8828"/>
      </w:tabs>
      <w:ind w:left="426"/>
    </w:pPr>
  </w:style>
  <w:style w:type="paragraph" w:styleId="TDC3">
    <w:name w:val="toc 3"/>
    <w:basedOn w:val="Normal"/>
    <w:next w:val="Normal"/>
    <w:autoRedefine/>
    <w:uiPriority w:val="39"/>
    <w:unhideWhenUsed/>
    <w:rsid w:val="00A60AE0"/>
    <w:pPr>
      <w:tabs>
        <w:tab w:val="left" w:pos="1320"/>
        <w:tab w:val="right" w:leader="dot" w:pos="8828"/>
      </w:tabs>
      <w:spacing w:after="100"/>
      <w:ind w:left="709"/>
    </w:pPr>
  </w:style>
  <w:style w:type="paragraph" w:styleId="Tabladeilustraciones">
    <w:name w:val="table of figures"/>
    <w:basedOn w:val="Normal"/>
    <w:next w:val="Normal"/>
    <w:uiPriority w:val="99"/>
    <w:unhideWhenUsed/>
    <w:rsid w:val="00CF4F63"/>
  </w:style>
  <w:style w:type="character" w:customStyle="1" w:styleId="SinespaciadoCar">
    <w:name w:val="Sin espaciado Car"/>
    <w:basedOn w:val="Fuentedeprrafopredeter"/>
    <w:link w:val="Sinespaciado"/>
    <w:uiPriority w:val="1"/>
    <w:rsid w:val="00B005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270175">
      <w:bodyDiv w:val="1"/>
      <w:marLeft w:val="0"/>
      <w:marRight w:val="0"/>
      <w:marTop w:val="0"/>
      <w:marBottom w:val="0"/>
      <w:divBdr>
        <w:top w:val="none" w:sz="0" w:space="0" w:color="auto"/>
        <w:left w:val="none" w:sz="0" w:space="0" w:color="auto"/>
        <w:bottom w:val="none" w:sz="0" w:space="0" w:color="auto"/>
        <w:right w:val="none" w:sz="0" w:space="0" w:color="auto"/>
      </w:divBdr>
    </w:div>
    <w:div w:id="895822541">
      <w:bodyDiv w:val="1"/>
      <w:marLeft w:val="0"/>
      <w:marRight w:val="0"/>
      <w:marTop w:val="0"/>
      <w:marBottom w:val="0"/>
      <w:divBdr>
        <w:top w:val="none" w:sz="0" w:space="0" w:color="auto"/>
        <w:left w:val="none" w:sz="0" w:space="0" w:color="auto"/>
        <w:bottom w:val="none" w:sz="0" w:space="0" w:color="auto"/>
        <w:right w:val="none" w:sz="0" w:space="0" w:color="auto"/>
      </w:divBdr>
    </w:div>
    <w:div w:id="1116830382">
      <w:bodyDiv w:val="1"/>
      <w:marLeft w:val="0"/>
      <w:marRight w:val="0"/>
      <w:marTop w:val="0"/>
      <w:marBottom w:val="0"/>
      <w:divBdr>
        <w:top w:val="none" w:sz="0" w:space="0" w:color="auto"/>
        <w:left w:val="none" w:sz="0" w:space="0" w:color="auto"/>
        <w:bottom w:val="none" w:sz="0" w:space="0" w:color="auto"/>
        <w:right w:val="none" w:sz="0" w:space="0" w:color="auto"/>
      </w:divBdr>
    </w:div>
    <w:div w:id="1331367671">
      <w:bodyDiv w:val="1"/>
      <w:marLeft w:val="0"/>
      <w:marRight w:val="0"/>
      <w:marTop w:val="0"/>
      <w:marBottom w:val="0"/>
      <w:divBdr>
        <w:top w:val="none" w:sz="0" w:space="0" w:color="auto"/>
        <w:left w:val="none" w:sz="0" w:space="0" w:color="auto"/>
        <w:bottom w:val="none" w:sz="0" w:space="0" w:color="auto"/>
        <w:right w:val="none" w:sz="0" w:space="0" w:color="auto"/>
      </w:divBdr>
    </w:div>
    <w:div w:id="1346051920">
      <w:bodyDiv w:val="1"/>
      <w:marLeft w:val="0"/>
      <w:marRight w:val="0"/>
      <w:marTop w:val="0"/>
      <w:marBottom w:val="0"/>
      <w:divBdr>
        <w:top w:val="none" w:sz="0" w:space="0" w:color="auto"/>
        <w:left w:val="none" w:sz="0" w:space="0" w:color="auto"/>
        <w:bottom w:val="none" w:sz="0" w:space="0" w:color="auto"/>
        <w:right w:val="none" w:sz="0" w:space="0" w:color="auto"/>
      </w:divBdr>
    </w:div>
    <w:div w:id="1717503590">
      <w:bodyDiv w:val="1"/>
      <w:marLeft w:val="0"/>
      <w:marRight w:val="0"/>
      <w:marTop w:val="0"/>
      <w:marBottom w:val="0"/>
      <w:divBdr>
        <w:top w:val="none" w:sz="0" w:space="0" w:color="auto"/>
        <w:left w:val="none" w:sz="0" w:space="0" w:color="auto"/>
        <w:bottom w:val="none" w:sz="0" w:space="0" w:color="auto"/>
        <w:right w:val="none" w:sz="0" w:space="0" w:color="auto"/>
      </w:divBdr>
    </w:div>
    <w:div w:id="205750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21" Type="http://schemas.openxmlformats.org/officeDocument/2006/relationships/chart" Target="charts/chart5.xml"/><Relationship Id="rId42" Type="http://schemas.openxmlformats.org/officeDocument/2006/relationships/image" Target="media/image11.png"/><Relationship Id="rId47" Type="http://schemas.openxmlformats.org/officeDocument/2006/relationships/diagramColors" Target="diagrams/colors2.xml"/><Relationship Id="rId63" Type="http://schemas.openxmlformats.org/officeDocument/2006/relationships/diagramColors" Target="diagrams/colors3.xml"/><Relationship Id="rId68" Type="http://schemas.openxmlformats.org/officeDocument/2006/relationships/image" Target="media/image13.jpg"/><Relationship Id="rId16" Type="http://schemas.openxmlformats.org/officeDocument/2006/relationships/image" Target="media/image5.png"/><Relationship Id="rId11" Type="http://schemas.openxmlformats.org/officeDocument/2006/relationships/hyperlink" Target="file:///C:\Users\edeleon\Desktop\Informe%20de%20Desempe&#241;o%202023%20y%20Perspectivas%202024%20%20(010324)%20publicar%20sdl.docx" TargetMode="External"/><Relationship Id="rId24" Type="http://schemas.openxmlformats.org/officeDocument/2006/relationships/chart" Target="charts/chart8.xml"/><Relationship Id="rId32" Type="http://schemas.openxmlformats.org/officeDocument/2006/relationships/diagramData" Target="diagrams/data1.xml"/><Relationship Id="rId37" Type="http://schemas.openxmlformats.org/officeDocument/2006/relationships/diagramData" Target="diagrams/data2.xml"/><Relationship Id="rId40" Type="http://schemas.openxmlformats.org/officeDocument/2006/relationships/chart" Target="charts/chart15.xml"/><Relationship Id="rId45" Type="http://schemas.openxmlformats.org/officeDocument/2006/relationships/diagramLayout" Target="diagrams/layout2.xml"/><Relationship Id="rId53" Type="http://schemas.openxmlformats.org/officeDocument/2006/relationships/chart" Target="charts/chart21.xml"/><Relationship Id="rId58" Type="http://schemas.openxmlformats.org/officeDocument/2006/relationships/chart" Target="charts/chart26.xml"/><Relationship Id="rId66" Type="http://schemas.openxmlformats.org/officeDocument/2006/relationships/chart" Target="charts/chart29.xml"/><Relationship Id="rId74" Type="http://schemas.openxmlformats.org/officeDocument/2006/relationships/chart" Target="charts/chart34.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diagramLayout" Target="diagrams/layout3.xml"/><Relationship Id="rId19" Type="http://schemas.openxmlformats.org/officeDocument/2006/relationships/chart" Target="charts/chart3.xml"/><Relationship Id="rId14" Type="http://schemas.openxmlformats.org/officeDocument/2006/relationships/footer" Target="footer1.xml"/><Relationship Id="rId22" Type="http://schemas.openxmlformats.org/officeDocument/2006/relationships/chart" Target="charts/chart6.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diagramColors" Target="diagrams/colors1.xml"/><Relationship Id="rId43" Type="http://schemas.openxmlformats.org/officeDocument/2006/relationships/image" Target="media/image12.png"/><Relationship Id="rId48" Type="http://schemas.microsoft.com/office/2007/relationships/diagramDrawing" Target="diagrams/drawing2.xml"/><Relationship Id="rId56" Type="http://schemas.openxmlformats.org/officeDocument/2006/relationships/chart" Target="charts/chart24.xml"/><Relationship Id="rId64" Type="http://schemas.microsoft.com/office/2007/relationships/diagramDrawing" Target="diagrams/drawing3.xml"/><Relationship Id="rId69" Type="http://schemas.openxmlformats.org/officeDocument/2006/relationships/image" Target="media/image14.jpg"/><Relationship Id="rId77"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chart" Target="charts/chart19.xml"/><Relationship Id="rId72" Type="http://schemas.openxmlformats.org/officeDocument/2006/relationships/chart" Target="charts/chart32.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chart" Target="charts/chart1.xml"/><Relationship Id="rId25" Type="http://schemas.openxmlformats.org/officeDocument/2006/relationships/image" Target="media/image6.png"/><Relationship Id="rId33" Type="http://schemas.openxmlformats.org/officeDocument/2006/relationships/diagramLayout" Target="diagrams/layout1.xml"/><Relationship Id="rId38" Type="http://schemas.openxmlformats.org/officeDocument/2006/relationships/chart" Target="charts/chart14.xml"/><Relationship Id="rId46" Type="http://schemas.openxmlformats.org/officeDocument/2006/relationships/diagramQuickStyle" Target="diagrams/quickStyle2.xml"/><Relationship Id="rId59" Type="http://schemas.openxmlformats.org/officeDocument/2006/relationships/chart" Target="charts/chart27.xml"/><Relationship Id="rId67" Type="http://schemas.openxmlformats.org/officeDocument/2006/relationships/chart" Target="charts/chart30.xml"/><Relationship Id="rId20" Type="http://schemas.openxmlformats.org/officeDocument/2006/relationships/chart" Target="charts/chart4.xml"/><Relationship Id="rId41" Type="http://schemas.openxmlformats.org/officeDocument/2006/relationships/chart" Target="charts/chart16.xml"/><Relationship Id="rId54" Type="http://schemas.openxmlformats.org/officeDocument/2006/relationships/chart" Target="charts/chart22.xml"/><Relationship Id="rId62" Type="http://schemas.openxmlformats.org/officeDocument/2006/relationships/diagramQuickStyle" Target="diagrams/quickStyle3.xml"/><Relationship Id="rId70" Type="http://schemas.openxmlformats.org/officeDocument/2006/relationships/image" Target="media/image15.jpg"/><Relationship Id="rId75" Type="http://schemas.openxmlformats.org/officeDocument/2006/relationships/chart" Target="charts/chart3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chart" Target="charts/chart7.xml"/><Relationship Id="rId28" Type="http://schemas.openxmlformats.org/officeDocument/2006/relationships/chart" Target="charts/chart11.xml"/><Relationship Id="rId36" Type="http://schemas.microsoft.com/office/2007/relationships/diagramDrawing" Target="diagrams/drawing1.xml"/><Relationship Id="rId49" Type="http://schemas.openxmlformats.org/officeDocument/2006/relationships/chart" Target="charts/chart17.xml"/><Relationship Id="rId57" Type="http://schemas.openxmlformats.org/officeDocument/2006/relationships/chart" Target="charts/chart25.xml"/><Relationship Id="rId10" Type="http://schemas.openxmlformats.org/officeDocument/2006/relationships/image" Target="media/image2.jpeg"/><Relationship Id="rId31" Type="http://schemas.openxmlformats.org/officeDocument/2006/relationships/image" Target="media/image7.emf"/><Relationship Id="rId44" Type="http://schemas.openxmlformats.org/officeDocument/2006/relationships/diagramData" Target="diagrams/data3.xml"/><Relationship Id="rId52" Type="http://schemas.openxmlformats.org/officeDocument/2006/relationships/chart" Target="charts/chart20.xml"/><Relationship Id="rId60" Type="http://schemas.openxmlformats.org/officeDocument/2006/relationships/diagramData" Target="diagrams/data4.xml"/><Relationship Id="rId65" Type="http://schemas.openxmlformats.org/officeDocument/2006/relationships/chart" Target="charts/chart28.xml"/><Relationship Id="rId73" Type="http://schemas.openxmlformats.org/officeDocument/2006/relationships/chart" Target="charts/chart33.xml"/><Relationship Id="rId78"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chart" Target="charts/chart2.xml"/><Relationship Id="rId39" Type="http://schemas.openxmlformats.org/officeDocument/2006/relationships/image" Target="media/image10.emf"/><Relationship Id="rId34" Type="http://schemas.openxmlformats.org/officeDocument/2006/relationships/diagramQuickStyle" Target="diagrams/quickStyle1.xml"/><Relationship Id="rId50" Type="http://schemas.openxmlformats.org/officeDocument/2006/relationships/chart" Target="charts/chart18.xml"/><Relationship Id="rId55" Type="http://schemas.openxmlformats.org/officeDocument/2006/relationships/chart" Target="charts/chart23.xml"/><Relationship Id="rId76" Type="http://schemas.openxmlformats.org/officeDocument/2006/relationships/chart" Target="charts/chart36.xml"/><Relationship Id="rId7" Type="http://schemas.openxmlformats.org/officeDocument/2006/relationships/endnotes" Target="endnotes.xml"/><Relationship Id="rId71" Type="http://schemas.openxmlformats.org/officeDocument/2006/relationships/chart" Target="charts/chart31.xml"/><Relationship Id="rId2" Type="http://schemas.openxmlformats.org/officeDocument/2006/relationships/numbering" Target="numbering.xml"/><Relationship Id="rId29" Type="http://schemas.openxmlformats.org/officeDocument/2006/relationships/chart" Target="charts/chart12.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edeleon\Desktop\isr%202008%20202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3.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6.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5.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6.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0.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1.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edeleon\Desktop\isr%202008%202024.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7.xml"/><Relationship Id="rId1" Type="http://schemas.microsoft.com/office/2011/relationships/chartStyle" Target="style17.xml"/><Relationship Id="rId5" Type="http://schemas.openxmlformats.org/officeDocument/2006/relationships/chartUserShapes" Target="../drawings/drawing2.xml"/><Relationship Id="rId4" Type="http://schemas.openxmlformats.org/officeDocument/2006/relationships/package" Target="../embeddings/Microsoft_Excel_Worksheet13.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4.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5.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6.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17.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Libro1" TargetMode="External"/></Relationships>
</file>

<file path=word/charts/_rels/chart26.xml.rels><?xml version="1.0" encoding="UTF-8" standalone="yes"?>
<Relationships xmlns="http://schemas.openxmlformats.org/package/2006/relationships"><Relationship Id="rId2" Type="http://schemas.openxmlformats.org/officeDocument/2006/relationships/oleObject" Target="file:///C:\Users\psantizo\AppData\Local\Microsoft\Windows\INetCache\Content.Outlook\4CRZN17L\grafs1.xlsx" TargetMode="External"/><Relationship Id="rId1" Type="http://schemas.openxmlformats.org/officeDocument/2006/relationships/themeOverride" Target="../theme/themeOverride16.xm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18.xlsx"/></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4.xml"/><Relationship Id="rId1" Type="http://schemas.microsoft.com/office/2011/relationships/chartStyle" Target="style24.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8.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C:\Users\halegre\Documents\Heberto\MINFIN\2024\desempe&#241;o\RWTC.csv"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6.xml"/><Relationship Id="rId1" Type="http://schemas.microsoft.com/office/2011/relationships/chartStyle" Target="style26.xml"/><Relationship Id="rId5" Type="http://schemas.openxmlformats.org/officeDocument/2006/relationships/chartUserShapes" Target="../drawings/drawing3.xml"/><Relationship Id="rId4" Type="http://schemas.openxmlformats.org/officeDocument/2006/relationships/oleObject" Target="file:///D:\Documentos%202022\&#205;ndice%20mensuales\Copia%20de%20Dashboard.xlsx" TargetMode="Externa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C:\Users\psantizo\AppData\Local\Microsoft\Windows\INetCache\Content.Outlook\4CRZN17L\grafs2.xlsx"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C:\Users\psantizo\AppData\Local\Microsoft\Windows\INetCache\Content.Outlook\4CRZN17L\grafs2.xlsx" TargetMode="Externa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4.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5.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edeleon\Desktop\isr%202008%20202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edeleon\Desktop\isr%202008%20202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edeleon\Desktop\isr%202008%20202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edeleon\Desktop\isr%202008%20202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40029667958991"/>
          <c:y val="3.2661574541119127E-2"/>
          <c:w val="0.85430127308852744"/>
          <c:h val="0.83466505954642523"/>
        </c:manualLayout>
      </c:layout>
      <c:lineChart>
        <c:grouping val="standard"/>
        <c:varyColors val="0"/>
        <c:ser>
          <c:idx val="0"/>
          <c:order val="0"/>
          <c:spPr>
            <a:ln w="12700" cap="rnd">
              <a:solidFill>
                <a:schemeClr val="accent1"/>
              </a:solidFill>
              <a:round/>
            </a:ln>
            <a:effectLst/>
          </c:spPr>
          <c:marker>
            <c:symbol val="square"/>
            <c:size val="3"/>
            <c:spPr>
              <a:solidFill>
                <a:schemeClr val="accent1"/>
              </a:solidFill>
              <a:ln w="6350">
                <a:solidFill>
                  <a:schemeClr val="accent1"/>
                </a:solidFill>
              </a:ln>
              <a:effectLst/>
            </c:spPr>
          </c:marker>
          <c:dLbls>
            <c:dLbl>
              <c:idx val="0"/>
              <c:layout>
                <c:manualLayout>
                  <c:x val="-4.1666666666666692E-2"/>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53D-4323-B375-6194837DDD9B}"/>
                </c:ext>
              </c:extLst>
            </c:dLbl>
            <c:dLbl>
              <c:idx val="1"/>
              <c:layout>
                <c:manualLayout>
                  <c:x val="-2.5000000000000026E-2"/>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3D-4323-B375-6194837DDD9B}"/>
                </c:ext>
              </c:extLst>
            </c:dLbl>
            <c:dLbl>
              <c:idx val="3"/>
              <c:layout>
                <c:manualLayout>
                  <c:x val="-7.4999999999999997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53D-4323-B375-6194837DDD9B}"/>
                </c:ext>
              </c:extLst>
            </c:dLbl>
            <c:dLbl>
              <c:idx val="4"/>
              <c:layout>
                <c:manualLayout>
                  <c:x val="-5.5555555555555558E-3"/>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3D-4323-B375-6194837DDD9B}"/>
                </c:ext>
              </c:extLst>
            </c:dLbl>
            <c:dLbl>
              <c:idx val="5"/>
              <c:layout>
                <c:manualLayout>
                  <c:x val="-2.2222222222222223E-2"/>
                  <c:y val="4.16666666666665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53D-4323-B375-6194837DDD9B}"/>
                </c:ext>
              </c:extLst>
            </c:dLbl>
            <c:dLbl>
              <c:idx val="6"/>
              <c:layout>
                <c:manualLayout>
                  <c:x val="-4.1666666666666768E-2"/>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53D-4323-B375-6194837DDD9B}"/>
                </c:ext>
              </c:extLst>
            </c:dLbl>
            <c:dLbl>
              <c:idx val="8"/>
              <c:layout>
                <c:manualLayout>
                  <c:x val="-0.16521838483913082"/>
                  <c:y val="2.66222961730449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53D-4323-B375-6194837DDD9B}"/>
                </c:ext>
              </c:extLst>
            </c:dLbl>
            <c:dLbl>
              <c:idx val="9"/>
              <c:layout>
                <c:manualLayout>
                  <c:x val="-2.2453145152232443E-2"/>
                  <c:y val="-7.34964036317424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53D-4323-B375-6194837DDD9B}"/>
                </c:ext>
              </c:extLst>
            </c:dLbl>
            <c:dLbl>
              <c:idx val="10"/>
              <c:layout>
                <c:manualLayout>
                  <c:x val="0"/>
                  <c:y val="4.32276657060518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53D-4323-B375-6194837DDD9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Hoja1!$A$9:$A$19</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Hoja1!$D$9:$D$19</c:f>
              <c:numCache>
                <c:formatCode>0.0%</c:formatCode>
                <c:ptCount val="11"/>
                <c:pt idx="0">
                  <c:v>0.19733054809635653</c:v>
                </c:pt>
                <c:pt idx="1">
                  <c:v>3.4649666695335757E-2</c:v>
                </c:pt>
                <c:pt idx="2">
                  <c:v>-5.3376047881755206E-2</c:v>
                </c:pt>
                <c:pt idx="3">
                  <c:v>6.5964565568410016E-2</c:v>
                </c:pt>
                <c:pt idx="4">
                  <c:v>5.9696766718702943E-2</c:v>
                </c:pt>
                <c:pt idx="5">
                  <c:v>-1.8856287759967727E-2</c:v>
                </c:pt>
                <c:pt idx="6">
                  <c:v>4.8923530806319837E-2</c:v>
                </c:pt>
                <c:pt idx="7">
                  <c:v>-5.058164865580661E-2</c:v>
                </c:pt>
                <c:pt idx="8">
                  <c:v>0.35196034992891057</c:v>
                </c:pt>
                <c:pt idx="9">
                  <c:v>0.18021416674856416</c:v>
                </c:pt>
                <c:pt idx="10">
                  <c:v>0.13139350751744394</c:v>
                </c:pt>
              </c:numCache>
            </c:numRef>
          </c:val>
          <c:smooth val="1"/>
          <c:extLst>
            <c:ext xmlns:c16="http://schemas.microsoft.com/office/drawing/2014/chart" uri="{C3380CC4-5D6E-409C-BE32-E72D297353CC}">
              <c16:uniqueId val="{00000009-D53D-4323-B375-6194837DDD9B}"/>
            </c:ext>
          </c:extLst>
        </c:ser>
        <c:dLbls>
          <c:showLegendKey val="0"/>
          <c:showVal val="0"/>
          <c:showCatName val="0"/>
          <c:showSerName val="0"/>
          <c:showPercent val="0"/>
          <c:showBubbleSize val="0"/>
        </c:dLbls>
        <c:marker val="1"/>
        <c:smooth val="0"/>
        <c:axId val="34511040"/>
        <c:axId val="34508960"/>
      </c:lineChart>
      <c:catAx>
        <c:axId val="3451104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4508960"/>
        <c:crosses val="autoZero"/>
        <c:auto val="1"/>
        <c:lblAlgn val="ctr"/>
        <c:lblOffset val="100"/>
        <c:noMultiLvlLbl val="0"/>
      </c:catAx>
      <c:valAx>
        <c:axId val="34508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45110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930824838341236"/>
          <c:y val="0"/>
          <c:w val="0.71769559864080124"/>
          <c:h val="0.93305279690877119"/>
        </c:manualLayout>
      </c:layout>
      <c:barChart>
        <c:barDir val="bar"/>
        <c:grouping val="clustered"/>
        <c:varyColors val="0"/>
        <c:ser>
          <c:idx val="0"/>
          <c:order val="0"/>
          <c:tx>
            <c:strRef>
              <c:f>Sheet1!$B$1</c:f>
              <c:strCache>
                <c:ptCount val="1"/>
                <c:pt idx="0">
                  <c:v>2022</c:v>
                </c:pt>
              </c:strCache>
            </c:strRef>
          </c:tx>
          <c:spPr>
            <a:solidFill>
              <a:srgbClr val="FFC000"/>
            </a:solidFill>
            <a:ln>
              <a:solidFill>
                <a:sysClr val="windowText" lastClr="000000"/>
              </a:solidFill>
            </a:ln>
            <a:effectLst/>
          </c:spPr>
          <c:invertIfNegative val="0"/>
          <c:dLbls>
            <c:dLbl>
              <c:idx val="2"/>
              <c:layout>
                <c:manualLayout>
                  <c:x val="-4.5274476513865264E-2"/>
                  <c:y val="5.6719022687609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4BC-4A77-8EC7-D494B90A69D1}"/>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Bienes y servicios </c:v>
                </c:pt>
                <c:pt idx="1">
                  <c:v>Inversión Real Directa </c:v>
                </c:pt>
                <c:pt idx="2">
                  <c:v>Trans. Corrientes</c:v>
                </c:pt>
                <c:pt idx="3">
                  <c:v>Prestaciones a la S.S</c:v>
                </c:pt>
                <c:pt idx="4">
                  <c:v>Intereses </c:v>
                </c:pt>
                <c:pt idx="5">
                  <c:v>Trans. De Capital</c:v>
                </c:pt>
                <c:pt idx="6">
                  <c:v>Remuneraciones </c:v>
                </c:pt>
              </c:strCache>
            </c:strRef>
          </c:cat>
          <c:val>
            <c:numRef>
              <c:f>Sheet1!$B$2:$B$8</c:f>
              <c:numCache>
                <c:formatCode>#,##0.0</c:formatCode>
                <c:ptCount val="7"/>
                <c:pt idx="0">
                  <c:v>3875.9207500800039</c:v>
                </c:pt>
                <c:pt idx="1">
                  <c:v>888.25381561999939</c:v>
                </c:pt>
                <c:pt idx="2">
                  <c:v>6579.3687616600037</c:v>
                </c:pt>
                <c:pt idx="3">
                  <c:v>415.74622973000078</c:v>
                </c:pt>
                <c:pt idx="4">
                  <c:v>726.37922564999826</c:v>
                </c:pt>
                <c:pt idx="5">
                  <c:v>1975.2340180499978</c:v>
                </c:pt>
                <c:pt idx="6">
                  <c:v>1313.7182690200025</c:v>
                </c:pt>
              </c:numCache>
            </c:numRef>
          </c:val>
          <c:extLst>
            <c:ext xmlns:c16="http://schemas.microsoft.com/office/drawing/2014/chart" uri="{C3380CC4-5D6E-409C-BE32-E72D297353CC}">
              <c16:uniqueId val="{00000001-0925-4DA3-90A9-FD6BD1D08349}"/>
            </c:ext>
          </c:extLst>
        </c:ser>
        <c:ser>
          <c:idx val="1"/>
          <c:order val="1"/>
          <c:tx>
            <c:strRef>
              <c:f>Sheet1!$C$1</c:f>
              <c:strCache>
                <c:ptCount val="1"/>
                <c:pt idx="0">
                  <c:v>2023</c:v>
                </c:pt>
              </c:strCache>
            </c:strRef>
          </c:tx>
          <c:spPr>
            <a:solidFill>
              <a:srgbClr val="5B9BD5">
                <a:lumMod val="75000"/>
              </a:srgbClr>
            </a:solidFill>
            <a:ln>
              <a:solidFill>
                <a:sysClr val="windowText" lastClr="000000"/>
              </a:solidFill>
            </a:ln>
            <a:effectLst/>
          </c:spPr>
          <c:invertIfNegative val="0"/>
          <c:dLbls>
            <c:dLbl>
              <c:idx val="0"/>
              <c:layout>
                <c:manualLayout>
                  <c:x val="-6.1120543293718167E-2"/>
                  <c:y val="-6.10820244328097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A97-4BD8-A925-0591C0EBFDAE}"/>
                </c:ext>
              </c:extLst>
            </c:dLbl>
            <c:dLbl>
              <c:idx val="2"/>
              <c:layout>
                <c:manualLayout>
                  <c:x val="-1.131477709889115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BC-4A77-8EC7-D494B90A69D1}"/>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Bienes y servicios </c:v>
                </c:pt>
                <c:pt idx="1">
                  <c:v>Inversión Real Directa </c:v>
                </c:pt>
                <c:pt idx="2">
                  <c:v>Trans. Corrientes</c:v>
                </c:pt>
                <c:pt idx="3">
                  <c:v>Prestaciones a la S.S</c:v>
                </c:pt>
                <c:pt idx="4">
                  <c:v>Intereses </c:v>
                </c:pt>
                <c:pt idx="5">
                  <c:v>Trans. De Capital</c:v>
                </c:pt>
                <c:pt idx="6">
                  <c:v>Remuneraciones </c:v>
                </c:pt>
              </c:strCache>
            </c:strRef>
          </c:cat>
          <c:val>
            <c:numRef>
              <c:f>Sheet1!$C$2:$C$8</c:f>
              <c:numCache>
                <c:formatCode>#,##0.0</c:formatCode>
                <c:ptCount val="7"/>
                <c:pt idx="0">
                  <c:v>-1175.5652830500039</c:v>
                </c:pt>
                <c:pt idx="1">
                  <c:v>383.78377128000011</c:v>
                </c:pt>
                <c:pt idx="2">
                  <c:v>524.77497769999536</c:v>
                </c:pt>
                <c:pt idx="3">
                  <c:v>1042.1134385799996</c:v>
                </c:pt>
                <c:pt idx="4">
                  <c:v>1074.4098738700031</c:v>
                </c:pt>
                <c:pt idx="5">
                  <c:v>1861.5171252700038</c:v>
                </c:pt>
                <c:pt idx="6">
                  <c:v>2566.5114201899996</c:v>
                </c:pt>
              </c:numCache>
            </c:numRef>
          </c:val>
          <c:extLst>
            <c:ext xmlns:c16="http://schemas.microsoft.com/office/drawing/2014/chart" uri="{C3380CC4-5D6E-409C-BE32-E72D297353CC}">
              <c16:uniqueId val="{00000004-0925-4DA3-90A9-FD6BD1D08349}"/>
            </c:ext>
          </c:extLst>
        </c:ser>
        <c:dLbls>
          <c:showLegendKey val="0"/>
          <c:showVal val="0"/>
          <c:showCatName val="0"/>
          <c:showSerName val="0"/>
          <c:showPercent val="0"/>
          <c:showBubbleSize val="0"/>
        </c:dLbls>
        <c:gapWidth val="62"/>
        <c:axId val="168376192"/>
        <c:axId val="168377728"/>
      </c:barChart>
      <c:catAx>
        <c:axId val="168376192"/>
        <c:scaling>
          <c:orientation val="minMax"/>
        </c:scaling>
        <c:delete val="0"/>
        <c:axPos val="l"/>
        <c:numFmt formatCode="General" sourceLinked="1"/>
        <c:majorTickMark val="none"/>
        <c:minorTickMark val="none"/>
        <c:tickLblPos val="low"/>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800" b="1"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GT"/>
          </a:p>
        </c:txPr>
        <c:crossAx val="168377728"/>
        <c:crosses val="autoZero"/>
        <c:auto val="1"/>
        <c:lblAlgn val="ctr"/>
        <c:lblOffset val="100"/>
        <c:noMultiLvlLbl val="0"/>
      </c:catAx>
      <c:valAx>
        <c:axId val="168377728"/>
        <c:scaling>
          <c:orientation val="minMax"/>
          <c:max val="7500"/>
          <c:min val="-150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68376192"/>
        <c:crosses val="autoZero"/>
        <c:crossBetween val="between"/>
        <c:majorUnit val="3000"/>
      </c:valAx>
      <c:spPr>
        <a:pattFill prst="lgGrid">
          <a:fgClr>
            <a:schemeClr val="bg1">
              <a:lumMod val="85000"/>
            </a:schemeClr>
          </a:fgClr>
          <a:bgClr>
            <a:schemeClr val="bg1"/>
          </a:bgClr>
        </a:pattFill>
        <a:ln>
          <a:noFill/>
        </a:ln>
        <a:effectLst/>
      </c:spPr>
    </c:plotArea>
    <c:legend>
      <c:legendPos val="b"/>
      <c:layout>
        <c:manualLayout>
          <c:xMode val="edge"/>
          <c:yMode val="edge"/>
          <c:x val="0.74722378134505085"/>
          <c:y val="0.36776574803149598"/>
          <c:w val="0.1709337860780985"/>
          <c:h val="7.6390663863352165E-2"/>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Absoluta</c:v>
                </c:pt>
              </c:strCache>
            </c:strRef>
          </c:tx>
          <c:spPr>
            <a:solidFill>
              <a:schemeClr val="accent1"/>
            </a:solidFill>
            <a:ln w="22225">
              <a:solidFill>
                <a:schemeClr val="accent1">
                  <a:lumMod val="50000"/>
                </a:schemeClr>
              </a:solidFill>
            </a:ln>
            <a:effectLst/>
          </c:spPr>
          <c:invertIfNegative val="0"/>
          <c:dLbls>
            <c:dLbl>
              <c:idx val="4"/>
              <c:layout>
                <c:manualLayout>
                  <c:x val="-1.6975112544026657E-16"/>
                  <c:y val="0.2043510950679858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DE7-4CE7-9A4D-44AA0A2EA782}"/>
                </c:ext>
              </c:extLst>
            </c:dLbl>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Gobernación</c:v>
                </c:pt>
                <c:pt idx="1">
                  <c:v>Cultura y Deportes</c:v>
                </c:pt>
                <c:pt idx="2">
                  <c:v>Trabajo y Previsión Social</c:v>
                </c:pt>
                <c:pt idx="3">
                  <c:v>Economía</c:v>
                </c:pt>
                <c:pt idx="4">
                  <c:v>Comunicaciones</c:v>
                </c:pt>
              </c:strCache>
            </c:strRef>
          </c:cat>
          <c:val>
            <c:numRef>
              <c:f>Hoja1!$B$2:$B$6</c:f>
              <c:numCache>
                <c:formatCode>0.0</c:formatCode>
                <c:ptCount val="5"/>
                <c:pt idx="0">
                  <c:v>28.73</c:v>
                </c:pt>
                <c:pt idx="1">
                  <c:v>16.670000000000002</c:v>
                </c:pt>
                <c:pt idx="2">
                  <c:v>11.07</c:v>
                </c:pt>
                <c:pt idx="3">
                  <c:v>9.1300000000000097</c:v>
                </c:pt>
                <c:pt idx="4">
                  <c:v>8.8999999999999773</c:v>
                </c:pt>
              </c:numCache>
            </c:numRef>
          </c:val>
          <c:extLst>
            <c:ext xmlns:c16="http://schemas.microsoft.com/office/drawing/2014/chart" uri="{C3380CC4-5D6E-409C-BE32-E72D297353CC}">
              <c16:uniqueId val="{00000000-4DE7-4CE7-9A4D-44AA0A2EA782}"/>
            </c:ext>
          </c:extLst>
        </c:ser>
        <c:dLbls>
          <c:showLegendKey val="0"/>
          <c:showVal val="0"/>
          <c:showCatName val="0"/>
          <c:showSerName val="0"/>
          <c:showPercent val="0"/>
          <c:showBubbleSize val="0"/>
        </c:dLbls>
        <c:gapWidth val="81"/>
        <c:axId val="977627232"/>
        <c:axId val="977628064"/>
      </c:barChart>
      <c:lineChart>
        <c:grouping val="standard"/>
        <c:varyColors val="0"/>
        <c:ser>
          <c:idx val="1"/>
          <c:order val="1"/>
          <c:tx>
            <c:strRef>
              <c:f>Hoja1!$C$1</c:f>
              <c:strCache>
                <c:ptCount val="1"/>
                <c:pt idx="0">
                  <c:v>Relativa</c:v>
                </c:pt>
              </c:strCache>
            </c:strRef>
          </c:tx>
          <c:spPr>
            <a:ln w="28575" cap="rnd">
              <a:noFill/>
              <a:round/>
            </a:ln>
            <a:effectLst/>
          </c:spPr>
          <c:marker>
            <c:symbol val="dash"/>
            <c:size val="20"/>
            <c:spPr>
              <a:solidFill>
                <a:srgbClr val="FFC000"/>
              </a:solidFill>
              <a:ln w="3175">
                <a:solidFill>
                  <a:schemeClr val="tx1"/>
                </a:solidFill>
              </a:ln>
              <a:effectLst/>
            </c:spPr>
          </c:marker>
          <c:dLbls>
            <c:dLbl>
              <c:idx val="0"/>
              <c:layout>
                <c:manualLayout>
                  <c:x val="-5.6996573344998538E-2"/>
                  <c:y val="-4.2351356911739975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4">
                          <a:lumMod val="50000"/>
                        </a:schemeClr>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DE7-4CE7-9A4D-44AA0A2EA782}"/>
                </c:ext>
              </c:extLst>
            </c:dLbl>
            <c:dLbl>
              <c:idx val="1"/>
              <c:layout>
                <c:manualLayout>
                  <c:x val="-5.9311388159813357E-2"/>
                  <c:y val="-3.8382927787233248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4">
                          <a:lumMod val="50000"/>
                        </a:schemeClr>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DE7-4CE7-9A4D-44AA0A2EA782}"/>
                </c:ext>
              </c:extLst>
            </c:dLbl>
            <c:dLbl>
              <c:idx val="2"/>
              <c:layout>
                <c:manualLayout>
                  <c:x val="-6.1626202974628258E-2"/>
                  <c:y val="-3.8382927787233255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4">
                          <a:lumMod val="50000"/>
                        </a:schemeClr>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DE7-4CE7-9A4D-44AA0A2EA782}"/>
                </c:ext>
              </c:extLst>
            </c:dLbl>
            <c:dLbl>
              <c:idx val="3"/>
              <c:layout>
                <c:manualLayout>
                  <c:x val="-5.931138815981344E-2"/>
                  <c:y val="-4.2351356911739954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4">
                          <a:lumMod val="50000"/>
                        </a:schemeClr>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DE7-4CE7-9A4D-44AA0A2EA782}"/>
                </c:ext>
              </c:extLst>
            </c:dLbl>
            <c:dLbl>
              <c:idx val="4"/>
              <c:layout>
                <c:manualLayout>
                  <c:x val="-5.873268445610965E-2"/>
                  <c:y val="-4.2351268591426072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DE7-4CE7-9A4D-44AA0A2EA78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Gobernación</c:v>
                </c:pt>
                <c:pt idx="1">
                  <c:v>Cultura y Deportes</c:v>
                </c:pt>
                <c:pt idx="2">
                  <c:v>Trabajo y Previsión Social</c:v>
                </c:pt>
                <c:pt idx="3">
                  <c:v>Economía</c:v>
                </c:pt>
                <c:pt idx="4">
                  <c:v>Comunicaciones</c:v>
                </c:pt>
              </c:strCache>
            </c:strRef>
          </c:cat>
          <c:val>
            <c:numRef>
              <c:f>Hoja1!$C$2:$C$6</c:f>
              <c:numCache>
                <c:formatCode>0.0%</c:formatCode>
                <c:ptCount val="5"/>
                <c:pt idx="0">
                  <c:v>0.21</c:v>
                </c:pt>
                <c:pt idx="1">
                  <c:v>0.17199999999999999</c:v>
                </c:pt>
                <c:pt idx="2">
                  <c:v>0.22600000000000001</c:v>
                </c:pt>
                <c:pt idx="3">
                  <c:v>0.123</c:v>
                </c:pt>
                <c:pt idx="4">
                  <c:v>3.1E-2</c:v>
                </c:pt>
              </c:numCache>
            </c:numRef>
          </c:val>
          <c:smooth val="0"/>
          <c:extLst>
            <c:ext xmlns:c16="http://schemas.microsoft.com/office/drawing/2014/chart" uri="{C3380CC4-5D6E-409C-BE32-E72D297353CC}">
              <c16:uniqueId val="{00000001-4DE7-4CE7-9A4D-44AA0A2EA782}"/>
            </c:ext>
          </c:extLst>
        </c:ser>
        <c:dLbls>
          <c:showLegendKey val="0"/>
          <c:showVal val="0"/>
          <c:showCatName val="0"/>
          <c:showSerName val="0"/>
          <c:showPercent val="0"/>
          <c:showBubbleSize val="0"/>
        </c:dLbls>
        <c:marker val="1"/>
        <c:smooth val="0"/>
        <c:axId val="1525089056"/>
        <c:axId val="1525087392"/>
      </c:lineChart>
      <c:catAx>
        <c:axId val="97762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977628064"/>
        <c:crosses val="autoZero"/>
        <c:auto val="1"/>
        <c:lblAlgn val="ctr"/>
        <c:lblOffset val="100"/>
        <c:noMultiLvlLbl val="0"/>
      </c:catAx>
      <c:valAx>
        <c:axId val="977628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977627232"/>
        <c:crosses val="autoZero"/>
        <c:crossBetween val="between"/>
      </c:valAx>
      <c:valAx>
        <c:axId val="1525087392"/>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525089056"/>
        <c:crosses val="max"/>
        <c:crossBetween val="between"/>
      </c:valAx>
      <c:catAx>
        <c:axId val="1525089056"/>
        <c:scaling>
          <c:orientation val="minMax"/>
        </c:scaling>
        <c:delete val="1"/>
        <c:axPos val="b"/>
        <c:numFmt formatCode="General" sourceLinked="1"/>
        <c:majorTickMark val="out"/>
        <c:minorTickMark val="none"/>
        <c:tickLblPos val="nextTo"/>
        <c:crossAx val="1525087392"/>
        <c:crosses val="autoZero"/>
        <c:auto val="1"/>
        <c:lblAlgn val="ctr"/>
        <c:lblOffset val="100"/>
        <c:noMultiLvlLbl val="0"/>
      </c:catAx>
      <c:spPr>
        <a:pattFill prst="ltUpDiag">
          <a:fgClr>
            <a:schemeClr val="bg1">
              <a:lumMod val="85000"/>
            </a:schemeClr>
          </a:fgClr>
          <a:bgClr>
            <a:schemeClr val="bg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008123475400616E-2"/>
          <c:y val="8.8467590649914843E-2"/>
          <c:w val="0.9090413087366116"/>
          <c:h val="0.6461137505491138"/>
        </c:manualLayout>
      </c:layout>
      <c:barChart>
        <c:barDir val="col"/>
        <c:grouping val="stacked"/>
        <c:varyColors val="0"/>
        <c:ser>
          <c:idx val="0"/>
          <c:order val="0"/>
          <c:tx>
            <c:strRef>
              <c:f>Hoja1!$A$2</c:f>
              <c:strCache>
                <c:ptCount val="1"/>
                <c:pt idx="0">
                  <c:v>Personal 029</c:v>
                </c:pt>
              </c:strCache>
            </c:strRef>
          </c:tx>
          <c:spPr>
            <a:solidFill>
              <a:srgbClr val="0070C0"/>
            </a:solidFill>
            <a:ln>
              <a:solidFill>
                <a:schemeClr val="tx1"/>
              </a:solidFill>
            </a:ln>
            <a:effectLst>
              <a:outerShdw blurRad="50800" dist="38100" algn="l" rotWithShape="0">
                <a:prstClr val="black">
                  <a:alpha val="40000"/>
                </a:prstClr>
              </a:outerShdw>
            </a:effectLst>
          </c:spPr>
          <c:invertIfNegative val="0"/>
          <c:dLbls>
            <c:dLbl>
              <c:idx val="2"/>
              <c:layout>
                <c:manualLayout>
                  <c:x val="0"/>
                  <c:y val="-1.23762376237623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40F-46A7-B971-1BE4C5D721DD}"/>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Hoja1!$B$1:$E$1</c:f>
              <c:strCache>
                <c:ptCount val="4"/>
                <c:pt idx="0">
                  <c:v>2020</c:v>
                </c:pt>
                <c:pt idx="1">
                  <c:v>2021</c:v>
                </c:pt>
                <c:pt idx="2">
                  <c:v>2022</c:v>
                </c:pt>
                <c:pt idx="3">
                  <c:v>2023</c:v>
                </c:pt>
              </c:strCache>
            </c:strRef>
          </c:cat>
          <c:val>
            <c:numRef>
              <c:f>Hoja1!$B$2:$E$2</c:f>
              <c:numCache>
                <c:formatCode>#,##0.0</c:formatCode>
                <c:ptCount val="4"/>
                <c:pt idx="0">
                  <c:v>1401.83</c:v>
                </c:pt>
                <c:pt idx="1">
                  <c:v>1473.6599999999999</c:v>
                </c:pt>
                <c:pt idx="2">
                  <c:v>1588.4500000000003</c:v>
                </c:pt>
                <c:pt idx="3">
                  <c:v>1685.19</c:v>
                </c:pt>
              </c:numCache>
            </c:numRef>
          </c:val>
          <c:extLst>
            <c:ext xmlns:c16="http://schemas.microsoft.com/office/drawing/2014/chart" uri="{C3380CC4-5D6E-409C-BE32-E72D297353CC}">
              <c16:uniqueId val="{00000001-D40F-46A7-B971-1BE4C5D721DD}"/>
            </c:ext>
          </c:extLst>
        </c:ser>
        <c:ser>
          <c:idx val="1"/>
          <c:order val="1"/>
          <c:tx>
            <c:strRef>
              <c:f>Hoja1!$A$3</c:f>
              <c:strCache>
                <c:ptCount val="1"/>
                <c:pt idx="0">
                  <c:v>Subgrupo 18 (sin incluir salud)</c:v>
                </c:pt>
              </c:strCache>
            </c:strRef>
          </c:tx>
          <c:spPr>
            <a:solidFill>
              <a:srgbClr val="00B0F0"/>
            </a:solidFill>
            <a:ln>
              <a:solidFill>
                <a:schemeClr val="tx1"/>
              </a:solidFill>
            </a:ln>
            <a:effectLst>
              <a:outerShdw blurRad="50800" dist="38100" algn="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Hoja1!$B$1:$E$1</c:f>
              <c:strCache>
                <c:ptCount val="4"/>
                <c:pt idx="0">
                  <c:v>2020</c:v>
                </c:pt>
                <c:pt idx="1">
                  <c:v>2021</c:v>
                </c:pt>
                <c:pt idx="2">
                  <c:v>2022</c:v>
                </c:pt>
                <c:pt idx="3">
                  <c:v>2023</c:v>
                </c:pt>
              </c:strCache>
            </c:strRef>
          </c:cat>
          <c:val>
            <c:numRef>
              <c:f>Hoja1!$B$3:$E$3</c:f>
              <c:numCache>
                <c:formatCode>#,##0.0</c:formatCode>
                <c:ptCount val="4"/>
                <c:pt idx="0">
                  <c:v>798.23131753999996</c:v>
                </c:pt>
                <c:pt idx="1">
                  <c:v>1015.7607753400001</c:v>
                </c:pt>
                <c:pt idx="2">
                  <c:v>1240.95882813</c:v>
                </c:pt>
                <c:pt idx="3">
                  <c:v>1456.2568110100001</c:v>
                </c:pt>
              </c:numCache>
            </c:numRef>
          </c:val>
          <c:extLst>
            <c:ext xmlns:c16="http://schemas.microsoft.com/office/drawing/2014/chart" uri="{C3380CC4-5D6E-409C-BE32-E72D297353CC}">
              <c16:uniqueId val="{00000002-D40F-46A7-B971-1BE4C5D721DD}"/>
            </c:ext>
          </c:extLst>
        </c:ser>
        <c:ser>
          <c:idx val="2"/>
          <c:order val="2"/>
          <c:tx>
            <c:strRef>
              <c:f>Hoja1!$A$4</c:f>
              <c:strCache>
                <c:ptCount val="1"/>
                <c:pt idx="0">
                  <c:v>Combustibles</c:v>
                </c:pt>
              </c:strCache>
            </c:strRef>
          </c:tx>
          <c:spPr>
            <a:solidFill>
              <a:srgbClr val="FFC000"/>
            </a:solidFill>
            <a:ln>
              <a:solidFill>
                <a:schemeClr val="tx1"/>
              </a:solid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Hoja1!$B$1:$E$1</c:f>
              <c:strCache>
                <c:ptCount val="4"/>
                <c:pt idx="0">
                  <c:v>2020</c:v>
                </c:pt>
                <c:pt idx="1">
                  <c:v>2021</c:v>
                </c:pt>
                <c:pt idx="2">
                  <c:v>2022</c:v>
                </c:pt>
                <c:pt idx="3">
                  <c:v>2023</c:v>
                </c:pt>
              </c:strCache>
            </c:strRef>
          </c:cat>
          <c:val>
            <c:numRef>
              <c:f>Hoja1!$B$4:$E$4</c:f>
              <c:numCache>
                <c:formatCode>#,##0.0</c:formatCode>
                <c:ptCount val="4"/>
                <c:pt idx="0">
                  <c:v>281.12000000000006</c:v>
                </c:pt>
                <c:pt idx="1">
                  <c:v>229.89999999999998</c:v>
                </c:pt>
                <c:pt idx="2">
                  <c:v>508.10999999999996</c:v>
                </c:pt>
                <c:pt idx="3">
                  <c:v>508.51999999999992</c:v>
                </c:pt>
              </c:numCache>
            </c:numRef>
          </c:val>
          <c:extLst>
            <c:ext xmlns:c16="http://schemas.microsoft.com/office/drawing/2014/chart" uri="{C3380CC4-5D6E-409C-BE32-E72D297353CC}">
              <c16:uniqueId val="{00000003-D40F-46A7-B971-1BE4C5D721DD}"/>
            </c:ext>
          </c:extLst>
        </c:ser>
        <c:ser>
          <c:idx val="3"/>
          <c:order val="3"/>
          <c:tx>
            <c:strRef>
              <c:f>Hoja1!$A$5</c:f>
              <c:strCache>
                <c:ptCount val="1"/>
                <c:pt idx="0">
                  <c:v>Viaticos</c:v>
                </c:pt>
              </c:strCache>
            </c:strRef>
          </c:tx>
          <c:spPr>
            <a:solidFill>
              <a:srgbClr val="92D050"/>
            </a:solidFill>
            <a:ln>
              <a:solidFill>
                <a:schemeClr val="tx1"/>
              </a:solidFill>
            </a:ln>
            <a:effectLst>
              <a:outerShdw blurRad="50800" dist="38100" algn="l" rotWithShape="0">
                <a:prstClr val="black">
                  <a:alpha val="40000"/>
                </a:prstClr>
              </a:outerShdw>
            </a:effectLst>
          </c:spPr>
          <c:invertIfNegative val="0"/>
          <c:cat>
            <c:strRef>
              <c:f>Hoja1!$B$1:$E$1</c:f>
              <c:strCache>
                <c:ptCount val="4"/>
                <c:pt idx="0">
                  <c:v>2020</c:v>
                </c:pt>
                <c:pt idx="1">
                  <c:v>2021</c:v>
                </c:pt>
                <c:pt idx="2">
                  <c:v>2022</c:v>
                </c:pt>
                <c:pt idx="3">
                  <c:v>2023</c:v>
                </c:pt>
              </c:strCache>
            </c:strRef>
          </c:cat>
          <c:val>
            <c:numRef>
              <c:f>Hoja1!$B$5:$E$5</c:f>
              <c:numCache>
                <c:formatCode>#,##0.0</c:formatCode>
                <c:ptCount val="4"/>
                <c:pt idx="0">
                  <c:v>45.07</c:v>
                </c:pt>
                <c:pt idx="1">
                  <c:v>73.820000000000007</c:v>
                </c:pt>
                <c:pt idx="2">
                  <c:v>91.329999999999984</c:v>
                </c:pt>
                <c:pt idx="3">
                  <c:v>106.48</c:v>
                </c:pt>
              </c:numCache>
            </c:numRef>
          </c:val>
          <c:extLst>
            <c:ext xmlns:c16="http://schemas.microsoft.com/office/drawing/2014/chart" uri="{C3380CC4-5D6E-409C-BE32-E72D297353CC}">
              <c16:uniqueId val="{00000004-D40F-46A7-B971-1BE4C5D721DD}"/>
            </c:ext>
          </c:extLst>
        </c:ser>
        <c:ser>
          <c:idx val="4"/>
          <c:order val="4"/>
          <c:tx>
            <c:strRef>
              <c:f>Hoja1!$A$6</c:f>
              <c:strCache>
                <c:ptCount val="1"/>
                <c:pt idx="0">
                  <c:v>Divulgación e información</c:v>
                </c:pt>
              </c:strCache>
            </c:strRef>
          </c:tx>
          <c:spPr>
            <a:solidFill>
              <a:srgbClr val="7030A0"/>
            </a:solidFill>
            <a:ln>
              <a:solidFill>
                <a:schemeClr val="tx1"/>
              </a:solidFill>
            </a:ln>
            <a:effectLst/>
          </c:spPr>
          <c:invertIfNegative val="0"/>
          <c:dPt>
            <c:idx val="3"/>
            <c:invertIfNegative val="0"/>
            <c:bubble3D val="0"/>
            <c:extLst>
              <c:ext xmlns:c16="http://schemas.microsoft.com/office/drawing/2014/chart" uri="{C3380CC4-5D6E-409C-BE32-E72D297353CC}">
                <c16:uniqueId val="{00000006-D40F-46A7-B971-1BE4C5D721DD}"/>
              </c:ext>
            </c:extLst>
          </c:dPt>
          <c:cat>
            <c:strRef>
              <c:f>Hoja1!$B$1:$E$1</c:f>
              <c:strCache>
                <c:ptCount val="4"/>
                <c:pt idx="0">
                  <c:v>2020</c:v>
                </c:pt>
                <c:pt idx="1">
                  <c:v>2021</c:v>
                </c:pt>
                <c:pt idx="2">
                  <c:v>2022</c:v>
                </c:pt>
                <c:pt idx="3">
                  <c:v>2023</c:v>
                </c:pt>
              </c:strCache>
            </c:strRef>
          </c:cat>
          <c:val>
            <c:numRef>
              <c:f>Hoja1!$B$6:$E$6</c:f>
              <c:numCache>
                <c:formatCode>#,##0.0</c:formatCode>
                <c:ptCount val="4"/>
                <c:pt idx="0">
                  <c:v>40.94</c:v>
                </c:pt>
                <c:pt idx="1">
                  <c:v>43.51</c:v>
                </c:pt>
                <c:pt idx="2">
                  <c:v>58.699999999999996</c:v>
                </c:pt>
                <c:pt idx="3">
                  <c:v>61.88</c:v>
                </c:pt>
              </c:numCache>
            </c:numRef>
          </c:val>
          <c:extLst>
            <c:ext xmlns:c16="http://schemas.microsoft.com/office/drawing/2014/chart" uri="{C3380CC4-5D6E-409C-BE32-E72D297353CC}">
              <c16:uniqueId val="{00000007-D40F-46A7-B971-1BE4C5D721DD}"/>
            </c:ext>
          </c:extLst>
        </c:ser>
        <c:dLbls>
          <c:showLegendKey val="0"/>
          <c:showVal val="0"/>
          <c:showCatName val="0"/>
          <c:showSerName val="0"/>
          <c:showPercent val="0"/>
          <c:showBubbleSize val="0"/>
        </c:dLbls>
        <c:gapWidth val="90"/>
        <c:overlap val="100"/>
        <c:axId val="168504704"/>
        <c:axId val="168522880"/>
      </c:barChart>
      <c:lineChart>
        <c:grouping val="standard"/>
        <c:varyColors val="0"/>
        <c:ser>
          <c:idx val="5"/>
          <c:order val="5"/>
          <c:tx>
            <c:strRef>
              <c:f>Hoja1!$A$7</c:f>
              <c:strCache>
                <c:ptCount val="1"/>
                <c:pt idx="0">
                  <c:v>Total</c:v>
                </c:pt>
              </c:strCache>
            </c:strRef>
          </c:tx>
          <c:spPr>
            <a:ln w="41275" cap="rnd" cmpd="sng">
              <a:noFill/>
              <a:prstDash val="sysDash"/>
              <a:round/>
            </a:ln>
            <a:effectLst/>
          </c:spPr>
          <c:marker>
            <c:symbol val="triangle"/>
            <c:size val="7"/>
            <c:spPr>
              <a:solidFill>
                <a:srgbClr val="FFFF00"/>
              </a:solidFill>
            </c:spPr>
          </c:marker>
          <c:dPt>
            <c:idx val="3"/>
            <c:bubble3D val="0"/>
            <c:extLst>
              <c:ext xmlns:c16="http://schemas.microsoft.com/office/drawing/2014/chart" uri="{C3380CC4-5D6E-409C-BE32-E72D297353CC}">
                <c16:uniqueId val="{00000008-D40F-46A7-B971-1BE4C5D721DD}"/>
              </c:ext>
            </c:extLst>
          </c:dPt>
          <c:dLbls>
            <c:dLbl>
              <c:idx val="1"/>
              <c:layout>
                <c:manualLayout>
                  <c:x val="-5.4310930074677612E-2"/>
                  <c:y val="-4.76911377638976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0EE-4D78-9E2E-2C77F8F642E9}"/>
                </c:ext>
              </c:extLst>
            </c:dLbl>
            <c:dLbl>
              <c:idx val="2"/>
              <c:layout>
                <c:manualLayout>
                  <c:x val="-5.2047974654899215E-2"/>
                  <c:y val="-4.76911377638976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0EE-4D78-9E2E-2C77F8F642E9}"/>
                </c:ext>
              </c:extLst>
            </c:dLbl>
            <c:dLbl>
              <c:idx val="3"/>
              <c:layout>
                <c:manualLayout>
                  <c:x val="-5.2047974654899298E-2"/>
                  <c:y val="-5.13424218597147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40F-46A7-B971-1BE4C5D721DD}"/>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Hoja1!$B$1:$E$1</c:f>
              <c:strCache>
                <c:ptCount val="4"/>
                <c:pt idx="0">
                  <c:v>2020</c:v>
                </c:pt>
                <c:pt idx="1">
                  <c:v>2021</c:v>
                </c:pt>
                <c:pt idx="2">
                  <c:v>2022</c:v>
                </c:pt>
                <c:pt idx="3">
                  <c:v>2023</c:v>
                </c:pt>
              </c:strCache>
            </c:strRef>
          </c:cat>
          <c:val>
            <c:numRef>
              <c:f>Hoja1!$B$7:$E$7</c:f>
              <c:numCache>
                <c:formatCode>#,##0.0</c:formatCode>
                <c:ptCount val="4"/>
                <c:pt idx="0">
                  <c:v>2567.19131754</c:v>
                </c:pt>
                <c:pt idx="1">
                  <c:v>2836.6507753400006</c:v>
                </c:pt>
                <c:pt idx="2">
                  <c:v>3487.5488281299999</c:v>
                </c:pt>
                <c:pt idx="3">
                  <c:v>3818.3268110100003</c:v>
                </c:pt>
              </c:numCache>
            </c:numRef>
          </c:val>
          <c:smooth val="1"/>
          <c:extLst>
            <c:ext xmlns:c16="http://schemas.microsoft.com/office/drawing/2014/chart" uri="{C3380CC4-5D6E-409C-BE32-E72D297353CC}">
              <c16:uniqueId val="{00000009-D40F-46A7-B971-1BE4C5D721DD}"/>
            </c:ext>
          </c:extLst>
        </c:ser>
        <c:dLbls>
          <c:showLegendKey val="0"/>
          <c:showVal val="0"/>
          <c:showCatName val="0"/>
          <c:showSerName val="0"/>
          <c:showPercent val="0"/>
          <c:showBubbleSize val="0"/>
        </c:dLbls>
        <c:marker val="1"/>
        <c:smooth val="0"/>
        <c:axId val="168504704"/>
        <c:axId val="168522880"/>
      </c:lineChart>
      <c:catAx>
        <c:axId val="16850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168522880"/>
        <c:crosses val="autoZero"/>
        <c:auto val="1"/>
        <c:lblAlgn val="ctr"/>
        <c:lblOffset val="100"/>
        <c:noMultiLvlLbl val="0"/>
      </c:catAx>
      <c:valAx>
        <c:axId val="168522880"/>
        <c:scaling>
          <c:orientation val="minMax"/>
          <c:max val="4000"/>
          <c:min val="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68504704"/>
        <c:crosses val="autoZero"/>
        <c:crossBetween val="between"/>
      </c:valAx>
      <c:spPr>
        <a:pattFill prst="dkDnDiag">
          <a:fgClr>
            <a:srgbClr val="44546A">
              <a:lumMod val="20000"/>
              <a:lumOff val="80000"/>
            </a:srgbClr>
          </a:fgClr>
          <a:bgClr>
            <a:sysClr val="window" lastClr="FFFFFF"/>
          </a:bgClr>
        </a:pattFill>
        <a:ln>
          <a:noFill/>
        </a:ln>
        <a:effectLst/>
      </c:spPr>
    </c:plotArea>
    <c:legend>
      <c:legendPos val="b"/>
      <c:layout>
        <c:manualLayout>
          <c:xMode val="edge"/>
          <c:yMode val="edge"/>
          <c:x val="5.5385210249940753E-2"/>
          <c:y val="0.84790340026062139"/>
          <c:w val="0.87565184698144916"/>
          <c:h val="0.1325010936132983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Hoja1!$B$1</c:f>
              <c:strCache>
                <c:ptCount val="1"/>
                <c:pt idx="0">
                  <c:v>Gasto Social</c:v>
                </c:pt>
              </c:strCache>
            </c:strRef>
          </c:tx>
          <c:spPr>
            <a:solidFill>
              <a:srgbClr val="70AD47">
                <a:lumMod val="50000"/>
              </a:srgbClr>
            </a:solidFill>
            <a:ln>
              <a:solidFill>
                <a:schemeClr val="tx1"/>
              </a:solidFill>
            </a:ln>
            <a:effectLst/>
          </c:spPr>
          <c:invertIfNegative val="0"/>
          <c:dLbls>
            <c:spPr>
              <a:noFill/>
              <a:ln>
                <a:noFill/>
              </a:ln>
              <a:effectLst/>
            </c:spPr>
            <c:txPr>
              <a:bodyPr rot="-5400000" spcFirstLastPara="1" vertOverflow="ellipsis" wrap="square" anchor="ctr" anchorCtr="1"/>
              <a:lstStyle/>
              <a:p>
                <a:pPr>
                  <a:defRPr sz="900" b="1" i="0" u="none" strike="noStrike" kern="1200" baseline="0">
                    <a:solidFill>
                      <a:schemeClr val="bg1">
                        <a:lumMod val="9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Hoja1!$B$2:$B$12</c:f>
              <c:numCache>
                <c:formatCode>#,##0.0</c:formatCode>
                <c:ptCount val="11"/>
                <c:pt idx="0">
                  <c:v>21381.327867269996</c:v>
                </c:pt>
                <c:pt idx="1">
                  <c:v>23012.971069280004</c:v>
                </c:pt>
                <c:pt idx="2">
                  <c:v>23473.732879080002</c:v>
                </c:pt>
                <c:pt idx="3">
                  <c:v>24655.05408781</c:v>
                </c:pt>
                <c:pt idx="4">
                  <c:v>26066.126108109998</c:v>
                </c:pt>
                <c:pt idx="5">
                  <c:v>28740.266393819995</c:v>
                </c:pt>
                <c:pt idx="6">
                  <c:v>32435.728809789998</c:v>
                </c:pt>
                <c:pt idx="7">
                  <c:v>32367.644584979997</c:v>
                </c:pt>
                <c:pt idx="8">
                  <c:v>36502.61886866</c:v>
                </c:pt>
                <c:pt idx="9">
                  <c:v>41333.05592128</c:v>
                </c:pt>
                <c:pt idx="10">
                  <c:v>44755.054391049991</c:v>
                </c:pt>
              </c:numCache>
            </c:numRef>
          </c:val>
          <c:extLst>
            <c:ext xmlns:c16="http://schemas.microsoft.com/office/drawing/2014/chart" uri="{C3380CC4-5D6E-409C-BE32-E72D297353CC}">
              <c16:uniqueId val="{00000000-072A-42B6-B314-B6C20CA4766F}"/>
            </c:ext>
          </c:extLst>
        </c:ser>
        <c:ser>
          <c:idx val="1"/>
          <c:order val="1"/>
          <c:tx>
            <c:strRef>
              <c:f>Hoja1!$C$1</c:f>
              <c:strCache>
                <c:ptCount val="1"/>
                <c:pt idx="0">
                  <c:v>Clasificación Acuerdos de Paz</c:v>
                </c:pt>
              </c:strCache>
            </c:strRef>
          </c:tx>
          <c:spPr>
            <a:solidFill>
              <a:srgbClr val="70AD47">
                <a:lumMod val="75000"/>
              </a:srgbClr>
            </a:solidFill>
            <a:ln>
              <a:solidFill>
                <a:schemeClr val="tx1">
                  <a:lumMod val="95000"/>
                  <a:lumOff val="5000"/>
                </a:schemeClr>
              </a:solidFill>
            </a:ln>
            <a:effectLst/>
          </c:spPr>
          <c:invertIfNegative val="0"/>
          <c:dLbls>
            <c:dLbl>
              <c:idx val="2"/>
              <c:layout>
                <c:manualLayout>
                  <c:x val="0"/>
                  <c:y val="-1.56801254410035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06-4BB3-9F07-FF1584A35407}"/>
                </c:ext>
              </c:extLst>
            </c:dLbl>
            <c:dLbl>
              <c:idx val="3"/>
              <c:layout>
                <c:manualLayout>
                  <c:x val="0"/>
                  <c:y val="-7.0560564484515878E-2"/>
                </c:manualLayout>
              </c:layout>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306-4BB3-9F07-FF1584A35407}"/>
                </c:ext>
              </c:extLst>
            </c:dLbl>
            <c:dLbl>
              <c:idx val="4"/>
              <c:layout>
                <c:manualLayout>
                  <c:x val="2.0399907197006183E-3"/>
                  <c:y val="1.32679171669593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2A-42B6-B314-B6C20CA4766F}"/>
                </c:ext>
              </c:extLst>
            </c:dLbl>
            <c:spPr>
              <a:noFill/>
              <a:ln>
                <a:noFill/>
              </a:ln>
              <a:effectLst/>
            </c:spPr>
            <c:txPr>
              <a:bodyPr rot="0" spcFirstLastPara="1" vertOverflow="ellipsis" vert="horz" wrap="square" anchor="ctr" anchorCtr="1"/>
              <a:lstStyle/>
              <a:p>
                <a:pPr>
                  <a:defRPr sz="700" b="1" i="0" u="none" strike="noStrike" kern="1200" baseline="0">
                    <a:solidFill>
                      <a:schemeClr val="bg1">
                        <a:lumMod val="9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Hoja1!$C$2:$C$12</c:f>
              <c:numCache>
                <c:formatCode>#,##0.0</c:formatCode>
                <c:ptCount val="11"/>
                <c:pt idx="0">
                  <c:v>6054.5101064400005</c:v>
                </c:pt>
                <c:pt idx="1">
                  <c:v>6503.4294833499989</c:v>
                </c:pt>
                <c:pt idx="2">
                  <c:v>6751.1216318400002</c:v>
                </c:pt>
                <c:pt idx="3">
                  <c:v>7828.2132574999987</c:v>
                </c:pt>
                <c:pt idx="4">
                  <c:v>8571.1257745100011</c:v>
                </c:pt>
                <c:pt idx="5">
                  <c:v>9133.1189641699984</c:v>
                </c:pt>
                <c:pt idx="6">
                  <c:v>8806.107314689998</c:v>
                </c:pt>
                <c:pt idx="7">
                  <c:v>9661.6116256900004</c:v>
                </c:pt>
                <c:pt idx="8">
                  <c:v>10226.488182319999</c:v>
                </c:pt>
                <c:pt idx="9">
                  <c:v>11543.616736810001</c:v>
                </c:pt>
                <c:pt idx="10">
                  <c:v>13320.652537000002</c:v>
                </c:pt>
              </c:numCache>
            </c:numRef>
          </c:val>
          <c:extLst>
            <c:ext xmlns:c16="http://schemas.microsoft.com/office/drawing/2014/chart" uri="{C3380CC4-5D6E-409C-BE32-E72D297353CC}">
              <c16:uniqueId val="{00000002-072A-42B6-B314-B6C20CA4766F}"/>
            </c:ext>
          </c:extLst>
        </c:ser>
        <c:dLbls>
          <c:showLegendKey val="0"/>
          <c:showVal val="0"/>
          <c:showCatName val="0"/>
          <c:showSerName val="0"/>
          <c:showPercent val="0"/>
          <c:showBubbleSize val="0"/>
        </c:dLbls>
        <c:gapWidth val="37"/>
        <c:overlap val="100"/>
        <c:axId val="1464834608"/>
        <c:axId val="1464836688"/>
      </c:barChart>
      <c:lineChart>
        <c:grouping val="stacked"/>
        <c:varyColors val="0"/>
        <c:ser>
          <c:idx val="2"/>
          <c:order val="2"/>
          <c:tx>
            <c:strRef>
              <c:f>Hoja1!$D$1</c:f>
              <c:strCache>
                <c:ptCount val="1"/>
                <c:pt idx="0">
                  <c:v>% del PIB</c:v>
                </c:pt>
              </c:strCache>
            </c:strRef>
          </c:tx>
          <c:spPr>
            <a:ln w="28575" cap="rnd">
              <a:solidFill>
                <a:srgbClr val="70AD47">
                  <a:lumMod val="60000"/>
                  <a:lumOff val="40000"/>
                </a:srgbClr>
              </a:solidFill>
              <a:round/>
            </a:ln>
            <a:effectLst/>
          </c:spPr>
          <c:marker>
            <c:symbol val="circle"/>
            <c:size val="17"/>
            <c:spPr>
              <a:solidFill>
                <a:srgbClr val="70AD47">
                  <a:lumMod val="60000"/>
                  <a:lumOff val="40000"/>
                </a:srgbClr>
              </a:solidFill>
              <a:ln w="9525">
                <a:solidFill>
                  <a:srgbClr val="70AD47">
                    <a:lumMod val="60000"/>
                    <a:lumOff val="40000"/>
                  </a:srgbClr>
                </a:solidFill>
              </a:ln>
              <a:effectLst/>
            </c:spPr>
          </c:marker>
          <c:dLbls>
            <c:dLbl>
              <c:idx val="0"/>
              <c:layout>
                <c:manualLayout>
                  <c:x val="-4.4927774075029243E-2"/>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2A-42B6-B314-B6C20CA4766F}"/>
                </c:ext>
              </c:extLst>
            </c:dLbl>
            <c:dLbl>
              <c:idx val="1"/>
              <c:layout>
                <c:manualLayout>
                  <c:x val="-4.5501997809610291E-2"/>
                  <c:y val="-3.52112676056344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72A-42B6-B314-B6C20CA4766F}"/>
                </c:ext>
              </c:extLst>
            </c:dLbl>
            <c:dLbl>
              <c:idx val="4"/>
              <c:layout>
                <c:manualLayout>
                  <c:x val="-4.4942111201103585E-2"/>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09-4E3A-B0E8-FC5A5B2FCAA4}"/>
                </c:ext>
              </c:extLst>
            </c:dLbl>
            <c:dLbl>
              <c:idx val="5"/>
              <c:layout>
                <c:manualLayout>
                  <c:x val="-4.3461988029888439E-2"/>
                  <c:y val="-3.37723189530886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72A-42B6-B314-B6C20CA4766F}"/>
                </c:ext>
              </c:extLst>
            </c:dLbl>
            <c:dLbl>
              <c:idx val="6"/>
              <c:layout>
                <c:manualLayout>
                  <c:x val="-4.3461988029888515E-2"/>
                  <c:y val="1.4389486525451925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72A-42B6-B314-B6C20CA4766F}"/>
                </c:ext>
              </c:extLst>
            </c:dLbl>
            <c:dLbl>
              <c:idx val="8"/>
              <c:layout>
                <c:manualLayout>
                  <c:x val="-4.3461988029888439E-2"/>
                  <c:y val="1.4389486525451925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72A-42B6-B314-B6C20CA4766F}"/>
                </c:ext>
              </c:extLst>
            </c:dLbl>
            <c:dLbl>
              <c:idx val="9"/>
              <c:layout>
                <c:manualLayout>
                  <c:x val="-4.3461988029888439E-2"/>
                  <c:y val="1.4389486525453538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72A-42B6-B314-B6C20CA4766F}"/>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Hoja1!$D$2:$D$12</c:f>
              <c:numCache>
                <c:formatCode>0.0</c:formatCode>
                <c:ptCount val="11"/>
                <c:pt idx="0">
                  <c:v>6.589083477346831</c:v>
                </c:pt>
                <c:pt idx="1">
                  <c:v>6.5984045256795882</c:v>
                </c:pt>
                <c:pt idx="2">
                  <c:v>6.3494549336354993</c:v>
                </c:pt>
                <c:pt idx="3">
                  <c:v>6.470748419921839</c:v>
                </c:pt>
                <c:pt idx="4">
                  <c:v>6.5786826437333774</c:v>
                </c:pt>
                <c:pt idx="5">
                  <c:v>6.8689840029438134</c:v>
                </c:pt>
                <c:pt idx="6">
                  <c:v>6.9435659169935962</c:v>
                </c:pt>
                <c:pt idx="7">
                  <c:v>7.0118794679119274</c:v>
                </c:pt>
                <c:pt idx="8">
                  <c:v>7.0264240955953268</c:v>
                </c:pt>
                <c:pt idx="9">
                  <c:v>7.1832666980148314</c:v>
                </c:pt>
                <c:pt idx="10">
                  <c:v>7.2661909505525912</c:v>
                </c:pt>
              </c:numCache>
            </c:numRef>
          </c:val>
          <c:smooth val="1"/>
          <c:extLst>
            <c:ext xmlns:c16="http://schemas.microsoft.com/office/drawing/2014/chart" uri="{C3380CC4-5D6E-409C-BE32-E72D297353CC}">
              <c16:uniqueId val="{00000009-072A-42B6-B314-B6C20CA4766F}"/>
            </c:ext>
          </c:extLst>
        </c:ser>
        <c:dLbls>
          <c:showLegendKey val="0"/>
          <c:showVal val="0"/>
          <c:showCatName val="0"/>
          <c:showSerName val="0"/>
          <c:showPercent val="0"/>
          <c:showBubbleSize val="0"/>
        </c:dLbls>
        <c:marker val="1"/>
        <c:smooth val="0"/>
        <c:axId val="1339466912"/>
        <c:axId val="1339464000"/>
      </c:lineChart>
      <c:catAx>
        <c:axId val="1464834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464836688"/>
        <c:crosses val="autoZero"/>
        <c:auto val="1"/>
        <c:lblAlgn val="ctr"/>
        <c:lblOffset val="100"/>
        <c:noMultiLvlLbl val="0"/>
      </c:catAx>
      <c:valAx>
        <c:axId val="146483668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464834608"/>
        <c:crosses val="autoZero"/>
        <c:crossBetween val="between"/>
      </c:valAx>
      <c:valAx>
        <c:axId val="1339464000"/>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339466912"/>
        <c:crosses val="max"/>
        <c:crossBetween val="between"/>
      </c:valAx>
      <c:catAx>
        <c:axId val="1339466912"/>
        <c:scaling>
          <c:orientation val="minMax"/>
        </c:scaling>
        <c:delete val="1"/>
        <c:axPos val="b"/>
        <c:numFmt formatCode="General" sourceLinked="1"/>
        <c:majorTickMark val="out"/>
        <c:minorTickMark val="none"/>
        <c:tickLblPos val="nextTo"/>
        <c:crossAx val="133946400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73700650699912"/>
          <c:y val="9.8643699285873007E-2"/>
          <c:w val="0.79080202865266847"/>
          <c:h val="0.6213087322894707"/>
        </c:manualLayout>
      </c:layout>
      <c:barChart>
        <c:barDir val="col"/>
        <c:grouping val="clustered"/>
        <c:varyColors val="0"/>
        <c:ser>
          <c:idx val="0"/>
          <c:order val="0"/>
          <c:tx>
            <c:strRef>
              <c:f>Sheet1!$B$1</c:f>
              <c:strCache>
                <c:ptCount val="1"/>
                <c:pt idx="0">
                  <c:v>Monto</c:v>
                </c:pt>
              </c:strCache>
            </c:strRef>
          </c:tx>
          <c:spPr>
            <a:solidFill>
              <a:srgbClr val="4472C4">
                <a:lumMod val="50000"/>
              </a:srgbClr>
            </a:solidFill>
            <a:ln>
              <a:solidFill>
                <a:sysClr val="window" lastClr="FFFFFF">
                  <a:lumMod val="50000"/>
                </a:sysClr>
              </a:solidFill>
            </a:ln>
            <a:effectLst/>
          </c:spPr>
          <c:invertIfNegative val="0"/>
          <c:dLbls>
            <c:dLbl>
              <c:idx val="0"/>
              <c:spPr>
                <a:noFill/>
                <a:ln>
                  <a:noFill/>
                </a:ln>
                <a:effectLst/>
              </c:spPr>
              <c:txPr>
                <a:bodyPr rot="-5400000" vert="horz" wrap="square" lIns="38100" tIns="19050" rIns="38100" bIns="19050" anchor="ctr">
                  <a:spAutoFit/>
                </a:bodyPr>
                <a:lstStyle/>
                <a:p>
                  <a:pPr>
                    <a:defRPr sz="800" b="1">
                      <a:solidFill>
                        <a:schemeClr val="bg1"/>
                      </a:solidFill>
                      <a:latin typeface="Times New Roman" panose="02020603050405020304" pitchFamily="18" charset="0"/>
                      <a:cs typeface="Times New Roman" panose="02020603050405020304" pitchFamily="18" charset="0"/>
                    </a:defRPr>
                  </a:pPr>
                  <a:endParaRPr lang="es-GT"/>
                </a:p>
              </c:txPr>
              <c:dLblPos val="inBase"/>
              <c:showLegendKey val="0"/>
              <c:showVal val="1"/>
              <c:showCatName val="0"/>
              <c:showSerName val="0"/>
              <c:showPercent val="0"/>
              <c:showBubbleSize val="0"/>
              <c:extLst>
                <c:ext xmlns:c16="http://schemas.microsoft.com/office/drawing/2014/chart" uri="{C3380CC4-5D6E-409C-BE32-E72D297353CC}">
                  <c16:uniqueId val="{00000001-43B8-42EE-BF70-CE481E724971}"/>
                </c:ext>
              </c:extLst>
            </c:dLbl>
            <c:dLbl>
              <c:idx val="1"/>
              <c:layout>
                <c:manualLayout>
                  <c:x val="0"/>
                  <c:y val="0.32256981139956964"/>
                </c:manualLayout>
              </c:layout>
              <c:spPr>
                <a:noFill/>
                <a:ln>
                  <a:noFill/>
                </a:ln>
                <a:effectLst/>
              </c:spPr>
              <c:txPr>
                <a:bodyPr rot="-5400000" vert="horz" wrap="square" lIns="38100" tIns="19050" rIns="38100" bIns="19050" anchor="ctr">
                  <a:spAutoFit/>
                </a:bodyPr>
                <a:lstStyle/>
                <a:p>
                  <a:pPr>
                    <a:defRPr sz="800" b="1">
                      <a:solidFill>
                        <a:schemeClr val="bg1"/>
                      </a:solidFill>
                      <a:latin typeface="Times New Roman" panose="02020603050405020304" pitchFamily="18" charset="0"/>
                      <a:cs typeface="Times New Roman" panose="02020603050405020304" pitchFamily="18" charset="0"/>
                    </a:defRPr>
                  </a:pPr>
                  <a:endParaRPr lang="es-G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3B8-42EE-BF70-CE481E724971}"/>
                </c:ext>
              </c:extLst>
            </c:dLbl>
            <c:dLbl>
              <c:idx val="2"/>
              <c:spPr>
                <a:noFill/>
                <a:ln>
                  <a:noFill/>
                </a:ln>
                <a:effectLst/>
              </c:spPr>
              <c:txPr>
                <a:bodyPr rot="-5400000" vert="horz" wrap="square" lIns="38100" tIns="19050" rIns="38100" bIns="19050" anchor="ctr">
                  <a:spAutoFit/>
                </a:bodyPr>
                <a:lstStyle/>
                <a:p>
                  <a:pPr>
                    <a:defRPr sz="800" b="1">
                      <a:solidFill>
                        <a:schemeClr val="bg1"/>
                      </a:solidFill>
                      <a:latin typeface="Times New Roman" panose="02020603050405020304" pitchFamily="18" charset="0"/>
                      <a:cs typeface="Times New Roman" panose="02020603050405020304" pitchFamily="18" charset="0"/>
                    </a:defRPr>
                  </a:pPr>
                  <a:endParaRPr lang="es-GT"/>
                </a:p>
              </c:txPr>
              <c:dLblPos val="inBase"/>
              <c:showLegendKey val="0"/>
              <c:showVal val="1"/>
              <c:showCatName val="0"/>
              <c:showSerName val="0"/>
              <c:showPercent val="0"/>
              <c:showBubbleSize val="0"/>
              <c:extLst>
                <c:ext xmlns:c16="http://schemas.microsoft.com/office/drawing/2014/chart" uri="{C3380CC4-5D6E-409C-BE32-E72D297353CC}">
                  <c16:uniqueId val="{00000003-43B8-42EE-BF70-CE481E724971}"/>
                </c:ext>
              </c:extLst>
            </c:dLbl>
            <c:dLbl>
              <c:idx val="3"/>
              <c:layout>
                <c:manualLayout>
                  <c:x val="-3.9307722014469962E-17"/>
                  <c:y val="0.16636938950270461"/>
                </c:manualLayout>
              </c:layout>
              <c:spPr>
                <a:noFill/>
                <a:ln>
                  <a:noFill/>
                </a:ln>
                <a:effectLst/>
              </c:spPr>
              <c:txPr>
                <a:bodyPr rot="-5400000" vert="horz" wrap="square" lIns="38100" tIns="19050" rIns="38100" bIns="19050" anchor="ctr">
                  <a:spAutoFit/>
                </a:bodyPr>
                <a:lstStyle/>
                <a:p>
                  <a:pPr>
                    <a:defRPr sz="800" b="1">
                      <a:solidFill>
                        <a:schemeClr val="bg1"/>
                      </a:solidFill>
                      <a:latin typeface="Times New Roman" panose="02020603050405020304" pitchFamily="18" charset="0"/>
                      <a:cs typeface="Times New Roman" panose="02020603050405020304" pitchFamily="18" charset="0"/>
                    </a:defRPr>
                  </a:pPr>
                  <a:endParaRPr lang="es-G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3B8-42EE-BF70-CE481E724971}"/>
                </c:ext>
              </c:extLst>
            </c:dLbl>
            <c:dLbl>
              <c:idx val="4"/>
              <c:spPr>
                <a:noFill/>
                <a:ln>
                  <a:noFill/>
                </a:ln>
                <a:effectLst/>
              </c:spPr>
              <c:txPr>
                <a:bodyPr rot="-5400000" vert="horz" wrap="square" lIns="38100" tIns="19050" rIns="38100" bIns="19050" anchor="ctr">
                  <a:spAutoFit/>
                </a:bodyPr>
                <a:lstStyle/>
                <a:p>
                  <a:pPr>
                    <a:defRPr sz="800" b="1">
                      <a:solidFill>
                        <a:schemeClr val="bg1"/>
                      </a:solidFill>
                      <a:latin typeface="Times New Roman" panose="02020603050405020304" pitchFamily="18" charset="0"/>
                      <a:cs typeface="Times New Roman" panose="02020603050405020304" pitchFamily="18" charset="0"/>
                    </a:defRPr>
                  </a:pPr>
                  <a:endParaRPr lang="es-GT"/>
                </a:p>
              </c:txPr>
              <c:dLblPos val="inBase"/>
              <c:showLegendKey val="0"/>
              <c:showVal val="1"/>
              <c:showCatName val="0"/>
              <c:showSerName val="0"/>
              <c:showPercent val="0"/>
              <c:showBubbleSize val="0"/>
              <c:extLst>
                <c:ext xmlns:c16="http://schemas.microsoft.com/office/drawing/2014/chart" uri="{C3380CC4-5D6E-409C-BE32-E72D297353CC}">
                  <c16:uniqueId val="{00000005-43B8-42EE-BF70-CE481E724971}"/>
                </c:ext>
              </c:extLst>
            </c:dLbl>
            <c:dLbl>
              <c:idx val="5"/>
              <c:layout>
                <c:manualLayout>
                  <c:x val="-7.8615444028939925E-17"/>
                  <c:y val="0.10851883567604448"/>
                </c:manualLayout>
              </c:layout>
              <c:spPr>
                <a:noFill/>
                <a:ln>
                  <a:noFill/>
                </a:ln>
                <a:effectLst/>
              </c:spPr>
              <c:txPr>
                <a:bodyPr rot="-5400000" vert="horz" wrap="square" lIns="38100" tIns="19050" rIns="38100" bIns="19050" anchor="ctr">
                  <a:spAutoFit/>
                </a:bodyPr>
                <a:lstStyle/>
                <a:p>
                  <a:pPr>
                    <a:defRPr sz="800" b="1">
                      <a:solidFill>
                        <a:schemeClr val="bg1"/>
                      </a:solidFill>
                      <a:latin typeface="Times New Roman" panose="02020603050405020304" pitchFamily="18" charset="0"/>
                      <a:cs typeface="Times New Roman" panose="02020603050405020304" pitchFamily="18" charset="0"/>
                    </a:defRPr>
                  </a:pPr>
                  <a:endParaRPr lang="es-G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D11-48A2-AEDB-F560270AAE11}"/>
                </c:ext>
              </c:extLst>
            </c:dLbl>
            <c:dLbl>
              <c:idx val="6"/>
              <c:layout>
                <c:manualLayout>
                  <c:x val="0"/>
                  <c:y val="4.726637287049993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D11-48A2-AEDB-F560270AAE11}"/>
                </c:ext>
              </c:extLst>
            </c:dLbl>
            <c:dLbl>
              <c:idx val="7"/>
              <c:layout>
                <c:manualLayout>
                  <c:x val="0"/>
                  <c:y val="8.15555880448630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D11-48A2-AEDB-F560270AAE11}"/>
                </c:ext>
              </c:extLst>
            </c:dLbl>
            <c:dLbl>
              <c:idx val="8"/>
              <c:layout>
                <c:manualLayout>
                  <c:x val="-6.8083266354280157E-17"/>
                  <c:y val="7.580395554832436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D11-48A2-AEDB-F560270AAE11}"/>
                </c:ext>
              </c:extLst>
            </c:dLbl>
            <c:dLbl>
              <c:idx val="10"/>
              <c:layout>
                <c:manualLayout>
                  <c:x val="-6.9800576994284375E-17"/>
                  <c:y val="8.866119029691206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C18-4703-9805-6C0044D33EC6}"/>
                </c:ext>
              </c:extLst>
            </c:dLbl>
            <c:dLbl>
              <c:idx val="13"/>
              <c:layout>
                <c:manualLayout>
                  <c:x val="0"/>
                  <c:y val="1.199680650202242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C18-4703-9805-6C0044D33EC6}"/>
                </c:ext>
              </c:extLst>
            </c:dLbl>
            <c:spPr>
              <a:noFill/>
              <a:ln>
                <a:noFill/>
              </a:ln>
              <a:effectLst/>
            </c:spPr>
            <c:txPr>
              <a:bodyPr rot="-5400000" vert="horz" wrap="square" lIns="38100" tIns="19050" rIns="38100" bIns="19050" anchor="ctr">
                <a:spAutoFit/>
              </a:bodyPr>
              <a:lstStyle/>
              <a:p>
                <a:pPr>
                  <a:defRPr sz="800" b="1">
                    <a:latin typeface="Times New Roman" panose="02020603050405020304" pitchFamily="18" charset="0"/>
                    <a:cs typeface="Times New Roman" panose="02020603050405020304" pitchFamily="18" charset="0"/>
                  </a:defRPr>
                </a:pPr>
                <a:endParaRPr lang="es-G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Sheet1!$A$2:$A$20</c:f>
              <c:strCache>
                <c:ptCount val="19"/>
                <c:pt idx="0">
                  <c:v>Obligaciones</c:v>
                </c:pt>
                <c:pt idx="1">
                  <c:v>Educación</c:v>
                </c:pt>
                <c:pt idx="2">
                  <c:v>Deuda Pública</c:v>
                </c:pt>
                <c:pt idx="3">
                  <c:v>Salud Pública</c:v>
                </c:pt>
                <c:pt idx="4">
                  <c:v>Comunicaciones</c:v>
                </c:pt>
                <c:pt idx="5">
                  <c:v>Gobernación</c:v>
                </c:pt>
                <c:pt idx="6">
                  <c:v>Defensa</c:v>
                </c:pt>
                <c:pt idx="7">
                  <c:v>Desarrollo</c:v>
                </c:pt>
                <c:pt idx="8">
                  <c:v>Agricultura</c:v>
                </c:pt>
                <c:pt idx="9">
                  <c:v>Secretarías</c:v>
                </c:pt>
                <c:pt idx="10">
                  <c:v>Trabajo</c:v>
                </c:pt>
                <c:pt idx="11">
                  <c:v>Cultura</c:v>
                </c:pt>
                <c:pt idx="12">
                  <c:v>Minrex</c:v>
                </c:pt>
                <c:pt idx="13">
                  <c:v>Economía </c:v>
                </c:pt>
                <c:pt idx="14">
                  <c:v>Finanzas </c:v>
                </c:pt>
                <c:pt idx="15">
                  <c:v>Energía</c:v>
                </c:pt>
                <c:pt idx="16">
                  <c:v>Ambiente</c:v>
                </c:pt>
                <c:pt idx="17">
                  <c:v>Presidencia </c:v>
                </c:pt>
                <c:pt idx="18">
                  <c:v>PGN</c:v>
                </c:pt>
              </c:strCache>
            </c:strRef>
          </c:cat>
          <c:val>
            <c:numRef>
              <c:f>Sheet1!$B$2:$B$20</c:f>
              <c:numCache>
                <c:formatCode>#,##0.0</c:formatCode>
                <c:ptCount val="19"/>
                <c:pt idx="0">
                  <c:v>38747.889804259998</c:v>
                </c:pt>
                <c:pt idx="1">
                  <c:v>21406.777552709998</c:v>
                </c:pt>
                <c:pt idx="2">
                  <c:v>16132.176857410001</c:v>
                </c:pt>
                <c:pt idx="3">
                  <c:v>10975.72440555</c:v>
                </c:pt>
                <c:pt idx="4">
                  <c:v>8403.8960110099997</c:v>
                </c:pt>
                <c:pt idx="5">
                  <c:v>6857.6269553699995</c:v>
                </c:pt>
                <c:pt idx="6">
                  <c:v>3427.5250255400001</c:v>
                </c:pt>
                <c:pt idx="7">
                  <c:v>1746.70421128</c:v>
                </c:pt>
                <c:pt idx="8">
                  <c:v>1454.5558265500001</c:v>
                </c:pt>
                <c:pt idx="9">
                  <c:v>1393.0068738700002</c:v>
                </c:pt>
                <c:pt idx="10">
                  <c:v>1254.65276958</c:v>
                </c:pt>
                <c:pt idx="11">
                  <c:v>815.52452038999991</c:v>
                </c:pt>
                <c:pt idx="12">
                  <c:v>755.76920891999998</c:v>
                </c:pt>
                <c:pt idx="13">
                  <c:v>402.64756305000003</c:v>
                </c:pt>
                <c:pt idx="14">
                  <c:v>357.94901197000002</c:v>
                </c:pt>
                <c:pt idx="15">
                  <c:v>310.40328026999998</c:v>
                </c:pt>
                <c:pt idx="16">
                  <c:v>234.34318972</c:v>
                </c:pt>
                <c:pt idx="17">
                  <c:v>202.07033213</c:v>
                </c:pt>
                <c:pt idx="18">
                  <c:v>152.77254397999999</c:v>
                </c:pt>
              </c:numCache>
            </c:numRef>
          </c:val>
          <c:extLst>
            <c:ext xmlns:c16="http://schemas.microsoft.com/office/drawing/2014/chart" uri="{C3380CC4-5D6E-409C-BE32-E72D297353CC}">
              <c16:uniqueId val="{00000005-3D11-48A2-AEDB-F560270AAE11}"/>
            </c:ext>
          </c:extLst>
        </c:ser>
        <c:dLbls>
          <c:showLegendKey val="0"/>
          <c:showVal val="0"/>
          <c:showCatName val="0"/>
          <c:showSerName val="0"/>
          <c:showPercent val="0"/>
          <c:showBubbleSize val="0"/>
        </c:dLbls>
        <c:gapWidth val="42"/>
        <c:overlap val="-27"/>
        <c:axId val="175989504"/>
        <c:axId val="175991040"/>
      </c:barChart>
      <c:lineChart>
        <c:grouping val="standard"/>
        <c:varyColors val="0"/>
        <c:ser>
          <c:idx val="1"/>
          <c:order val="1"/>
          <c:tx>
            <c:strRef>
              <c:f>Sheet1!$C$1</c:f>
              <c:strCache>
                <c:ptCount val="1"/>
                <c:pt idx="0">
                  <c:v>% de ejecución</c:v>
                </c:pt>
              </c:strCache>
            </c:strRef>
          </c:tx>
          <c:spPr>
            <a:ln w="25400" cap="rnd">
              <a:noFill/>
              <a:round/>
            </a:ln>
            <a:effectLst/>
          </c:spPr>
          <c:marker>
            <c:symbol val="circle"/>
            <c:size val="6"/>
            <c:spPr>
              <a:solidFill>
                <a:srgbClr val="4472C4">
                  <a:lumMod val="40000"/>
                  <a:lumOff val="60000"/>
                </a:srgbClr>
              </a:solidFill>
              <a:ln w="28575">
                <a:solidFill>
                  <a:srgbClr val="5B9BD5">
                    <a:lumMod val="60000"/>
                    <a:lumOff val="40000"/>
                  </a:srgbClr>
                </a:solidFill>
                <a:round/>
              </a:ln>
              <a:effectLst/>
            </c:spPr>
          </c:marker>
          <c:dLbls>
            <c:dLbl>
              <c:idx val="0"/>
              <c:layout>
                <c:manualLayout>
                  <c:x val="-3.4722222222222224E-2"/>
                  <c:y val="-5.2666227781435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D11-48A2-AEDB-F560270AAE11}"/>
                </c:ext>
              </c:extLst>
            </c:dLbl>
            <c:dLbl>
              <c:idx val="1"/>
              <c:layout>
                <c:manualLayout>
                  <c:x val="-3.6892361111111154E-2"/>
                  <c:y val="4.8277375466315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D11-48A2-AEDB-F560270AAE11}"/>
                </c:ext>
              </c:extLst>
            </c:dLbl>
            <c:dLbl>
              <c:idx val="2"/>
              <c:layout>
                <c:manualLayout>
                  <c:x val="-3.2552083333333336E-2"/>
                  <c:y val="-4.3888523151195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D11-48A2-AEDB-F560270AAE11}"/>
                </c:ext>
              </c:extLst>
            </c:dLbl>
            <c:dLbl>
              <c:idx val="3"/>
              <c:layout>
                <c:manualLayout>
                  <c:x val="-2.5193305060709645E-2"/>
                  <c:y val="-3.77195290906939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D11-48A2-AEDB-F560270AAE11}"/>
                </c:ext>
              </c:extLst>
            </c:dLbl>
            <c:dLbl>
              <c:idx val="4"/>
              <c:layout>
                <c:manualLayout>
                  <c:x val="-3.2552083333333412E-2"/>
                  <c:y val="4.388852315119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D11-48A2-AEDB-F560270AAE11}"/>
                </c:ext>
              </c:extLst>
            </c:dLbl>
            <c:dLbl>
              <c:idx val="5"/>
              <c:layout>
                <c:manualLayout>
                  <c:x val="-2.9151768711113319E-2"/>
                  <c:y val="-3.8666550631195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D11-48A2-AEDB-F560270AAE11}"/>
                </c:ext>
              </c:extLst>
            </c:dLbl>
            <c:dLbl>
              <c:idx val="6"/>
              <c:layout>
                <c:manualLayout>
                  <c:x val="-3.2552065747356196E-2"/>
                  <c:y val="-3.66033821369145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D11-48A2-AEDB-F560270AAE11}"/>
                </c:ext>
              </c:extLst>
            </c:dLbl>
            <c:dLbl>
              <c:idx val="7"/>
              <c:layout>
                <c:manualLayout>
                  <c:x val="-3.6892361111111112E-2"/>
                  <c:y val="4.8277375466315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D11-48A2-AEDB-F560270AAE11}"/>
                </c:ext>
              </c:extLst>
            </c:dLbl>
            <c:dLbl>
              <c:idx val="8"/>
              <c:layout>
                <c:manualLayout>
                  <c:x val="-3.47222222222223E-2"/>
                  <c:y val="4.3888523151195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D11-48A2-AEDB-F560270AAE11}"/>
                </c:ext>
              </c:extLst>
            </c:dLbl>
            <c:dLbl>
              <c:idx val="9"/>
              <c:layout>
                <c:manualLayout>
                  <c:x val="-3.47222222222223E-2"/>
                  <c:y val="4.3888523151195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D11-48A2-AEDB-F560270AAE11}"/>
                </c:ext>
              </c:extLst>
            </c:dLbl>
            <c:dLbl>
              <c:idx val="10"/>
              <c:layout>
                <c:manualLayout>
                  <c:x val="-3.3178621217515455E-2"/>
                  <c:y val="3.18123857775827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D11-48A2-AEDB-F560270AAE11}"/>
                </c:ext>
              </c:extLst>
            </c:dLbl>
            <c:dLbl>
              <c:idx val="11"/>
              <c:layout>
                <c:manualLayout>
                  <c:x val="-3.2552083333333412E-2"/>
                  <c:y val="4.38885231511959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D11-48A2-AEDB-F560270AAE11}"/>
                </c:ext>
              </c:extLst>
            </c:dLbl>
            <c:dLbl>
              <c:idx val="12"/>
              <c:layout>
                <c:manualLayout>
                  <c:x val="-3.4722222222222245E-2"/>
                  <c:y val="5.70550800965547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D11-48A2-AEDB-F560270AAE11}"/>
                </c:ext>
              </c:extLst>
            </c:dLbl>
            <c:dLbl>
              <c:idx val="13"/>
              <c:layout>
                <c:manualLayout>
                  <c:x val="-3.2552083333333336E-2"/>
                  <c:y val="4.8277375466315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D11-48A2-AEDB-F560270AAE11}"/>
                </c:ext>
              </c:extLst>
            </c:dLbl>
            <c:dLbl>
              <c:idx val="14"/>
              <c:layout>
                <c:manualLayout>
                  <c:x val="-2.9544144370741307E-2"/>
                  <c:y val="-3.67952547045677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D11-48A2-AEDB-F560270AAE11}"/>
                </c:ext>
              </c:extLst>
            </c:dLbl>
            <c:dLbl>
              <c:idx val="15"/>
              <c:layout>
                <c:manualLayout>
                  <c:x val="-3.47222222222223E-2"/>
                  <c:y val="4.3888523151195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D11-48A2-AEDB-F560270AAE11}"/>
                </c:ext>
              </c:extLst>
            </c:dLbl>
            <c:dLbl>
              <c:idx val="16"/>
              <c:layout>
                <c:manualLayout>
                  <c:x val="-3.2552083333333336E-2"/>
                  <c:y val="4.82773754663155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3D11-48A2-AEDB-F560270AAE11}"/>
                </c:ext>
              </c:extLst>
            </c:dLbl>
            <c:dLbl>
              <c:idx val="17"/>
              <c:layout>
                <c:manualLayout>
                  <c:x val="-3.2552083333333336E-2"/>
                  <c:y val="-5.2666227781435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3D11-48A2-AEDB-F560270AAE11}"/>
                </c:ext>
              </c:extLst>
            </c:dLbl>
            <c:dLbl>
              <c:idx val="18"/>
              <c:layout>
                <c:manualLayout>
                  <c:x val="-3.4722222222222224E-2"/>
                  <c:y val="4.388852315119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3D11-48A2-AEDB-F560270AAE11}"/>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Sheet1!$A$2:$A$20</c:f>
              <c:strCache>
                <c:ptCount val="19"/>
                <c:pt idx="0">
                  <c:v>Obligaciones</c:v>
                </c:pt>
                <c:pt idx="1">
                  <c:v>Educación</c:v>
                </c:pt>
                <c:pt idx="2">
                  <c:v>Deuda Pública</c:v>
                </c:pt>
                <c:pt idx="3">
                  <c:v>Salud Pública</c:v>
                </c:pt>
                <c:pt idx="4">
                  <c:v>Comunicaciones</c:v>
                </c:pt>
                <c:pt idx="5">
                  <c:v>Gobernación</c:v>
                </c:pt>
                <c:pt idx="6">
                  <c:v>Defensa</c:v>
                </c:pt>
                <c:pt idx="7">
                  <c:v>Desarrollo</c:v>
                </c:pt>
                <c:pt idx="8">
                  <c:v>Agricultura</c:v>
                </c:pt>
                <c:pt idx="9">
                  <c:v>Secretarías</c:v>
                </c:pt>
                <c:pt idx="10">
                  <c:v>Trabajo</c:v>
                </c:pt>
                <c:pt idx="11">
                  <c:v>Cultura</c:v>
                </c:pt>
                <c:pt idx="12">
                  <c:v>Minrex</c:v>
                </c:pt>
                <c:pt idx="13">
                  <c:v>Economía </c:v>
                </c:pt>
                <c:pt idx="14">
                  <c:v>Finanzas </c:v>
                </c:pt>
                <c:pt idx="15">
                  <c:v>Energía</c:v>
                </c:pt>
                <c:pt idx="16">
                  <c:v>Ambiente</c:v>
                </c:pt>
                <c:pt idx="17">
                  <c:v>Presidencia </c:v>
                </c:pt>
                <c:pt idx="18">
                  <c:v>PGN</c:v>
                </c:pt>
              </c:strCache>
            </c:strRef>
          </c:cat>
          <c:val>
            <c:numRef>
              <c:f>Sheet1!$C$2:$C$20</c:f>
              <c:numCache>
                <c:formatCode>0.0</c:formatCode>
                <c:ptCount val="19"/>
                <c:pt idx="0">
                  <c:v>95.34864491492273</c:v>
                </c:pt>
                <c:pt idx="1">
                  <c:v>98.804063099218567</c:v>
                </c:pt>
                <c:pt idx="2">
                  <c:v>99.94078776077076</c:v>
                </c:pt>
                <c:pt idx="3">
                  <c:v>96.894513091117943</c:v>
                </c:pt>
                <c:pt idx="4">
                  <c:v>92.799572635219803</c:v>
                </c:pt>
                <c:pt idx="5">
                  <c:v>97.845779427857821</c:v>
                </c:pt>
                <c:pt idx="6">
                  <c:v>99.989460605517209</c:v>
                </c:pt>
                <c:pt idx="7">
                  <c:v>98.00469785483439</c:v>
                </c:pt>
                <c:pt idx="8">
                  <c:v>98.442865047820874</c:v>
                </c:pt>
                <c:pt idx="9">
                  <c:v>95.885872950808633</c:v>
                </c:pt>
                <c:pt idx="10">
                  <c:v>92.402041081866372</c:v>
                </c:pt>
                <c:pt idx="11">
                  <c:v>99.125023940161356</c:v>
                </c:pt>
                <c:pt idx="12">
                  <c:v>99.690140043233413</c:v>
                </c:pt>
                <c:pt idx="13">
                  <c:v>95.364698152513981</c:v>
                </c:pt>
                <c:pt idx="14">
                  <c:v>99.107259710013153</c:v>
                </c:pt>
                <c:pt idx="15">
                  <c:v>99.448737913217357</c:v>
                </c:pt>
                <c:pt idx="16">
                  <c:v>97.665647228840399</c:v>
                </c:pt>
                <c:pt idx="17">
                  <c:v>97.079189108815754</c:v>
                </c:pt>
                <c:pt idx="18">
                  <c:v>93.31121906686414</c:v>
                </c:pt>
              </c:numCache>
            </c:numRef>
          </c:val>
          <c:smooth val="0"/>
          <c:extLst>
            <c:ext xmlns:c16="http://schemas.microsoft.com/office/drawing/2014/chart" uri="{C3380CC4-5D6E-409C-BE32-E72D297353CC}">
              <c16:uniqueId val="{00000019-3D11-48A2-AEDB-F560270AAE11}"/>
            </c:ext>
          </c:extLst>
        </c:ser>
        <c:ser>
          <c:idx val="2"/>
          <c:order val="2"/>
          <c:tx>
            <c:strRef>
              <c:f>Sheet1!$D$1</c:f>
              <c:strCache>
                <c:ptCount val="1"/>
                <c:pt idx="0">
                  <c:v>Ejecución total</c:v>
                </c:pt>
              </c:strCache>
            </c:strRef>
          </c:tx>
          <c:spPr>
            <a:ln>
              <a:solidFill>
                <a:srgbClr val="00B0F0"/>
              </a:solidFill>
              <a:prstDash val="sysDash"/>
            </a:ln>
          </c:spPr>
          <c:marker>
            <c:symbol val="none"/>
          </c:marker>
          <c:dLbls>
            <c:dLbl>
              <c:idx val="10"/>
              <c:layout>
                <c:manualLayout>
                  <c:x val="-0.1072041166380789"/>
                  <c:y val="0.10610079575596817"/>
                </c:manualLayout>
              </c:layout>
              <c:spPr>
                <a:solidFill>
                  <a:srgbClr val="00B0F0">
                    <a:alpha val="38039"/>
                  </a:srgbClr>
                </a:solidFill>
                <a:ln>
                  <a:noFill/>
                </a:ln>
                <a:effectLst/>
              </c:spPr>
              <c:txPr>
                <a:bodyPr wrap="square" lIns="38100" tIns="19050" rIns="38100" bIns="19050" anchor="ctr">
                  <a:spAutoFit/>
                </a:bodyPr>
                <a:lstStyle/>
                <a:p>
                  <a:pPr>
                    <a:defRPr sz="900" b="1">
                      <a:solidFill>
                        <a:sysClr val="windowText" lastClr="000000"/>
                      </a:solidFill>
                      <a:latin typeface="Times New Roman" panose="02020603050405020304" pitchFamily="18" charset="0"/>
                      <a:cs typeface="Times New Roman" panose="02020603050405020304" pitchFamily="18" charset="0"/>
                    </a:defRPr>
                  </a:pPr>
                  <a:endParaRPr lang="es-GT"/>
                </a:p>
              </c:txP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7-43B8-42EE-BF70-CE481E724971}"/>
                </c:ext>
              </c:extLst>
            </c:dLbl>
            <c:spPr>
              <a:solidFill>
                <a:srgbClr val="00B0F0">
                  <a:alpha val="38039"/>
                </a:srgbClr>
              </a:solidFill>
              <a:ln>
                <a:noFill/>
              </a:ln>
              <a:effectLst/>
            </c:spPr>
            <c:txPr>
              <a:bodyPr wrap="square" lIns="38100" tIns="19050" rIns="38100" bIns="19050" anchor="ctr">
                <a:spAutoFit/>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Sheet1!$A$2:$A$20</c:f>
              <c:strCache>
                <c:ptCount val="19"/>
                <c:pt idx="0">
                  <c:v>Obligaciones</c:v>
                </c:pt>
                <c:pt idx="1">
                  <c:v>Educación</c:v>
                </c:pt>
                <c:pt idx="2">
                  <c:v>Deuda Pública</c:v>
                </c:pt>
                <c:pt idx="3">
                  <c:v>Salud Pública</c:v>
                </c:pt>
                <c:pt idx="4">
                  <c:v>Comunicaciones</c:v>
                </c:pt>
                <c:pt idx="5">
                  <c:v>Gobernación</c:v>
                </c:pt>
                <c:pt idx="6">
                  <c:v>Defensa</c:v>
                </c:pt>
                <c:pt idx="7">
                  <c:v>Desarrollo</c:v>
                </c:pt>
                <c:pt idx="8">
                  <c:v>Agricultura</c:v>
                </c:pt>
                <c:pt idx="9">
                  <c:v>Secretarías</c:v>
                </c:pt>
                <c:pt idx="10">
                  <c:v>Trabajo</c:v>
                </c:pt>
                <c:pt idx="11">
                  <c:v>Cultura</c:v>
                </c:pt>
                <c:pt idx="12">
                  <c:v>Minrex</c:v>
                </c:pt>
                <c:pt idx="13">
                  <c:v>Economía </c:v>
                </c:pt>
                <c:pt idx="14">
                  <c:v>Finanzas </c:v>
                </c:pt>
                <c:pt idx="15">
                  <c:v>Energía</c:v>
                </c:pt>
                <c:pt idx="16">
                  <c:v>Ambiente</c:v>
                </c:pt>
                <c:pt idx="17">
                  <c:v>Presidencia </c:v>
                </c:pt>
                <c:pt idx="18">
                  <c:v>PGN</c:v>
                </c:pt>
              </c:strCache>
            </c:strRef>
          </c:cat>
          <c:val>
            <c:numRef>
              <c:f>Sheet1!$D$2:$D$20</c:f>
              <c:numCache>
                <c:formatCode>0.0</c:formatCode>
                <c:ptCount val="19"/>
                <c:pt idx="0">
                  <c:v>96.971719763785586</c:v>
                </c:pt>
                <c:pt idx="1">
                  <c:v>96.971719763785586</c:v>
                </c:pt>
                <c:pt idx="2">
                  <c:v>96.971719763785586</c:v>
                </c:pt>
                <c:pt idx="3">
                  <c:v>96.971719763785586</c:v>
                </c:pt>
                <c:pt idx="4">
                  <c:v>96.971719763785586</c:v>
                </c:pt>
                <c:pt idx="5">
                  <c:v>96.971719763785586</c:v>
                </c:pt>
                <c:pt idx="6">
                  <c:v>96.971719763785586</c:v>
                </c:pt>
                <c:pt idx="7">
                  <c:v>96.971719763785586</c:v>
                </c:pt>
                <c:pt idx="8">
                  <c:v>96.971719763785586</c:v>
                </c:pt>
                <c:pt idx="9">
                  <c:v>96.971719763785586</c:v>
                </c:pt>
                <c:pt idx="10">
                  <c:v>96.971719763785586</c:v>
                </c:pt>
                <c:pt idx="11">
                  <c:v>96.971719763785586</c:v>
                </c:pt>
                <c:pt idx="12">
                  <c:v>96.971719763785586</c:v>
                </c:pt>
                <c:pt idx="13">
                  <c:v>96.971719763785586</c:v>
                </c:pt>
                <c:pt idx="14">
                  <c:v>96.971719763785586</c:v>
                </c:pt>
                <c:pt idx="15">
                  <c:v>96.971719763785586</c:v>
                </c:pt>
                <c:pt idx="16">
                  <c:v>96.971719763785586</c:v>
                </c:pt>
                <c:pt idx="17">
                  <c:v>96.971719763785586</c:v>
                </c:pt>
                <c:pt idx="18">
                  <c:v>96.971719763785586</c:v>
                </c:pt>
              </c:numCache>
            </c:numRef>
          </c:val>
          <c:smooth val="0"/>
          <c:extLst>
            <c:ext xmlns:c16="http://schemas.microsoft.com/office/drawing/2014/chart" uri="{C3380CC4-5D6E-409C-BE32-E72D297353CC}">
              <c16:uniqueId val="{00000006-43B8-42EE-BF70-CE481E724971}"/>
            </c:ext>
          </c:extLst>
        </c:ser>
        <c:dLbls>
          <c:showLegendKey val="0"/>
          <c:showVal val="0"/>
          <c:showCatName val="0"/>
          <c:showSerName val="0"/>
          <c:showPercent val="0"/>
          <c:showBubbleSize val="0"/>
        </c:dLbls>
        <c:marker val="1"/>
        <c:smooth val="0"/>
        <c:axId val="176007424"/>
        <c:axId val="176005504"/>
      </c:lineChart>
      <c:catAx>
        <c:axId val="17598950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75991040"/>
        <c:crosses val="autoZero"/>
        <c:auto val="1"/>
        <c:lblAlgn val="ctr"/>
        <c:lblOffset val="100"/>
        <c:noMultiLvlLbl val="0"/>
      </c:catAx>
      <c:valAx>
        <c:axId val="175991040"/>
        <c:scaling>
          <c:orientation val="minMax"/>
          <c:max val="42000"/>
          <c:min val="0"/>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s-GT">
                    <a:solidFill>
                      <a:schemeClr val="accent1">
                        <a:lumMod val="50000"/>
                      </a:schemeClr>
                    </a:solidFill>
                    <a:latin typeface="Times New Roman" panose="02020603050405020304" pitchFamily="18" charset="0"/>
                    <a:cs typeface="Times New Roman" panose="02020603050405020304" pitchFamily="18" charset="0"/>
                  </a:rPr>
                  <a:t>Millones de quetzales</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s-GT"/>
          </a:p>
        </c:txPr>
        <c:crossAx val="175989504"/>
        <c:crosses val="autoZero"/>
        <c:crossBetween val="between"/>
        <c:majorUnit val="4000"/>
      </c:valAx>
      <c:valAx>
        <c:axId val="176005504"/>
        <c:scaling>
          <c:orientation val="minMax"/>
          <c:max val="100"/>
          <c:min val="0"/>
        </c:scaling>
        <c:delete val="0"/>
        <c:axPos val="r"/>
        <c:title>
          <c:tx>
            <c:rich>
              <a:bodyPr rot="5400000" spcFirstLastPara="1" vertOverflow="ellipsis" wrap="square" anchor="ctr" anchorCtr="1"/>
              <a:lstStyle/>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r>
                  <a:rPr lang="es-GT">
                    <a:solidFill>
                      <a:schemeClr val="accent1">
                        <a:lumMod val="50000"/>
                      </a:schemeClr>
                    </a:solidFill>
                    <a:latin typeface="Times New Roman" panose="02020603050405020304" pitchFamily="18" charset="0"/>
                    <a:cs typeface="Times New Roman" panose="02020603050405020304" pitchFamily="18" charset="0"/>
                  </a:rPr>
                  <a:t>Porcentajes de ejecución</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s-GT"/>
          </a:p>
        </c:txPr>
        <c:crossAx val="176007424"/>
        <c:crosses val="max"/>
        <c:crossBetween val="between"/>
      </c:valAx>
      <c:catAx>
        <c:axId val="176007424"/>
        <c:scaling>
          <c:orientation val="minMax"/>
        </c:scaling>
        <c:delete val="1"/>
        <c:axPos val="b"/>
        <c:numFmt formatCode="General" sourceLinked="1"/>
        <c:majorTickMark val="out"/>
        <c:minorTickMark val="none"/>
        <c:tickLblPos val="nextTo"/>
        <c:crossAx val="176005504"/>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layout>
        <c:manualLayout>
          <c:xMode val="edge"/>
          <c:yMode val="edge"/>
          <c:x val="9.4017067112755953E-2"/>
          <c:y val="0.92716579577000258"/>
          <c:w val="0.73152375035453332"/>
          <c:h val="5.6110890647952827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a:pPr>
      <a:endParaRPr lang="es-GT"/>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306229196386118E-2"/>
          <c:y val="5.7049714751426242E-2"/>
          <c:w val="0.9308482680978839"/>
          <c:h val="0.82390804716164423"/>
        </c:manualLayout>
      </c:layout>
      <c:ofPieChart>
        <c:ofPieType val="bar"/>
        <c:varyColors val="1"/>
        <c:ser>
          <c:idx val="0"/>
          <c:order val="0"/>
          <c:tx>
            <c:strRef>
              <c:f>Sheet1!$B$1</c:f>
              <c:strCache>
                <c:ptCount val="1"/>
                <c:pt idx="0">
                  <c:v>Column1</c:v>
                </c:pt>
              </c:strCache>
            </c:strRef>
          </c:tx>
          <c:spPr>
            <a:effectLst>
              <a:outerShdw blurRad="50800" dist="38100" algn="l" rotWithShape="0">
                <a:prstClr val="black">
                  <a:alpha val="40000"/>
                </a:prstClr>
              </a:outerShdw>
              <a:softEdge rad="0"/>
            </a:effectLst>
          </c:spPr>
          <c:dPt>
            <c:idx val="0"/>
            <c:bubble3D val="0"/>
            <c:spPr>
              <a:solidFill>
                <a:schemeClr val="accent6"/>
              </a:solidFill>
              <a:ln w="19050">
                <a:solidFill>
                  <a:schemeClr val="lt1"/>
                </a:solidFill>
              </a:ln>
              <a:effectLst>
                <a:outerShdw blurRad="50800" dist="38100" algn="l" rotWithShape="0">
                  <a:prstClr val="black">
                    <a:alpha val="40000"/>
                  </a:prstClr>
                </a:outerShdw>
                <a:softEdge rad="0"/>
              </a:effectLst>
            </c:spPr>
            <c:extLst>
              <c:ext xmlns:c16="http://schemas.microsoft.com/office/drawing/2014/chart" uri="{C3380CC4-5D6E-409C-BE32-E72D297353CC}">
                <c16:uniqueId val="{00000001-BB4F-4843-A1CF-7025BDECE2E7}"/>
              </c:ext>
            </c:extLst>
          </c:dPt>
          <c:dPt>
            <c:idx val="1"/>
            <c:bubble3D val="0"/>
            <c:spPr>
              <a:solidFill>
                <a:schemeClr val="accent5"/>
              </a:solidFill>
              <a:ln w="19050">
                <a:solidFill>
                  <a:schemeClr val="lt1"/>
                </a:solidFill>
              </a:ln>
              <a:effectLst>
                <a:outerShdw blurRad="50800" dist="38100" algn="l" rotWithShape="0">
                  <a:prstClr val="black">
                    <a:alpha val="40000"/>
                  </a:prstClr>
                </a:outerShdw>
                <a:softEdge rad="0"/>
              </a:effectLst>
            </c:spPr>
            <c:extLst>
              <c:ext xmlns:c16="http://schemas.microsoft.com/office/drawing/2014/chart" uri="{C3380CC4-5D6E-409C-BE32-E72D297353CC}">
                <c16:uniqueId val="{00000003-BB4F-4843-A1CF-7025BDECE2E7}"/>
              </c:ext>
            </c:extLst>
          </c:dPt>
          <c:dPt>
            <c:idx val="2"/>
            <c:bubble3D val="0"/>
            <c:spPr>
              <a:solidFill>
                <a:schemeClr val="accent4"/>
              </a:solidFill>
              <a:ln w="19050">
                <a:noFill/>
              </a:ln>
              <a:effectLst>
                <a:outerShdw blurRad="50800" dist="38100" algn="l" rotWithShape="0">
                  <a:prstClr val="black">
                    <a:alpha val="40000"/>
                  </a:prstClr>
                </a:outerShdw>
                <a:softEdge rad="0"/>
              </a:effectLst>
            </c:spPr>
            <c:extLst>
              <c:ext xmlns:c16="http://schemas.microsoft.com/office/drawing/2014/chart" uri="{C3380CC4-5D6E-409C-BE32-E72D297353CC}">
                <c16:uniqueId val="{00000005-BB4F-4843-A1CF-7025BDECE2E7}"/>
              </c:ext>
            </c:extLst>
          </c:dPt>
          <c:dPt>
            <c:idx val="3"/>
            <c:bubble3D val="0"/>
            <c:spPr>
              <a:solidFill>
                <a:schemeClr val="accent6">
                  <a:lumMod val="60000"/>
                </a:schemeClr>
              </a:solidFill>
              <a:ln w="19050">
                <a:solidFill>
                  <a:schemeClr val="lt1"/>
                </a:solidFill>
              </a:ln>
              <a:effectLst>
                <a:outerShdw blurRad="50800" dist="38100" algn="l" rotWithShape="0">
                  <a:prstClr val="black">
                    <a:alpha val="40000"/>
                  </a:prstClr>
                </a:outerShdw>
                <a:softEdge rad="0"/>
              </a:effectLst>
            </c:spPr>
            <c:extLst>
              <c:ext xmlns:c16="http://schemas.microsoft.com/office/drawing/2014/chart" uri="{C3380CC4-5D6E-409C-BE32-E72D297353CC}">
                <c16:uniqueId val="{00000007-BB4F-4843-A1CF-7025BDECE2E7}"/>
              </c:ext>
            </c:extLst>
          </c:dPt>
          <c:dPt>
            <c:idx val="4"/>
            <c:bubble3D val="0"/>
            <c:spPr>
              <a:solidFill>
                <a:schemeClr val="accent5">
                  <a:lumMod val="60000"/>
                </a:schemeClr>
              </a:solidFill>
              <a:ln w="19050">
                <a:solidFill>
                  <a:schemeClr val="lt1"/>
                </a:solidFill>
              </a:ln>
              <a:effectLst>
                <a:outerShdw blurRad="50800" dist="38100" algn="l" rotWithShape="0">
                  <a:prstClr val="black">
                    <a:alpha val="40000"/>
                  </a:prstClr>
                </a:outerShdw>
                <a:softEdge rad="0"/>
              </a:effectLst>
            </c:spPr>
            <c:extLst>
              <c:ext xmlns:c16="http://schemas.microsoft.com/office/drawing/2014/chart" uri="{C3380CC4-5D6E-409C-BE32-E72D297353CC}">
                <c16:uniqueId val="{00000009-BB4F-4843-A1CF-7025BDECE2E7}"/>
              </c:ext>
            </c:extLst>
          </c:dPt>
          <c:dLbls>
            <c:dLbl>
              <c:idx val="0"/>
              <c:layout>
                <c:manualLayout>
                  <c:x val="0.16684398080992593"/>
                  <c:y val="-6.8327454154225812E-3"/>
                </c:manualLayout>
              </c:layout>
              <c:numFmt formatCode="#,##0.0" sourceLinked="0"/>
              <c:spPr>
                <a:noFill/>
                <a:ln w="6350">
                  <a:noFill/>
                </a:ln>
                <a:effectLst/>
              </c:spPr>
              <c:txPr>
                <a:bodyPr rot="0" spcFirstLastPara="1" vertOverflow="ellipsis" vert="horz" wrap="square" lIns="38100" tIns="19050" rIns="38100" bIns="19050" anchor="ctr" anchorCtr="0">
                  <a:spAutoFit/>
                </a:bodyPr>
                <a:lstStyle/>
                <a:p>
                  <a:pPr algn="ct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4F-4843-A1CF-7025BDECE2E7}"/>
                </c:ext>
              </c:extLst>
            </c:dLbl>
            <c:dLbl>
              <c:idx val="2"/>
              <c:layout>
                <c:manualLayout>
                  <c:x val="-0.17142301731269236"/>
                  <c:y val="-6.213400229148261E-2"/>
                </c:manualLayout>
              </c:layout>
              <c:showLegendKey val="0"/>
              <c:showVal val="1"/>
              <c:showCatName val="1"/>
              <c:showSerName val="0"/>
              <c:showPercent val="0"/>
              <c:showBubbleSize val="0"/>
              <c:extLst>
                <c:ext xmlns:c15="http://schemas.microsoft.com/office/drawing/2012/chart" uri="{CE6537A1-D6FC-4f65-9D91-7224C49458BB}">
                  <c15:layout>
                    <c:manualLayout>
                      <c:w val="0.1782703366292282"/>
                      <c:h val="0.33451346837173607"/>
                    </c:manualLayout>
                  </c15:layout>
                </c:ext>
                <c:ext xmlns:c16="http://schemas.microsoft.com/office/drawing/2014/chart" uri="{C3380CC4-5D6E-409C-BE32-E72D297353CC}">
                  <c16:uniqueId val="{00000005-BB4F-4843-A1CF-7025BDECE2E7}"/>
                </c:ext>
              </c:extLst>
            </c:dLbl>
            <c:dLbl>
              <c:idx val="3"/>
              <c:layout>
                <c:manualLayout>
                  <c:x val="-0.147591573862874"/>
                  <c:y val="4.8392630282393961E-2"/>
                </c:manualLayout>
              </c:layout>
              <c:numFmt formatCode="#,##0.0" sourceLinked="0"/>
              <c:spPr>
                <a:noFill/>
                <a:ln w="6350">
                  <a:noFill/>
                </a:ln>
                <a:effectLst/>
              </c:spPr>
              <c:txPr>
                <a:bodyPr rot="0" spcFirstLastPara="1" vertOverflow="ellipsis" vert="horz" wrap="square" lIns="38100" tIns="19050" rIns="38100" bIns="19050" anchor="ctr" anchorCtr="0">
                  <a:noAutofit/>
                </a:bodyPr>
                <a:lstStyle/>
                <a:p>
                  <a:pPr algn="ct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3387136401764214"/>
                      <c:h val="0.26419152318483163"/>
                    </c:manualLayout>
                  </c15:layout>
                </c:ext>
                <c:ext xmlns:c16="http://schemas.microsoft.com/office/drawing/2014/chart" uri="{C3380CC4-5D6E-409C-BE32-E72D297353CC}">
                  <c16:uniqueId val="{00000007-BB4F-4843-A1CF-7025BDECE2E7}"/>
                </c:ext>
              </c:extLst>
            </c:dLbl>
            <c:dLbl>
              <c:idx val="4"/>
              <c:layout>
                <c:manualLayout>
                  <c:x val="-0.26003306668048592"/>
                  <c:y val="-7.0560333184158483E-2"/>
                </c:manualLayout>
              </c:layout>
              <c:tx>
                <c:rich>
                  <a:bodyPr rot="0" spcFirstLastPara="1" vertOverflow="ellipsis" vert="horz" wrap="square" lIns="38100" tIns="19050" rIns="38100" bIns="19050" anchor="ctr" anchorCtr="0">
                    <a:noAutofit/>
                  </a:bodyPr>
                  <a:lstStyle/>
                  <a:p>
                    <a:pPr algn="ctr">
                      <a:defRPr sz="1050" b="1" i="0" u="none" strike="noStrike" kern="1200" baseline="0">
                        <a:solidFill>
                          <a:schemeClr val="bg1"/>
                        </a:solidFill>
                        <a:latin typeface="Times New Roman" panose="02020603050405020304" pitchFamily="18" charset="0"/>
                        <a:ea typeface="+mn-ea"/>
                        <a:cs typeface="Times New Roman" panose="02020603050405020304" pitchFamily="18" charset="0"/>
                      </a:defRPr>
                    </a:pPr>
                    <a:r>
                      <a:rPr lang="en-US" sz="1050" baseline="0">
                        <a:solidFill>
                          <a:schemeClr val="bg1"/>
                        </a:solidFill>
                        <a:latin typeface="Times New Roman" panose="02020603050405020304" pitchFamily="18" charset="0"/>
                        <a:cs typeface="Times New Roman" panose="02020603050405020304" pitchFamily="18" charset="0"/>
                      </a:rPr>
                      <a:t>Colocado; </a:t>
                    </a:r>
                    <a:fld id="{36066939-FD9D-4D7E-89B2-F23616AF3D74}" type="VALUE">
                      <a:rPr lang="en-US" sz="1050" baseline="0">
                        <a:solidFill>
                          <a:schemeClr val="bg1"/>
                        </a:solidFill>
                        <a:latin typeface="Times New Roman" panose="02020603050405020304" pitchFamily="18" charset="0"/>
                        <a:cs typeface="Times New Roman" panose="02020603050405020304" pitchFamily="18" charset="0"/>
                      </a:rPr>
                      <a:pPr algn="ctr">
                        <a:defRPr sz="1050" b="1">
                          <a:solidFill>
                            <a:schemeClr val="bg1"/>
                          </a:solidFill>
                          <a:latin typeface="Times New Roman" panose="02020603050405020304" pitchFamily="18" charset="0"/>
                          <a:cs typeface="Times New Roman" panose="02020603050405020304" pitchFamily="18" charset="0"/>
                        </a:defRPr>
                      </a:pPr>
                      <a:t>[VALOR]</a:t>
                    </a:fld>
                    <a:endParaRPr lang="en-US" sz="1050" baseline="0">
                      <a:solidFill>
                        <a:schemeClr val="bg1"/>
                      </a:solidFill>
                      <a:latin typeface="Times New Roman" panose="02020603050405020304" pitchFamily="18" charset="0"/>
                      <a:cs typeface="Times New Roman" panose="02020603050405020304" pitchFamily="18" charset="0"/>
                    </a:endParaRPr>
                  </a:p>
                </c:rich>
              </c:tx>
              <c:numFmt formatCode="#,##0.0" sourceLinked="0"/>
              <c:spPr>
                <a:noFill/>
                <a:ln w="6350">
                  <a:noFill/>
                </a:ln>
                <a:effectLst/>
              </c:spPr>
              <c:txPr>
                <a:bodyPr rot="0" spcFirstLastPara="1" vertOverflow="ellipsis" vert="horz" wrap="square" lIns="38100" tIns="19050" rIns="38100" bIns="19050" anchor="ctr" anchorCtr="0">
                  <a:noAutofit/>
                </a:bodyPr>
                <a:lstStyle/>
                <a:p>
                  <a:pPr algn="ctr">
                    <a:defRPr sz="105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3581790115780696"/>
                      <c:h val="0.30127643566805451"/>
                    </c:manualLayout>
                  </c15:layout>
                  <c15:dlblFieldTable/>
                  <c15:showDataLabelsRange val="0"/>
                </c:ext>
                <c:ext xmlns:c16="http://schemas.microsoft.com/office/drawing/2014/chart" uri="{C3380CC4-5D6E-409C-BE32-E72D297353CC}">
                  <c16:uniqueId val="{00000009-BB4F-4843-A1CF-7025BDECE2E7}"/>
                </c:ext>
              </c:extLst>
            </c:dLbl>
            <c:numFmt formatCode="#,##0.0" sourceLinked="0"/>
            <c:spPr>
              <a:noFill/>
              <a:ln w="6350">
                <a:noFill/>
              </a:ln>
              <a:effectLst/>
            </c:spPr>
            <c:txPr>
              <a:bodyPr rot="0" spcFirstLastPara="1" vertOverflow="ellipsis" vert="horz" wrap="square" lIns="38100" tIns="19050" rIns="38100" bIns="19050" anchor="ctr" anchorCtr="0">
                <a:spAutoFit/>
              </a:bodyPr>
              <a:lstStyle/>
              <a:p>
                <a:pPr algn="ct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howLeaderLines val="0"/>
            <c:extLst>
              <c:ext xmlns:c15="http://schemas.microsoft.com/office/drawing/2012/chart" uri="{CE6537A1-D6FC-4f65-9D91-7224C49458BB}"/>
            </c:extLst>
          </c:dLbls>
          <c:cat>
            <c:strRef>
              <c:f>Sheet1!$A$2:$A$5</c:f>
              <c:strCache>
                <c:ptCount val="4"/>
                <c:pt idx="0">
                  <c:v>NO Colocado</c:v>
                </c:pt>
                <c:pt idx="1">
                  <c:v>Colocado</c:v>
                </c:pt>
                <c:pt idx="2">
                  <c:v>Nuevo Endeudamiento</c:v>
                </c:pt>
                <c:pt idx="3">
                  <c:v>Roll Over</c:v>
                </c:pt>
              </c:strCache>
            </c:strRef>
          </c:cat>
          <c:val>
            <c:numRef>
              <c:f>Sheet1!$B$2:$B$5</c:f>
              <c:numCache>
                <c:formatCode>General</c:formatCode>
                <c:ptCount val="4"/>
                <c:pt idx="0" formatCode="#,##0.0">
                  <c:v>2992.5520000000001</c:v>
                </c:pt>
                <c:pt idx="2" formatCode="#,##0.0">
                  <c:v>12732.675999999999</c:v>
                </c:pt>
                <c:pt idx="3" formatCode="#,##0.0">
                  <c:v>482.15</c:v>
                </c:pt>
              </c:numCache>
            </c:numRef>
          </c:val>
          <c:extLst>
            <c:ext xmlns:c16="http://schemas.microsoft.com/office/drawing/2014/chart" uri="{C3380CC4-5D6E-409C-BE32-E72D297353CC}">
              <c16:uniqueId val="{0000000A-BB4F-4843-A1CF-7025BDECE2E7}"/>
            </c:ext>
          </c:extLst>
        </c:ser>
        <c:dLbls>
          <c:showLegendKey val="0"/>
          <c:showVal val="0"/>
          <c:showCatName val="0"/>
          <c:showSerName val="0"/>
          <c:showPercent val="0"/>
          <c:showBubbleSize val="0"/>
          <c:showLeaderLines val="0"/>
        </c:dLbls>
        <c:gapWidth val="29"/>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63385826771654"/>
          <c:y val="2.8942896805340519E-2"/>
          <c:w val="0.79788969087197437"/>
          <c:h val="0.77259257056997999"/>
        </c:manualLayout>
      </c:layout>
      <c:barChart>
        <c:barDir val="col"/>
        <c:grouping val="stacked"/>
        <c:varyColors val="0"/>
        <c:ser>
          <c:idx val="1"/>
          <c:order val="1"/>
          <c:tx>
            <c:strRef>
              <c:f>Hoja1!$A$3</c:f>
              <c:strCache>
                <c:ptCount val="1"/>
                <c:pt idx="0">
                  <c:v>Deuda Interna</c:v>
                </c:pt>
              </c:strCache>
            </c:strRef>
          </c:tx>
          <c:spPr>
            <a:solidFill>
              <a:srgbClr val="4BACC6">
                <a:lumMod val="50000"/>
              </a:srgbClr>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Hoja1!$B$1:$J$1</c:f>
              <c:strCache>
                <c:ptCount val="9"/>
                <c:pt idx="0">
                  <c:v>2015</c:v>
                </c:pt>
                <c:pt idx="1">
                  <c:v>2016</c:v>
                </c:pt>
                <c:pt idx="2">
                  <c:v>2017</c:v>
                </c:pt>
                <c:pt idx="3">
                  <c:v>2018</c:v>
                </c:pt>
                <c:pt idx="4">
                  <c:v>2019</c:v>
                </c:pt>
                <c:pt idx="5">
                  <c:v>2020</c:v>
                </c:pt>
                <c:pt idx="6">
                  <c:v>2021</c:v>
                </c:pt>
                <c:pt idx="7">
                  <c:v>2022</c:v>
                </c:pt>
                <c:pt idx="8">
                  <c:v>2023</c:v>
                </c:pt>
              </c:strCache>
            </c:strRef>
          </c:cat>
          <c:val>
            <c:numRef>
              <c:f>Hoja1!$B$3:$J$3</c:f>
              <c:numCache>
                <c:formatCode>#,##0.0</c:formatCode>
                <c:ptCount val="9"/>
                <c:pt idx="0">
                  <c:v>51.8</c:v>
                </c:pt>
                <c:pt idx="1">
                  <c:v>52</c:v>
                </c:pt>
                <c:pt idx="2">
                  <c:v>54.6</c:v>
                </c:pt>
                <c:pt idx="3">
                  <c:v>56.4</c:v>
                </c:pt>
                <c:pt idx="4">
                  <c:v>55.4</c:v>
                </c:pt>
                <c:pt idx="5">
                  <c:v>57</c:v>
                </c:pt>
                <c:pt idx="6">
                  <c:v>58.1</c:v>
                </c:pt>
                <c:pt idx="7">
                  <c:v>59.4</c:v>
                </c:pt>
                <c:pt idx="8">
                  <c:v>56.2</c:v>
                </c:pt>
              </c:numCache>
            </c:numRef>
          </c:val>
          <c:extLst>
            <c:ext xmlns:c16="http://schemas.microsoft.com/office/drawing/2014/chart" uri="{C3380CC4-5D6E-409C-BE32-E72D297353CC}">
              <c16:uniqueId val="{00000000-D994-4155-8715-526C5248ABFF}"/>
            </c:ext>
          </c:extLst>
        </c:ser>
        <c:ser>
          <c:idx val="2"/>
          <c:order val="2"/>
          <c:tx>
            <c:strRef>
              <c:f>Hoja1!$A$4</c:f>
              <c:strCache>
                <c:ptCount val="1"/>
                <c:pt idx="0">
                  <c:v>Deuda Externa</c:v>
                </c:pt>
              </c:strCache>
            </c:strRef>
          </c:tx>
          <c:spPr>
            <a:solidFill>
              <a:srgbClr val="FFC000"/>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Hoja1!$B$1:$J$1</c:f>
              <c:strCache>
                <c:ptCount val="9"/>
                <c:pt idx="0">
                  <c:v>2015</c:v>
                </c:pt>
                <c:pt idx="1">
                  <c:v>2016</c:v>
                </c:pt>
                <c:pt idx="2">
                  <c:v>2017</c:v>
                </c:pt>
                <c:pt idx="3">
                  <c:v>2018</c:v>
                </c:pt>
                <c:pt idx="4">
                  <c:v>2019</c:v>
                </c:pt>
                <c:pt idx="5">
                  <c:v>2020</c:v>
                </c:pt>
                <c:pt idx="6">
                  <c:v>2021</c:v>
                </c:pt>
                <c:pt idx="7">
                  <c:v>2022</c:v>
                </c:pt>
                <c:pt idx="8">
                  <c:v>2023</c:v>
                </c:pt>
              </c:strCache>
            </c:strRef>
          </c:cat>
          <c:val>
            <c:numRef>
              <c:f>Hoja1!$B$4:$J$4</c:f>
              <c:numCache>
                <c:formatCode>#,##0.0</c:formatCode>
                <c:ptCount val="9"/>
                <c:pt idx="0">
                  <c:v>48.2</c:v>
                </c:pt>
                <c:pt idx="1">
                  <c:v>48</c:v>
                </c:pt>
                <c:pt idx="2">
                  <c:v>45.4</c:v>
                </c:pt>
                <c:pt idx="3">
                  <c:v>43.6</c:v>
                </c:pt>
                <c:pt idx="4">
                  <c:v>44.6</c:v>
                </c:pt>
                <c:pt idx="5">
                  <c:v>43</c:v>
                </c:pt>
                <c:pt idx="6">
                  <c:v>41.9</c:v>
                </c:pt>
                <c:pt idx="7">
                  <c:v>40.6</c:v>
                </c:pt>
                <c:pt idx="8">
                  <c:v>43.8</c:v>
                </c:pt>
              </c:numCache>
            </c:numRef>
          </c:val>
          <c:extLst>
            <c:ext xmlns:c16="http://schemas.microsoft.com/office/drawing/2014/chart" uri="{C3380CC4-5D6E-409C-BE32-E72D297353CC}">
              <c16:uniqueId val="{00000001-D994-4155-8715-526C5248ABFF}"/>
            </c:ext>
          </c:extLst>
        </c:ser>
        <c:dLbls>
          <c:showLegendKey val="0"/>
          <c:showVal val="0"/>
          <c:showCatName val="0"/>
          <c:showSerName val="0"/>
          <c:showPercent val="0"/>
          <c:showBubbleSize val="0"/>
        </c:dLbls>
        <c:gapWidth val="89"/>
        <c:overlap val="100"/>
        <c:axId val="201814016"/>
        <c:axId val="201815552"/>
      </c:barChart>
      <c:lineChart>
        <c:grouping val="standard"/>
        <c:varyColors val="0"/>
        <c:ser>
          <c:idx val="0"/>
          <c:order val="0"/>
          <c:tx>
            <c:strRef>
              <c:f>Hoja1!$A$2</c:f>
              <c:strCache>
                <c:ptCount val="1"/>
                <c:pt idx="0">
                  <c:v>Deuda % del PIB</c:v>
                </c:pt>
              </c:strCache>
            </c:strRef>
          </c:tx>
          <c:spPr>
            <a:ln w="38100" cap="rnd" cmpd="thickThin">
              <a:solidFill>
                <a:schemeClr val="accent1"/>
              </a:solidFill>
              <a:round/>
            </a:ln>
            <a:effectLst/>
          </c:spPr>
          <c:marker>
            <c:symbol val="circle"/>
            <c:size val="6"/>
          </c:marker>
          <c:dPt>
            <c:idx val="5"/>
            <c:marker>
              <c:spPr>
                <a:solidFill>
                  <a:srgbClr val="FF0000"/>
                </a:solidFill>
                <a:ln>
                  <a:solidFill>
                    <a:srgbClr val="FF0000"/>
                  </a:solidFill>
                </a:ln>
              </c:spPr>
            </c:marker>
            <c:bubble3D val="0"/>
            <c:spPr>
              <a:ln w="38100" cap="rnd" cmpd="thickThin">
                <a:solidFill>
                  <a:srgbClr val="FF0000"/>
                </a:solidFill>
                <a:prstDash val="sysDash"/>
                <a:round/>
              </a:ln>
              <a:effectLst/>
            </c:spPr>
            <c:extLst>
              <c:ext xmlns:c16="http://schemas.microsoft.com/office/drawing/2014/chart" uri="{C3380CC4-5D6E-409C-BE32-E72D297353CC}">
                <c16:uniqueId val="{00000003-D994-4155-8715-526C5248ABFF}"/>
              </c:ext>
            </c:extLst>
          </c:dPt>
          <c:dPt>
            <c:idx val="6"/>
            <c:marker>
              <c:symbol val="circle"/>
              <c:size val="7"/>
              <c:spPr>
                <a:solidFill>
                  <a:srgbClr val="92D050"/>
                </a:solidFill>
                <a:ln>
                  <a:solidFill>
                    <a:srgbClr val="70AD47"/>
                  </a:solidFill>
                  <a:prstDash val="solid"/>
                </a:ln>
              </c:spPr>
            </c:marker>
            <c:bubble3D val="0"/>
            <c:spPr>
              <a:ln w="38100" cap="rnd" cmpd="sng">
                <a:solidFill>
                  <a:srgbClr val="92D050"/>
                </a:solidFill>
                <a:prstDash val="sysDash"/>
                <a:round/>
              </a:ln>
              <a:effectLst/>
            </c:spPr>
            <c:extLst>
              <c:ext xmlns:c16="http://schemas.microsoft.com/office/drawing/2014/chart" uri="{C3380CC4-5D6E-409C-BE32-E72D297353CC}">
                <c16:uniqueId val="{00000005-D994-4155-8715-526C5248ABFF}"/>
              </c:ext>
            </c:extLst>
          </c:dPt>
          <c:dPt>
            <c:idx val="7"/>
            <c:marker>
              <c:symbol val="circle"/>
              <c:size val="7"/>
              <c:spPr>
                <a:solidFill>
                  <a:srgbClr val="92D050"/>
                </a:solidFill>
                <a:ln>
                  <a:solidFill>
                    <a:srgbClr val="70AD47"/>
                  </a:solidFill>
                </a:ln>
              </c:spPr>
            </c:marker>
            <c:bubble3D val="0"/>
            <c:spPr>
              <a:ln w="38100" cap="rnd" cmpd="thickThin">
                <a:solidFill>
                  <a:srgbClr val="92D050"/>
                </a:solidFill>
                <a:prstDash val="sysDash"/>
                <a:round/>
              </a:ln>
              <a:effectLst/>
            </c:spPr>
            <c:extLst>
              <c:ext xmlns:c16="http://schemas.microsoft.com/office/drawing/2014/chart" uri="{C3380CC4-5D6E-409C-BE32-E72D297353CC}">
                <c16:uniqueId val="{00000007-D994-4155-8715-526C5248ABFF}"/>
              </c:ext>
            </c:extLst>
          </c:dPt>
          <c:dPt>
            <c:idx val="8"/>
            <c:marker>
              <c:symbol val="circle"/>
              <c:size val="7"/>
              <c:spPr>
                <a:solidFill>
                  <a:srgbClr val="92D050"/>
                </a:solidFill>
                <a:ln>
                  <a:solidFill>
                    <a:srgbClr val="70AD47"/>
                  </a:solidFill>
                </a:ln>
              </c:spPr>
            </c:marker>
            <c:bubble3D val="0"/>
            <c:spPr>
              <a:ln w="38100" cap="rnd" cmpd="thickThin">
                <a:solidFill>
                  <a:srgbClr val="92D050"/>
                </a:solidFill>
                <a:prstDash val="sysDash"/>
                <a:round/>
              </a:ln>
              <a:effectLst/>
            </c:spPr>
            <c:extLst>
              <c:ext xmlns:c16="http://schemas.microsoft.com/office/drawing/2014/chart" uri="{C3380CC4-5D6E-409C-BE32-E72D297353CC}">
                <c16:uniqueId val="{00000009-D994-4155-8715-526C5248ABFF}"/>
              </c:ext>
            </c:extLst>
          </c:dPt>
          <c:dLbls>
            <c:dLbl>
              <c:idx val="0"/>
              <c:layout>
                <c:manualLayout>
                  <c:x val="-4.3137254901960784E-2"/>
                  <c:y val="-5.67739401892945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994-4155-8715-526C5248ABFF}"/>
                </c:ext>
              </c:extLst>
            </c:dLbl>
            <c:dLbl>
              <c:idx val="1"/>
              <c:layout>
                <c:manualLayout>
                  <c:x val="-4.0522875816993514E-2"/>
                  <c:y val="-4.41475457449898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994-4155-8715-526C5248ABFF}"/>
                </c:ext>
              </c:extLst>
            </c:dLbl>
            <c:dLbl>
              <c:idx val="2"/>
              <c:layout>
                <c:manualLayout>
                  <c:x val="-4.0522875816993466E-2"/>
                  <c:y val="-4.41475457449898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994-4155-8715-526C5248ABFF}"/>
                </c:ext>
              </c:extLst>
            </c:dLbl>
            <c:dLbl>
              <c:idx val="3"/>
              <c:layout>
                <c:manualLayout>
                  <c:x val="-4.3137254901960784E-2"/>
                  <c:y val="-4.99564333430148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994-4155-8715-526C5248ABFF}"/>
                </c:ext>
              </c:extLst>
            </c:dLbl>
            <c:dLbl>
              <c:idx val="4"/>
              <c:layout>
                <c:manualLayout>
                  <c:x val="-4.5751633986928199E-2"/>
                  <c:y val="-5.57653209410397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994-4155-8715-526C5248ABFF}"/>
                </c:ext>
              </c:extLst>
            </c:dLbl>
            <c:dLbl>
              <c:idx val="5"/>
              <c:layout>
                <c:manualLayout>
                  <c:x val="-4.0522875816993466E-2"/>
                  <c:y val="-4.6668953312654117E-2"/>
                </c:manualLayout>
              </c:layout>
              <c:spPr>
                <a:noFill/>
                <a:ln>
                  <a:noFill/>
                </a:ln>
                <a:effectLst/>
              </c:spPr>
              <c:txPr>
                <a:bodyPr rot="0" spcFirstLastPara="1" vertOverflow="ellipsis" vert="horz" wrap="square" anchor="ctr" anchorCtr="1"/>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994-4155-8715-526C5248ABFF}"/>
                </c:ext>
              </c:extLst>
            </c:dLbl>
            <c:dLbl>
              <c:idx val="6"/>
              <c:layout>
                <c:manualLayout>
                  <c:x val="-4.1830065359477121E-2"/>
                  <c:y val="6.8813131313131312E-2"/>
                </c:manualLayout>
              </c:layout>
              <c:spPr>
                <a:solidFill>
                  <a:srgbClr val="70AD47">
                    <a:lumMod val="20000"/>
                    <a:lumOff val="80000"/>
                  </a:srgbClr>
                </a:solidFill>
                <a:ln>
                  <a:solidFill>
                    <a:srgbClr val="9BBB59">
                      <a:lumMod val="50000"/>
                    </a:srgbClr>
                  </a:solidFill>
                </a:ln>
                <a:effectLst/>
              </c:spPr>
              <c:txPr>
                <a:bodyPr rot="0" spcFirstLastPara="1" vertOverflow="ellipsis" vert="horz" wrap="square" anchor="ctr" anchorCtr="1"/>
                <a:lstStyle/>
                <a:p>
                  <a:pPr>
                    <a:defRPr sz="800" b="1" i="0" u="none" strike="noStrike" kern="1200" baseline="0">
                      <a:solidFill>
                        <a:srgbClr val="00602B"/>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994-4155-8715-526C5248ABFF}"/>
                </c:ext>
              </c:extLst>
            </c:dLbl>
            <c:dLbl>
              <c:idx val="7"/>
              <c:layout>
                <c:manualLayout>
                  <c:x val="-4.1846475742121192E-2"/>
                  <c:y val="5.6240126382306445E-2"/>
                </c:manualLayout>
              </c:layout>
              <c:tx>
                <c:rich>
                  <a:bodyPr rot="0" spcFirstLastPara="1" vertOverflow="ellipsis" vert="horz" wrap="square" anchor="ctr" anchorCtr="1"/>
                  <a:lstStyle/>
                  <a:p>
                    <a:pPr>
                      <a:defRPr sz="800" b="1" i="0"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fld id="{AC96F84F-B9C2-462F-BF14-A662C27C988C}" type="VALUE">
                      <a:rPr lang="en-US">
                        <a:ln>
                          <a:noFill/>
                        </a:ln>
                        <a:solidFill>
                          <a:srgbClr val="00602B"/>
                        </a:solidFill>
                      </a:rPr>
                      <a:pPr>
                        <a:defRPr sz="800" b="1" i="0"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t>[VALOR]</a:t>
                    </a:fld>
                    <a:endParaRPr lang="es-GT"/>
                  </a:p>
                </c:rich>
              </c:tx>
              <c:spPr>
                <a:solidFill>
                  <a:srgbClr val="70AD47">
                    <a:lumMod val="20000"/>
                    <a:lumOff val="80000"/>
                  </a:srgbClr>
                </a:solidFill>
                <a:ln>
                  <a:solidFill>
                    <a:srgbClr val="70AD47">
                      <a:lumMod val="50000"/>
                    </a:srgbClr>
                  </a:solidFill>
                </a:ln>
                <a:effectLst/>
              </c:spPr>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994-4155-8715-526C5248ABFF}"/>
                </c:ext>
              </c:extLst>
            </c:dLbl>
            <c:dLbl>
              <c:idx val="8"/>
              <c:layout>
                <c:manualLayout>
                  <c:x val="-4.1846475742121192E-2"/>
                  <c:y val="5.624012638230648E-2"/>
                </c:manualLayout>
              </c:layout>
              <c:tx>
                <c:rich>
                  <a:bodyPr rot="0" spcFirstLastPara="1" vertOverflow="ellipsis" vert="horz" wrap="square" anchor="ctr" anchorCtr="1"/>
                  <a:lstStyle/>
                  <a:p>
                    <a:pPr>
                      <a:defRPr sz="8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fld id="{1B4E2F45-E943-47B1-BB7F-4CF9A93F885F}" type="VALUE">
                      <a:rPr lang="en-US">
                        <a:solidFill>
                          <a:srgbClr val="00602B"/>
                        </a:solidFill>
                      </a:rPr>
                      <a:pPr>
                        <a:defRPr sz="8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t>[VALOR]</a:t>
                    </a:fld>
                    <a:endParaRPr lang="es-GT"/>
                  </a:p>
                </c:rich>
              </c:tx>
              <c:spPr>
                <a:solidFill>
                  <a:srgbClr val="70AD47">
                    <a:lumMod val="20000"/>
                    <a:lumOff val="80000"/>
                  </a:srgbClr>
                </a:solidFill>
                <a:ln>
                  <a:solidFill>
                    <a:srgbClr val="70AD47">
                      <a:lumMod val="50000"/>
                    </a:srgbClr>
                  </a:solidFill>
                </a:ln>
                <a:effectLst/>
              </c:spPr>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D994-4155-8715-526C5248ABFF}"/>
                </c:ext>
              </c:extLst>
            </c:dLbl>
            <c:spPr>
              <a:noFill/>
              <a:ln>
                <a:noFill/>
              </a:ln>
              <a:effectLst/>
            </c:spPr>
            <c:txPr>
              <a:bodyPr rot="0" spcFirstLastPara="1" vertOverflow="ellipsis" vert="horz" wrap="square" anchor="ctr" anchorCtr="1"/>
              <a:lstStyle/>
              <a:p>
                <a:pPr>
                  <a:defRPr sz="8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Hoja1!$B$1:$J$1</c:f>
              <c:strCache>
                <c:ptCount val="9"/>
                <c:pt idx="0">
                  <c:v>2015</c:v>
                </c:pt>
                <c:pt idx="1">
                  <c:v>2016</c:v>
                </c:pt>
                <c:pt idx="2">
                  <c:v>2017</c:v>
                </c:pt>
                <c:pt idx="3">
                  <c:v>2018</c:v>
                </c:pt>
                <c:pt idx="4">
                  <c:v>2019</c:v>
                </c:pt>
                <c:pt idx="5">
                  <c:v>2020</c:v>
                </c:pt>
                <c:pt idx="6">
                  <c:v>2021</c:v>
                </c:pt>
                <c:pt idx="7">
                  <c:v>2022</c:v>
                </c:pt>
                <c:pt idx="8">
                  <c:v>2023</c:v>
                </c:pt>
              </c:strCache>
            </c:strRef>
          </c:cat>
          <c:val>
            <c:numRef>
              <c:f>Hoja1!$B$2:$J$2</c:f>
              <c:numCache>
                <c:formatCode>#,##0.0</c:formatCode>
                <c:ptCount val="9"/>
                <c:pt idx="0">
                  <c:v>24.9</c:v>
                </c:pt>
                <c:pt idx="1">
                  <c:v>25</c:v>
                </c:pt>
                <c:pt idx="2">
                  <c:v>25.2</c:v>
                </c:pt>
                <c:pt idx="3">
                  <c:v>26.5</c:v>
                </c:pt>
                <c:pt idx="4">
                  <c:v>26.5</c:v>
                </c:pt>
                <c:pt idx="5">
                  <c:v>31.6</c:v>
                </c:pt>
                <c:pt idx="6">
                  <c:v>30.8</c:v>
                </c:pt>
                <c:pt idx="7">
                  <c:v>29.2</c:v>
                </c:pt>
                <c:pt idx="8">
                  <c:v>27.8</c:v>
                </c:pt>
              </c:numCache>
            </c:numRef>
          </c:val>
          <c:smooth val="0"/>
          <c:extLst>
            <c:ext xmlns:c16="http://schemas.microsoft.com/office/drawing/2014/chart" uri="{C3380CC4-5D6E-409C-BE32-E72D297353CC}">
              <c16:uniqueId val="{0000000F-D994-4155-8715-526C5248ABFF}"/>
            </c:ext>
          </c:extLst>
        </c:ser>
        <c:dLbls>
          <c:showLegendKey val="0"/>
          <c:showVal val="0"/>
          <c:showCatName val="0"/>
          <c:showSerName val="0"/>
          <c:showPercent val="0"/>
          <c:showBubbleSize val="0"/>
        </c:dLbls>
        <c:marker val="1"/>
        <c:smooth val="0"/>
        <c:axId val="201831936"/>
        <c:axId val="201817472"/>
      </c:lineChart>
      <c:catAx>
        <c:axId val="20181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1815552"/>
        <c:crosses val="autoZero"/>
        <c:auto val="1"/>
        <c:lblAlgn val="ctr"/>
        <c:lblOffset val="100"/>
        <c:noMultiLvlLbl val="0"/>
      </c:catAx>
      <c:valAx>
        <c:axId val="201815552"/>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t>Estructura %</a:t>
                </a:r>
              </a:p>
            </c:rich>
          </c:tx>
          <c:layout>
            <c:manualLayout>
              <c:xMode val="edge"/>
              <c:yMode val="edge"/>
              <c:x val="4.6296296296296294E-3"/>
              <c:y val="0.30195189535734263"/>
            </c:manualLayout>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1814016"/>
        <c:crosses val="autoZero"/>
        <c:crossBetween val="between"/>
      </c:valAx>
      <c:valAx>
        <c:axId val="201817472"/>
        <c:scaling>
          <c:orientation val="minMax"/>
          <c:max val="40"/>
          <c:min val="0"/>
        </c:scaling>
        <c:delete val="0"/>
        <c:axPos val="r"/>
        <c:title>
          <c:tx>
            <c:rich>
              <a:bodyPr rot="540000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t>Porcentaje del PIB</a:t>
                </a:r>
              </a:p>
            </c:rich>
          </c:tx>
          <c:layout>
            <c:manualLayout>
              <c:xMode val="edge"/>
              <c:yMode val="edge"/>
              <c:x val="0.96412037037037035"/>
              <c:y val="0.24280435437373607"/>
            </c:manualLayout>
          </c:layout>
          <c:overlay val="0"/>
          <c:spPr>
            <a:noFill/>
            <a:ln>
              <a:noFill/>
            </a:ln>
            <a:effectLst/>
          </c:sp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1831936"/>
        <c:crosses val="max"/>
        <c:crossBetween val="between"/>
      </c:valAx>
      <c:catAx>
        <c:axId val="201831936"/>
        <c:scaling>
          <c:orientation val="minMax"/>
        </c:scaling>
        <c:delete val="1"/>
        <c:axPos val="b"/>
        <c:numFmt formatCode="General" sourceLinked="1"/>
        <c:majorTickMark val="out"/>
        <c:minorTickMark val="none"/>
        <c:tickLblPos val="nextTo"/>
        <c:crossAx val="201817472"/>
        <c:crosses val="autoZero"/>
        <c:auto val="1"/>
        <c:lblAlgn val="ctr"/>
        <c:lblOffset val="100"/>
        <c:noMultiLvlLbl val="0"/>
      </c:catAx>
      <c:spPr>
        <a:pattFill prst="pct20">
          <a:fgClr>
            <a:sysClr val="window" lastClr="FFFFFF">
              <a:lumMod val="50000"/>
            </a:sysClr>
          </a:fgClr>
          <a:bgClr>
            <a:sysClr val="window" lastClr="FFFFFF"/>
          </a:bgClr>
        </a:pattFill>
        <a:ln>
          <a:noFill/>
        </a:ln>
        <a:effectLst/>
      </c:spPr>
    </c:plotArea>
    <c:legend>
      <c:legendPos val="b"/>
      <c:layout>
        <c:manualLayout>
          <c:xMode val="edge"/>
          <c:yMode val="edge"/>
          <c:x val="0.12403026092326694"/>
          <c:y val="0.90783993999007462"/>
          <c:w val="0.75193947815346607"/>
          <c:h val="9.216006000992542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459515673750124E-5"/>
          <c:y val="0"/>
          <c:w val="0.99980468479175966"/>
          <c:h val="0.80196127496774772"/>
        </c:manualLayout>
      </c:layout>
      <c:barChart>
        <c:barDir val="col"/>
        <c:grouping val="clustered"/>
        <c:varyColors val="0"/>
        <c:ser>
          <c:idx val="0"/>
          <c:order val="0"/>
          <c:tx>
            <c:strRef>
              <c:f>Hoja1!$B$1</c:f>
              <c:strCache>
                <c:ptCount val="1"/>
                <c:pt idx="0">
                  <c:v>FMI</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Hoja1!$A$2:$A$4</c:f>
              <c:numCache>
                <c:formatCode>General</c:formatCode>
                <c:ptCount val="3"/>
                <c:pt idx="0">
                  <c:v>2022</c:v>
                </c:pt>
                <c:pt idx="1">
                  <c:v>2023</c:v>
                </c:pt>
                <c:pt idx="2">
                  <c:v>2024</c:v>
                </c:pt>
              </c:numCache>
            </c:numRef>
          </c:cat>
          <c:val>
            <c:numRef>
              <c:f>Hoja1!$B$2:$B$4</c:f>
              <c:numCache>
                <c:formatCode>_-* #,##0.0_-;\-* #,##0.0_-;_-* "-"??_-;_-@_-</c:formatCode>
                <c:ptCount val="3"/>
                <c:pt idx="0">
                  <c:v>3.5</c:v>
                </c:pt>
                <c:pt idx="1">
                  <c:v>3</c:v>
                </c:pt>
                <c:pt idx="2">
                  <c:v>2.9</c:v>
                </c:pt>
              </c:numCache>
            </c:numRef>
          </c:val>
          <c:extLst>
            <c:ext xmlns:c16="http://schemas.microsoft.com/office/drawing/2014/chart" uri="{C3380CC4-5D6E-409C-BE32-E72D297353CC}">
              <c16:uniqueId val="{00000000-2968-4F09-A66C-4E0558BDA034}"/>
            </c:ext>
          </c:extLst>
        </c:ser>
        <c:ser>
          <c:idx val="1"/>
          <c:order val="1"/>
          <c:tx>
            <c:strRef>
              <c:f>Hoja1!$C$1</c:f>
              <c:strCache>
                <c:ptCount val="1"/>
                <c:pt idx="0">
                  <c:v>OCDE</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60000"/>
                        <a:lumOff val="4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Hoja1!$A$2:$A$4</c:f>
              <c:numCache>
                <c:formatCode>General</c:formatCode>
                <c:ptCount val="3"/>
                <c:pt idx="0">
                  <c:v>2022</c:v>
                </c:pt>
                <c:pt idx="1">
                  <c:v>2023</c:v>
                </c:pt>
                <c:pt idx="2">
                  <c:v>2024</c:v>
                </c:pt>
              </c:numCache>
            </c:numRef>
          </c:cat>
          <c:val>
            <c:numRef>
              <c:f>Hoja1!$C$2:$C$4</c:f>
              <c:numCache>
                <c:formatCode>_-* #,##0.0_-;\-* #,##0.0_-;_-* "-"??_-;_-@_-</c:formatCode>
                <c:ptCount val="3"/>
                <c:pt idx="0">
                  <c:v>3.3</c:v>
                </c:pt>
                <c:pt idx="1">
                  <c:v>2.9</c:v>
                </c:pt>
                <c:pt idx="2">
                  <c:v>2.7</c:v>
                </c:pt>
              </c:numCache>
            </c:numRef>
          </c:val>
          <c:extLst>
            <c:ext xmlns:c16="http://schemas.microsoft.com/office/drawing/2014/chart" uri="{C3380CC4-5D6E-409C-BE32-E72D297353CC}">
              <c16:uniqueId val="{00000001-2968-4F09-A66C-4E0558BDA034}"/>
            </c:ext>
          </c:extLst>
        </c:ser>
        <c:ser>
          <c:idx val="2"/>
          <c:order val="2"/>
          <c:tx>
            <c:strRef>
              <c:f>Hoja1!$D$1</c:f>
              <c:strCache>
                <c:ptCount val="1"/>
                <c:pt idx="0">
                  <c:v>BM</c:v>
                </c:pt>
              </c:strCache>
            </c:strRef>
          </c:tx>
          <c:spPr>
            <a:solidFill>
              <a:schemeClr val="tx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40000"/>
                        <a:lumOff val="6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Hoja1!$A$2:$A$4</c:f>
              <c:numCache>
                <c:formatCode>General</c:formatCode>
                <c:ptCount val="3"/>
                <c:pt idx="0">
                  <c:v>2022</c:v>
                </c:pt>
                <c:pt idx="1">
                  <c:v>2023</c:v>
                </c:pt>
                <c:pt idx="2">
                  <c:v>2024</c:v>
                </c:pt>
              </c:numCache>
            </c:numRef>
          </c:cat>
          <c:val>
            <c:numRef>
              <c:f>Hoja1!$D$2:$D$4</c:f>
              <c:numCache>
                <c:formatCode>_-* #,##0.0_-;\-* #,##0.0_-;_-* "-"??_-;_-@_-</c:formatCode>
                <c:ptCount val="3"/>
                <c:pt idx="0">
                  <c:v>3</c:v>
                </c:pt>
                <c:pt idx="1">
                  <c:v>2.6</c:v>
                </c:pt>
                <c:pt idx="2">
                  <c:v>2.4</c:v>
                </c:pt>
              </c:numCache>
            </c:numRef>
          </c:val>
          <c:extLst>
            <c:ext xmlns:c16="http://schemas.microsoft.com/office/drawing/2014/chart" uri="{C3380CC4-5D6E-409C-BE32-E72D297353CC}">
              <c16:uniqueId val="{00000002-2968-4F09-A66C-4E0558BDA034}"/>
            </c:ext>
          </c:extLst>
        </c:ser>
        <c:dLbls>
          <c:showLegendKey val="0"/>
          <c:showVal val="0"/>
          <c:showCatName val="0"/>
          <c:showSerName val="0"/>
          <c:showPercent val="0"/>
          <c:showBubbleSize val="0"/>
        </c:dLbls>
        <c:gapWidth val="100"/>
        <c:axId val="994675280"/>
        <c:axId val="994657808"/>
      </c:barChart>
      <c:catAx>
        <c:axId val="99467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994657808"/>
        <c:crosses val="autoZero"/>
        <c:auto val="1"/>
        <c:lblAlgn val="ctr"/>
        <c:lblOffset val="100"/>
        <c:noMultiLvlLbl val="0"/>
      </c:catAx>
      <c:valAx>
        <c:axId val="994657808"/>
        <c:scaling>
          <c:orientation val="minMax"/>
        </c:scaling>
        <c:delete val="1"/>
        <c:axPos val="l"/>
        <c:numFmt formatCode="_-* #,##0.0_-;\-* #,##0.0_-;_-* &quot;-&quot;??_-;_-@_-" sourceLinked="1"/>
        <c:majorTickMark val="none"/>
        <c:minorTickMark val="none"/>
        <c:tickLblPos val="nextTo"/>
        <c:crossAx val="994675280"/>
        <c:crosses val="autoZero"/>
        <c:crossBetween val="between"/>
      </c:valAx>
      <c:spPr>
        <a:noFill/>
        <a:ln>
          <a:noFill/>
        </a:ln>
        <a:effectLst/>
      </c:spPr>
    </c:plotArea>
    <c:legend>
      <c:legendPos val="b"/>
      <c:layout>
        <c:manualLayout>
          <c:xMode val="edge"/>
          <c:yMode val="edge"/>
          <c:x val="0.26701649086317042"/>
          <c:y val="0.92328729035989143"/>
          <c:w val="0.46596671005842011"/>
          <c:h val="6.966557676053204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6226978513279061"/>
          <c:w val="0.98323102065072054"/>
          <c:h val="0.67494717291694473"/>
        </c:manualLayout>
      </c:layout>
      <c:barChart>
        <c:barDir val="col"/>
        <c:grouping val="clustered"/>
        <c:varyColors val="0"/>
        <c:ser>
          <c:idx val="0"/>
          <c:order val="0"/>
          <c:tx>
            <c:strRef>
              <c:f>Hoja1!$B$1</c:f>
              <c:strCache>
                <c:ptCount val="1"/>
                <c:pt idx="0">
                  <c:v>2022</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Economías avanzadas</c:v>
                </c:pt>
                <c:pt idx="1">
                  <c:v>Economias emergentes y en desarrollo</c:v>
                </c:pt>
                <c:pt idx="2">
                  <c:v>América Latina y el Caribe</c:v>
                </c:pt>
              </c:strCache>
            </c:strRef>
          </c:cat>
          <c:val>
            <c:numRef>
              <c:f>Hoja1!$B$2:$B$4</c:f>
              <c:numCache>
                <c:formatCode>_-* #,##0.0_-;\-* #,##0.0_-;_-* "-"??_-;_-@_-</c:formatCode>
                <c:ptCount val="3"/>
                <c:pt idx="0">
                  <c:v>2.6</c:v>
                </c:pt>
                <c:pt idx="1">
                  <c:v>4.0999999999999996</c:v>
                </c:pt>
                <c:pt idx="2">
                  <c:v>4.0999999999999996</c:v>
                </c:pt>
              </c:numCache>
            </c:numRef>
          </c:val>
          <c:extLst>
            <c:ext xmlns:c16="http://schemas.microsoft.com/office/drawing/2014/chart" uri="{C3380CC4-5D6E-409C-BE32-E72D297353CC}">
              <c16:uniqueId val="{00000000-2009-4EC5-95DB-D07905758851}"/>
            </c:ext>
          </c:extLst>
        </c:ser>
        <c:ser>
          <c:idx val="1"/>
          <c:order val="1"/>
          <c:tx>
            <c:strRef>
              <c:f>Hoja1!$C$1</c:f>
              <c:strCache>
                <c:ptCount val="1"/>
                <c:pt idx="0">
                  <c:v>2023</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60000"/>
                        <a:lumOff val="4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Economías avanzadas</c:v>
                </c:pt>
                <c:pt idx="1">
                  <c:v>Economias emergentes y en desarrollo</c:v>
                </c:pt>
                <c:pt idx="2">
                  <c:v>América Latina y el Caribe</c:v>
                </c:pt>
              </c:strCache>
            </c:strRef>
          </c:cat>
          <c:val>
            <c:numRef>
              <c:f>Hoja1!$C$2:$C$4</c:f>
              <c:numCache>
                <c:formatCode>_-* #,##0.0_-;\-* #,##0.0_-;_-* "-"??_-;_-@_-</c:formatCode>
                <c:ptCount val="3"/>
                <c:pt idx="0">
                  <c:v>1.5</c:v>
                </c:pt>
                <c:pt idx="1">
                  <c:v>4</c:v>
                </c:pt>
                <c:pt idx="2">
                  <c:v>2.2999999999999998</c:v>
                </c:pt>
              </c:numCache>
            </c:numRef>
          </c:val>
          <c:extLst>
            <c:ext xmlns:c16="http://schemas.microsoft.com/office/drawing/2014/chart" uri="{C3380CC4-5D6E-409C-BE32-E72D297353CC}">
              <c16:uniqueId val="{00000001-2009-4EC5-95DB-D07905758851}"/>
            </c:ext>
          </c:extLst>
        </c:ser>
        <c:ser>
          <c:idx val="2"/>
          <c:order val="2"/>
          <c:tx>
            <c:strRef>
              <c:f>Hoja1!$D$1</c:f>
              <c:strCache>
                <c:ptCount val="1"/>
                <c:pt idx="0">
                  <c:v>2024</c:v>
                </c:pt>
              </c:strCache>
            </c:strRef>
          </c:tx>
          <c:spPr>
            <a:solidFill>
              <a:srgbClr val="4472C4">
                <a:lumMod val="20000"/>
                <a:lumOff val="8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60000"/>
                        <a:lumOff val="40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Economías avanzadas</c:v>
                </c:pt>
                <c:pt idx="1">
                  <c:v>Economias emergentes y en desarrollo</c:v>
                </c:pt>
                <c:pt idx="2">
                  <c:v>América Latina y el Caribe</c:v>
                </c:pt>
              </c:strCache>
            </c:strRef>
          </c:cat>
          <c:val>
            <c:numRef>
              <c:f>Hoja1!$D$2:$D$4</c:f>
              <c:numCache>
                <c:formatCode>_-* #,##0.0_-;\-* #,##0.0_-;_-* "-"??_-;_-@_-</c:formatCode>
                <c:ptCount val="3"/>
                <c:pt idx="0">
                  <c:v>1.4</c:v>
                </c:pt>
                <c:pt idx="1">
                  <c:v>4</c:v>
                </c:pt>
                <c:pt idx="2">
                  <c:v>2.2999999999999998</c:v>
                </c:pt>
              </c:numCache>
            </c:numRef>
          </c:val>
          <c:extLst>
            <c:ext xmlns:c16="http://schemas.microsoft.com/office/drawing/2014/chart" uri="{C3380CC4-5D6E-409C-BE32-E72D297353CC}">
              <c16:uniqueId val="{00000002-2009-4EC5-95DB-D07905758851}"/>
            </c:ext>
          </c:extLst>
        </c:ser>
        <c:dLbls>
          <c:showLegendKey val="0"/>
          <c:showVal val="0"/>
          <c:showCatName val="0"/>
          <c:showSerName val="0"/>
          <c:showPercent val="0"/>
          <c:showBubbleSize val="0"/>
        </c:dLbls>
        <c:gapWidth val="80"/>
        <c:axId val="994675280"/>
        <c:axId val="994657808"/>
      </c:barChart>
      <c:catAx>
        <c:axId val="99467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994657808"/>
        <c:crosses val="autoZero"/>
        <c:auto val="1"/>
        <c:lblAlgn val="ctr"/>
        <c:lblOffset val="100"/>
        <c:noMultiLvlLbl val="0"/>
      </c:catAx>
      <c:valAx>
        <c:axId val="994657808"/>
        <c:scaling>
          <c:orientation val="minMax"/>
        </c:scaling>
        <c:delete val="1"/>
        <c:axPos val="l"/>
        <c:numFmt formatCode="_-* #,##0.0_-;\-* #,##0.0_-;_-* &quot;-&quot;??_-;_-@_-" sourceLinked="1"/>
        <c:majorTickMark val="none"/>
        <c:minorTickMark val="none"/>
        <c:tickLblPos val="nextTo"/>
        <c:crossAx val="994675280"/>
        <c:crosses val="autoZero"/>
        <c:crossBetween val="between"/>
      </c:valAx>
      <c:spPr>
        <a:noFill/>
        <a:ln>
          <a:noFill/>
        </a:ln>
        <a:effectLst/>
      </c:spPr>
    </c:plotArea>
    <c:legend>
      <c:legendPos val="b"/>
      <c:layout>
        <c:manualLayout>
          <c:xMode val="edge"/>
          <c:yMode val="edge"/>
          <c:x val="0.25189547879095758"/>
          <c:y val="4.110714107102173E-2"/>
          <c:w val="0.43424473827564009"/>
          <c:h val="0.1043168067974554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
          <c:w val="0.9729139900166508"/>
          <c:h val="0.8812736331687353"/>
        </c:manualLayout>
      </c:layout>
      <c:barChart>
        <c:barDir val="col"/>
        <c:grouping val="clustered"/>
        <c:varyColors val="0"/>
        <c:ser>
          <c:idx val="0"/>
          <c:order val="0"/>
          <c:tx>
            <c:strRef>
              <c:f>Hoja1!$B$1</c:f>
              <c:strCache>
                <c:ptCount val="1"/>
                <c:pt idx="0">
                  <c:v>Volumen del comercio mundial de mercancías</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2021</c:v>
                </c:pt>
                <c:pt idx="1">
                  <c:v>2022</c:v>
                </c:pt>
                <c:pt idx="2">
                  <c:v>2023 e/</c:v>
                </c:pt>
                <c:pt idx="3">
                  <c:v>2024 py/</c:v>
                </c:pt>
              </c:strCache>
            </c:strRef>
          </c:cat>
          <c:val>
            <c:numRef>
              <c:f>Hoja1!$B$2:$B$5</c:f>
              <c:numCache>
                <c:formatCode>_-* #,##0.0_-;\-* #,##0.0_-;_-* "-"??_-;_-@_-</c:formatCode>
                <c:ptCount val="4"/>
                <c:pt idx="0">
                  <c:v>9.6</c:v>
                </c:pt>
                <c:pt idx="1">
                  <c:v>3</c:v>
                </c:pt>
                <c:pt idx="2">
                  <c:v>0.8</c:v>
                </c:pt>
                <c:pt idx="3">
                  <c:v>3.3</c:v>
                </c:pt>
              </c:numCache>
            </c:numRef>
          </c:val>
          <c:extLst>
            <c:ext xmlns:c16="http://schemas.microsoft.com/office/drawing/2014/chart" uri="{C3380CC4-5D6E-409C-BE32-E72D297353CC}">
              <c16:uniqueId val="{00000000-E239-4D4D-BEA3-CDEF5E5C6B3F}"/>
            </c:ext>
          </c:extLst>
        </c:ser>
        <c:dLbls>
          <c:showLegendKey val="0"/>
          <c:showVal val="0"/>
          <c:showCatName val="0"/>
          <c:showSerName val="0"/>
          <c:showPercent val="0"/>
          <c:showBubbleSize val="0"/>
        </c:dLbls>
        <c:gapWidth val="80"/>
        <c:overlap val="-27"/>
        <c:axId val="1088847808"/>
        <c:axId val="1088848640"/>
      </c:barChart>
      <c:catAx>
        <c:axId val="10888478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088848640"/>
        <c:crosses val="autoZero"/>
        <c:auto val="1"/>
        <c:lblAlgn val="ctr"/>
        <c:lblOffset val="100"/>
        <c:noMultiLvlLbl val="0"/>
      </c:catAx>
      <c:valAx>
        <c:axId val="1088848640"/>
        <c:scaling>
          <c:orientation val="minMax"/>
        </c:scaling>
        <c:delete val="1"/>
        <c:axPos val="l"/>
        <c:numFmt formatCode="_-* #,##0.0_-;\-* #,##0.0_-;_-* &quot;-&quot;??_-;_-@_-" sourceLinked="1"/>
        <c:majorTickMark val="none"/>
        <c:minorTickMark val="none"/>
        <c:tickLblPos val="nextTo"/>
        <c:crossAx val="10888478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79809989179184"/>
          <c:y val="2.5806857337508354E-2"/>
          <c:w val="0.87997876669910646"/>
          <c:h val="0.87743734196287027"/>
        </c:manualLayout>
      </c:layout>
      <c:lineChart>
        <c:grouping val="standard"/>
        <c:varyColors val="0"/>
        <c:ser>
          <c:idx val="1"/>
          <c:order val="0"/>
          <c:spPr>
            <a:ln w="6350" cap="rnd">
              <a:solidFill>
                <a:schemeClr val="accent2"/>
              </a:solidFill>
              <a:round/>
            </a:ln>
            <a:effectLst/>
          </c:spPr>
          <c:marker>
            <c:symbol val="diamond"/>
            <c:size val="3"/>
            <c:spPr>
              <a:solidFill>
                <a:schemeClr val="accent2"/>
              </a:solidFill>
              <a:ln w="9525">
                <a:solidFill>
                  <a:schemeClr val="accent2"/>
                </a:solidFill>
              </a:ln>
              <a:effectLst/>
            </c:spPr>
          </c:marker>
          <c:dLbls>
            <c:dLbl>
              <c:idx val="2"/>
              <c:layout>
                <c:manualLayout>
                  <c:x val="-1.6666666666666718E-2"/>
                  <c:y val="-8.3333333333333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BDE-49EF-8E9F-B1446E78DC5E}"/>
                </c:ext>
              </c:extLst>
            </c:dLbl>
            <c:dLbl>
              <c:idx val="3"/>
              <c:layout>
                <c:manualLayout>
                  <c:x val="-4.4444444444444495E-2"/>
                  <c:y val="5.55555555555554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DE-49EF-8E9F-B1446E78DC5E}"/>
                </c:ext>
              </c:extLst>
            </c:dLbl>
            <c:dLbl>
              <c:idx val="4"/>
              <c:layout>
                <c:manualLayout>
                  <c:x val="-5.0000000000000051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BDE-49EF-8E9F-B1446E78DC5E}"/>
                </c:ext>
              </c:extLst>
            </c:dLbl>
            <c:dLbl>
              <c:idx val="5"/>
              <c:layout>
                <c:manualLayout>
                  <c:x val="-0.05"/>
                  <c:y val="5.55555555555554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BDE-49EF-8E9F-B1446E78DC5E}"/>
                </c:ext>
              </c:extLst>
            </c:dLbl>
            <c:dLbl>
              <c:idx val="6"/>
              <c:layout>
                <c:manualLayout>
                  <c:x val="-6.3888888888888995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BDE-49EF-8E9F-B1446E78DC5E}"/>
                </c:ext>
              </c:extLst>
            </c:dLbl>
            <c:dLbl>
              <c:idx val="7"/>
              <c:layout>
                <c:manualLayout>
                  <c:x val="-3.888888888888889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BDE-49EF-8E9F-B1446E78DC5E}"/>
                </c:ext>
              </c:extLst>
            </c:dLbl>
            <c:dLbl>
              <c:idx val="8"/>
              <c:layout>
                <c:manualLayout>
                  <c:x val="-5.2777777777777882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BDE-49EF-8E9F-B1446E78DC5E}"/>
                </c:ext>
              </c:extLst>
            </c:dLbl>
            <c:dLbl>
              <c:idx val="9"/>
              <c:layout>
                <c:manualLayout>
                  <c:x val="-4.7222222222222325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BDE-49EF-8E9F-B1446E78DC5E}"/>
                </c:ext>
              </c:extLst>
            </c:dLbl>
            <c:dLbl>
              <c:idx val="10"/>
              <c:layout>
                <c:manualLayout>
                  <c:x val="-5.5555555555557596E-3"/>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BDE-49EF-8E9F-B1446E78DC5E}"/>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Hoja1!$A$9:$A$19</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Hoja1!$E$9:$E$19</c:f>
              <c:numCache>
                <c:formatCode>0.0%</c:formatCode>
                <c:ptCount val="11"/>
                <c:pt idx="0">
                  <c:v>-0.33917614112894334</c:v>
                </c:pt>
                <c:pt idx="1">
                  <c:v>0.85281985764791068</c:v>
                </c:pt>
                <c:pt idx="2">
                  <c:v>0.18548892364460179</c:v>
                </c:pt>
                <c:pt idx="3">
                  <c:v>0.11112083253632776</c:v>
                </c:pt>
                <c:pt idx="4">
                  <c:v>0.15094938761491861</c:v>
                </c:pt>
                <c:pt idx="5">
                  <c:v>9.8080840175943651E-2</c:v>
                </c:pt>
                <c:pt idx="6">
                  <c:v>0.11320366937658299</c:v>
                </c:pt>
                <c:pt idx="7">
                  <c:v>5.7821494293180953E-2</c:v>
                </c:pt>
                <c:pt idx="8">
                  <c:v>0.12157928580618371</c:v>
                </c:pt>
                <c:pt idx="9">
                  <c:v>0.13324986375699921</c:v>
                </c:pt>
                <c:pt idx="10">
                  <c:v>6.5202966212598801E-2</c:v>
                </c:pt>
              </c:numCache>
            </c:numRef>
          </c:val>
          <c:smooth val="1"/>
          <c:extLst>
            <c:ext xmlns:c16="http://schemas.microsoft.com/office/drawing/2014/chart" uri="{C3380CC4-5D6E-409C-BE32-E72D297353CC}">
              <c16:uniqueId val="{00000009-7BDE-49EF-8E9F-B1446E78DC5E}"/>
            </c:ext>
          </c:extLst>
        </c:ser>
        <c:dLbls>
          <c:showLegendKey val="0"/>
          <c:showVal val="0"/>
          <c:showCatName val="0"/>
          <c:showSerName val="0"/>
          <c:showPercent val="0"/>
          <c:showBubbleSize val="0"/>
        </c:dLbls>
        <c:marker val="1"/>
        <c:smooth val="0"/>
        <c:axId val="34511040"/>
        <c:axId val="34508960"/>
      </c:lineChart>
      <c:catAx>
        <c:axId val="3451104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4508960"/>
        <c:crosses val="autoZero"/>
        <c:auto val="1"/>
        <c:lblAlgn val="ctr"/>
        <c:lblOffset val="100"/>
        <c:noMultiLvlLbl val="0"/>
      </c:catAx>
      <c:valAx>
        <c:axId val="34508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45110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1667654785874887E-2"/>
          <c:y val="0"/>
          <c:w val="0.97679012158601652"/>
          <c:h val="0.76516081676231151"/>
        </c:manualLayout>
      </c:layout>
      <c:lineChart>
        <c:grouping val="standard"/>
        <c:varyColors val="0"/>
        <c:ser>
          <c:idx val="0"/>
          <c:order val="0"/>
          <c:tx>
            <c:strRef>
              <c:f>Hoja1!$B$1</c:f>
              <c:strCache>
                <c:ptCount val="1"/>
                <c:pt idx="0">
                  <c:v>Volumen del comercio mundial de mercancías</c:v>
                </c:pt>
              </c:strCache>
            </c:strRef>
          </c:tx>
          <c:spPr>
            <a:ln w="28575" cap="rnd">
              <a:solidFill>
                <a:schemeClr val="tx2">
                  <a:lumMod val="50000"/>
                </a:schemeClr>
              </a:solidFill>
              <a:round/>
            </a:ln>
            <a:effectLst/>
          </c:spPr>
          <c:marker>
            <c:symbol val="none"/>
          </c:marker>
          <c:dPt>
            <c:idx val="5"/>
            <c:marker>
              <c:symbol val="none"/>
            </c:marker>
            <c:bubble3D val="0"/>
            <c:spPr>
              <a:ln w="28575" cap="rnd">
                <a:solidFill>
                  <a:schemeClr val="tx2">
                    <a:lumMod val="50000"/>
                  </a:schemeClr>
                </a:solidFill>
                <a:round/>
              </a:ln>
              <a:effectLst/>
            </c:spPr>
            <c:extLst>
              <c:ext xmlns:c16="http://schemas.microsoft.com/office/drawing/2014/chart" uri="{C3380CC4-5D6E-409C-BE32-E72D297353CC}">
                <c16:uniqueId val="{00000001-C882-4531-BDB2-8DF22E7604A0}"/>
              </c:ext>
            </c:extLst>
          </c:dPt>
          <c:dLbls>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882-4531-BDB2-8DF22E7604A0}"/>
                </c:ext>
              </c:extLst>
            </c:dLbl>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882-4531-BDB2-8DF22E7604A0}"/>
                </c:ext>
              </c:extLst>
            </c:dLbl>
            <c:dLbl>
              <c:idx val="5"/>
              <c:layout>
                <c:manualLayout>
                  <c:x val="-0.11854088050314475"/>
                  <c:y val="0.1094104497531028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82-4531-BDB2-8DF22E7604A0}"/>
                </c:ext>
              </c:extLst>
            </c:dLbl>
            <c:dLbl>
              <c:idx val="6"/>
              <c:layout>
                <c:manualLayout>
                  <c:x val="-9.8415094339622727E-2"/>
                  <c:y val="-0.1659076248943459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882-4531-BDB2-8DF22E7604A0}"/>
                </c:ext>
              </c:extLst>
            </c:dLbl>
            <c:dLbl>
              <c:idx val="7"/>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882-4531-BDB2-8DF22E7604A0}"/>
                </c:ext>
              </c:extLst>
            </c:dLbl>
            <c:dLbl>
              <c:idx val="9"/>
              <c:layout>
                <c:manualLayout>
                  <c:x val="-8.3018867924528394E-2"/>
                  <c:y val="5.22598870056497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882-4531-BDB2-8DF22E7604A0}"/>
                </c:ext>
              </c:extLst>
            </c:dLbl>
            <c:spPr>
              <a:noFill/>
              <a:ln>
                <a:noFill/>
              </a:ln>
              <a:effectLst/>
            </c:spPr>
            <c:txPr>
              <a:bodyPr rot="0" spcFirstLastPara="1" vertOverflow="ellipsis" vert="horz" wrap="square" lIns="38100" tIns="19050" rIns="38100" bIns="19050" anchor="t" anchorCtr="0">
                <a:spAutoFit/>
              </a:bodyPr>
              <a:lstStyle/>
              <a:p>
                <a:pPr>
                  <a:defRPr sz="8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Hoja1!$A$2:$A$12</c:f>
              <c:strCache>
                <c:ptCount val="11"/>
                <c:pt idx="0">
                  <c:v>2014</c:v>
                </c:pt>
                <c:pt idx="1">
                  <c:v>2015</c:v>
                </c:pt>
                <c:pt idx="2">
                  <c:v>2016</c:v>
                </c:pt>
                <c:pt idx="3">
                  <c:v>2017</c:v>
                </c:pt>
                <c:pt idx="4">
                  <c:v>2018</c:v>
                </c:pt>
                <c:pt idx="5">
                  <c:v>2019</c:v>
                </c:pt>
                <c:pt idx="6">
                  <c:v>2020</c:v>
                </c:pt>
                <c:pt idx="7">
                  <c:v>2021</c:v>
                </c:pt>
                <c:pt idx="8">
                  <c:v>2022</c:v>
                </c:pt>
                <c:pt idx="9">
                  <c:v>2023</c:v>
                </c:pt>
                <c:pt idx="10">
                  <c:v>2024 py</c:v>
                </c:pt>
              </c:strCache>
            </c:strRef>
          </c:cat>
          <c:val>
            <c:numRef>
              <c:f>Hoja1!$B$2:$B$12</c:f>
              <c:numCache>
                <c:formatCode>_-* #,##0.0_-;\-* #,##0.0_-;_-* "-"??_-;_-@_-</c:formatCode>
                <c:ptCount val="11"/>
                <c:pt idx="0">
                  <c:v>96.234999999999999</c:v>
                </c:pt>
                <c:pt idx="1">
                  <c:v>50.752777777779997</c:v>
                </c:pt>
                <c:pt idx="2">
                  <c:v>42.811944444440002</c:v>
                </c:pt>
                <c:pt idx="3">
                  <c:v>52.805</c:v>
                </c:pt>
                <c:pt idx="4">
                  <c:v>68.349999999999994</c:v>
                </c:pt>
                <c:pt idx="5">
                  <c:v>61.41</c:v>
                </c:pt>
                <c:pt idx="6">
                  <c:v>41.26</c:v>
                </c:pt>
                <c:pt idx="7">
                  <c:v>69.069999999999993</c:v>
                </c:pt>
                <c:pt idx="8">
                  <c:v>97.1</c:v>
                </c:pt>
                <c:pt idx="9">
                  <c:v>80.760000000000005</c:v>
                </c:pt>
                <c:pt idx="10">
                  <c:v>81.59</c:v>
                </c:pt>
              </c:numCache>
            </c:numRef>
          </c:val>
          <c:smooth val="0"/>
          <c:extLst>
            <c:ext xmlns:c16="http://schemas.microsoft.com/office/drawing/2014/chart" uri="{C3380CC4-5D6E-409C-BE32-E72D297353CC}">
              <c16:uniqueId val="{00000007-C882-4531-BDB2-8DF22E7604A0}"/>
            </c:ext>
          </c:extLst>
        </c:ser>
        <c:dLbls>
          <c:showLegendKey val="0"/>
          <c:showVal val="0"/>
          <c:showCatName val="0"/>
          <c:showSerName val="0"/>
          <c:showPercent val="0"/>
          <c:showBubbleSize val="0"/>
        </c:dLbls>
        <c:smooth val="0"/>
        <c:axId val="1088847808"/>
        <c:axId val="1088848640"/>
      </c:lineChart>
      <c:catAx>
        <c:axId val="10888478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088848640"/>
        <c:crosses val="autoZero"/>
        <c:auto val="1"/>
        <c:lblAlgn val="ctr"/>
        <c:lblOffset val="100"/>
        <c:noMultiLvlLbl val="1"/>
      </c:catAx>
      <c:valAx>
        <c:axId val="1088848640"/>
        <c:scaling>
          <c:orientation val="minMax"/>
        </c:scaling>
        <c:delete val="1"/>
        <c:axPos val="l"/>
        <c:numFmt formatCode="_-* #,##0.0_-;\-* #,##0.0_-;_-* &quot;-&quot;??_-;_-@_-" sourceLinked="1"/>
        <c:majorTickMark val="none"/>
        <c:minorTickMark val="none"/>
        <c:tickLblPos val="nextTo"/>
        <c:crossAx val="10888478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4">
    <c:autoUpdate val="0"/>
  </c:externalData>
  <c:userShapes r:id="rId5"/>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5937396714299598E-2"/>
          <c:y val="0.12695905066951377"/>
          <c:w val="0.96812520657140078"/>
          <c:h val="0.68907146670225539"/>
        </c:manualLayout>
      </c:layout>
      <c:barChart>
        <c:barDir val="col"/>
        <c:grouping val="clustered"/>
        <c:varyColors val="0"/>
        <c:ser>
          <c:idx val="0"/>
          <c:order val="0"/>
          <c:tx>
            <c:strRef>
              <c:f>Hoja1!$B$1</c:f>
              <c:strCache>
                <c:ptCount val="1"/>
                <c:pt idx="0">
                  <c:v>2022</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Energía</c:v>
                </c:pt>
                <c:pt idx="1">
                  <c:v>Agricultura</c:v>
                </c:pt>
                <c:pt idx="2">
                  <c:v>Metales y minerales</c:v>
                </c:pt>
                <c:pt idx="3">
                  <c:v>Metales preciosos</c:v>
                </c:pt>
              </c:strCache>
            </c:strRef>
          </c:cat>
          <c:val>
            <c:numRef>
              <c:f>Hoja1!$B$2:$B$5</c:f>
              <c:numCache>
                <c:formatCode>_-* #,##0.0_-;\-* #,##0.0_-;_-* "-"??_-;_-@_-</c:formatCode>
                <c:ptCount val="4"/>
                <c:pt idx="0">
                  <c:v>59.958071278825969</c:v>
                </c:pt>
                <c:pt idx="1">
                  <c:v>13.29639889196676</c:v>
                </c:pt>
                <c:pt idx="2">
                  <c:v>-1.2027491408934736</c:v>
                </c:pt>
                <c:pt idx="3">
                  <c:v>-2.4251069900142426</c:v>
                </c:pt>
              </c:numCache>
            </c:numRef>
          </c:val>
          <c:extLst>
            <c:ext xmlns:c16="http://schemas.microsoft.com/office/drawing/2014/chart" uri="{C3380CC4-5D6E-409C-BE32-E72D297353CC}">
              <c16:uniqueId val="{00000000-C1C7-4701-8C66-2E04334F70E8}"/>
            </c:ext>
          </c:extLst>
        </c:ser>
        <c:ser>
          <c:idx val="1"/>
          <c:order val="1"/>
          <c:tx>
            <c:strRef>
              <c:f>Hoja1!$C$1</c:f>
              <c:strCache>
                <c:ptCount val="1"/>
                <c:pt idx="0">
                  <c:v>2023</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lumMod val="60000"/>
                        <a:lumOff val="4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Energía</c:v>
                </c:pt>
                <c:pt idx="1">
                  <c:v>Agricultura</c:v>
                </c:pt>
                <c:pt idx="2">
                  <c:v>Metales y minerales</c:v>
                </c:pt>
                <c:pt idx="3">
                  <c:v>Metales preciosos</c:v>
                </c:pt>
              </c:strCache>
            </c:strRef>
          </c:cat>
          <c:val>
            <c:numRef>
              <c:f>Hoja1!$C$2:$C$5</c:f>
              <c:numCache>
                <c:formatCode>_-* #,##0.0_-;\-* #,##0.0_-;_-* "-"??_-;_-@_-</c:formatCode>
                <c:ptCount val="4"/>
                <c:pt idx="0">
                  <c:v>-28.833551769331592</c:v>
                </c:pt>
                <c:pt idx="1">
                  <c:v>-7.1719641401792984</c:v>
                </c:pt>
                <c:pt idx="2">
                  <c:v>-11.826086956521735</c:v>
                </c:pt>
                <c:pt idx="3">
                  <c:v>1.1695906432748444</c:v>
                </c:pt>
              </c:numCache>
            </c:numRef>
          </c:val>
          <c:extLst>
            <c:ext xmlns:c16="http://schemas.microsoft.com/office/drawing/2014/chart" uri="{C3380CC4-5D6E-409C-BE32-E72D297353CC}">
              <c16:uniqueId val="{00000001-C1C7-4701-8C66-2E04334F70E8}"/>
            </c:ext>
          </c:extLst>
        </c:ser>
        <c:ser>
          <c:idx val="2"/>
          <c:order val="2"/>
          <c:tx>
            <c:strRef>
              <c:f>Hoja1!$D$1</c:f>
              <c:strCache>
                <c:ptCount val="1"/>
                <c:pt idx="0">
                  <c:v>2024</c:v>
                </c:pt>
              </c:strCache>
            </c:strRef>
          </c:tx>
          <c:spPr>
            <a:solidFill>
              <a:srgbClr val="4472C4">
                <a:lumMod val="40000"/>
                <a:lumOff val="6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1">
                        <a:lumMod val="60000"/>
                        <a:lumOff val="4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Energía</c:v>
                </c:pt>
                <c:pt idx="1">
                  <c:v>Agricultura</c:v>
                </c:pt>
                <c:pt idx="2">
                  <c:v>Metales y minerales</c:v>
                </c:pt>
                <c:pt idx="3">
                  <c:v>Metales preciosos</c:v>
                </c:pt>
              </c:strCache>
            </c:strRef>
          </c:cat>
          <c:val>
            <c:numRef>
              <c:f>Hoja1!$D$2:$D$5</c:f>
              <c:numCache>
                <c:formatCode>_-* #,##0.0_-;\-* #,##0.0_-;_-* "-"??_-;_-@_-</c:formatCode>
                <c:ptCount val="4"/>
                <c:pt idx="0">
                  <c:v>-4.5119705340699738</c:v>
                </c:pt>
                <c:pt idx="1">
                  <c:v>-1.4925373134328339</c:v>
                </c:pt>
                <c:pt idx="2">
                  <c:v>-4.7337278106509046</c:v>
                </c:pt>
                <c:pt idx="3">
                  <c:v>4.8410404624277419</c:v>
                </c:pt>
              </c:numCache>
            </c:numRef>
          </c:val>
          <c:extLst>
            <c:ext xmlns:c16="http://schemas.microsoft.com/office/drawing/2014/chart" uri="{C3380CC4-5D6E-409C-BE32-E72D297353CC}">
              <c16:uniqueId val="{00000002-C1C7-4701-8C66-2E04334F70E8}"/>
            </c:ext>
          </c:extLst>
        </c:ser>
        <c:dLbls>
          <c:showLegendKey val="0"/>
          <c:showVal val="0"/>
          <c:showCatName val="0"/>
          <c:showSerName val="0"/>
          <c:showPercent val="0"/>
          <c:showBubbleSize val="0"/>
        </c:dLbls>
        <c:gapWidth val="60"/>
        <c:overlap val="-5"/>
        <c:axId val="994675280"/>
        <c:axId val="994657808"/>
      </c:barChart>
      <c:catAx>
        <c:axId val="9946752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994657808"/>
        <c:crosses val="autoZero"/>
        <c:auto val="1"/>
        <c:lblAlgn val="ctr"/>
        <c:lblOffset val="100"/>
        <c:noMultiLvlLbl val="0"/>
      </c:catAx>
      <c:valAx>
        <c:axId val="994657808"/>
        <c:scaling>
          <c:orientation val="minMax"/>
          <c:min val="-40"/>
        </c:scaling>
        <c:delete val="1"/>
        <c:axPos val="l"/>
        <c:numFmt formatCode="_-* #,##0.0_-;\-* #,##0.0_-;_-* &quot;-&quot;??_-;_-@_-" sourceLinked="1"/>
        <c:majorTickMark val="out"/>
        <c:minorTickMark val="none"/>
        <c:tickLblPos val="nextTo"/>
        <c:crossAx val="994675280"/>
        <c:crosses val="autoZero"/>
        <c:crossBetween val="between"/>
      </c:valAx>
      <c:spPr>
        <a:noFill/>
        <a:ln>
          <a:noFill/>
        </a:ln>
        <a:effectLst/>
      </c:spPr>
    </c:plotArea>
    <c:legend>
      <c:legendPos val="b"/>
      <c:layout>
        <c:manualLayout>
          <c:xMode val="edge"/>
          <c:yMode val="edge"/>
          <c:x val="0.25189540196364341"/>
          <c:y val="5.7965211975621678E-3"/>
          <c:w val="0.4884861090476898"/>
          <c:h val="0.112043462787490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6.5573770491803282E-2"/>
          <c:w val="0.97805856532890656"/>
          <c:h val="0.81452620955912558"/>
        </c:manualLayout>
      </c:layout>
      <c:barChart>
        <c:barDir val="col"/>
        <c:grouping val="clustered"/>
        <c:varyColors val="0"/>
        <c:ser>
          <c:idx val="0"/>
          <c:order val="0"/>
          <c:tx>
            <c:strRef>
              <c:f>Hoja1!$B$1</c:f>
              <c:strCache>
                <c:ptCount val="1"/>
                <c:pt idx="0">
                  <c:v>Volumen del comercio mundial de mercancías</c:v>
                </c:pt>
              </c:strCache>
            </c:strRef>
          </c:tx>
          <c:spPr>
            <a:solidFill>
              <a:srgbClr val="002060"/>
            </a:solidFill>
            <a:ln>
              <a:noFill/>
            </a:ln>
            <a:effectLst/>
          </c:spPr>
          <c:invertIfNegative val="0"/>
          <c:dPt>
            <c:idx val="5"/>
            <c:invertIfNegative val="0"/>
            <c:bubble3D val="0"/>
            <c:spPr>
              <a:solidFill>
                <a:schemeClr val="tx2">
                  <a:lumMod val="20000"/>
                  <a:lumOff val="80000"/>
                </a:schemeClr>
              </a:solidFill>
              <a:ln>
                <a:noFill/>
              </a:ln>
              <a:effectLst/>
            </c:spPr>
            <c:extLst>
              <c:ext xmlns:c16="http://schemas.microsoft.com/office/drawing/2014/chart" uri="{C3380CC4-5D6E-409C-BE32-E72D297353CC}">
                <c16:uniqueId val="{00000001-43D3-484E-B976-DCD9168B07BA}"/>
              </c:ext>
            </c:extLst>
          </c:dPt>
          <c:dLbls>
            <c:dLbl>
              <c:idx val="5"/>
              <c:layout>
                <c:manualLayout>
                  <c:x val="0"/>
                  <c:y val="2.1171489061397319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lumMod val="40000"/>
                          <a:lumOff val="6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3D3-484E-B976-DCD9168B07B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2019</c:v>
                </c:pt>
                <c:pt idx="1">
                  <c:v>2020</c:v>
                </c:pt>
                <c:pt idx="2">
                  <c:v>2021</c:v>
                </c:pt>
                <c:pt idx="3">
                  <c:v>2022 p/</c:v>
                </c:pt>
                <c:pt idx="4">
                  <c:v>2023  e/</c:v>
                </c:pt>
                <c:pt idx="5">
                  <c:v>2024 py/</c:v>
                </c:pt>
              </c:strCache>
            </c:strRef>
          </c:cat>
          <c:val>
            <c:numRef>
              <c:f>Hoja1!$B$2:$B$7</c:f>
              <c:numCache>
                <c:formatCode>_-* #,##0.0_-;\-* #,##0.0_-;_-* "-"??_-;_-@_-</c:formatCode>
                <c:ptCount val="6"/>
                <c:pt idx="0">
                  <c:v>4</c:v>
                </c:pt>
                <c:pt idx="1">
                  <c:v>-1.8</c:v>
                </c:pt>
                <c:pt idx="2">
                  <c:v>8</c:v>
                </c:pt>
                <c:pt idx="3">
                  <c:v>4.0999999999999996</c:v>
                </c:pt>
                <c:pt idx="4">
                  <c:v>3.5</c:v>
                </c:pt>
                <c:pt idx="5">
                  <c:v>4.5</c:v>
                </c:pt>
              </c:numCache>
            </c:numRef>
          </c:val>
          <c:extLst>
            <c:ext xmlns:c16="http://schemas.microsoft.com/office/drawing/2014/chart" uri="{C3380CC4-5D6E-409C-BE32-E72D297353CC}">
              <c16:uniqueId val="{00000002-43D3-484E-B976-DCD9168B07BA}"/>
            </c:ext>
          </c:extLst>
        </c:ser>
        <c:ser>
          <c:idx val="1"/>
          <c:order val="1"/>
          <c:tx>
            <c:strRef>
              <c:f>Hoja1!$C$1</c:f>
              <c:strCache>
                <c:ptCount val="1"/>
                <c:pt idx="0">
                  <c:v>Columna2</c:v>
                </c:pt>
              </c:strCache>
            </c:strRef>
          </c:tx>
          <c:spPr>
            <a:solidFill>
              <a:schemeClr val="tx2">
                <a:lumMod val="60000"/>
                <a:lumOff val="40000"/>
              </a:schemeClr>
            </a:solidFill>
            <a:ln>
              <a:noFill/>
            </a:ln>
            <a:effectLst/>
          </c:spPr>
          <c:invertIfNegative val="0"/>
          <c:dLbls>
            <c:dLbl>
              <c:idx val="5"/>
              <c:layout>
                <c:manualLayout>
                  <c:x val="-1.8480969301964506E-16"/>
                  <c:y val="8.4685956245589208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3D3-484E-B976-DCD9168B07BA}"/>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2019</c:v>
                </c:pt>
                <c:pt idx="1">
                  <c:v>2020</c:v>
                </c:pt>
                <c:pt idx="2">
                  <c:v>2021</c:v>
                </c:pt>
                <c:pt idx="3">
                  <c:v>2022 p/</c:v>
                </c:pt>
                <c:pt idx="4">
                  <c:v>2023  e/</c:v>
                </c:pt>
                <c:pt idx="5">
                  <c:v>2024 py/</c:v>
                </c:pt>
              </c:strCache>
            </c:strRef>
          </c:cat>
          <c:val>
            <c:numRef>
              <c:f>Hoja1!$C$2:$C$7</c:f>
              <c:numCache>
                <c:formatCode>General</c:formatCode>
                <c:ptCount val="6"/>
                <c:pt idx="5">
                  <c:v>3.5</c:v>
                </c:pt>
              </c:numCache>
            </c:numRef>
          </c:val>
          <c:extLst>
            <c:ext xmlns:c16="http://schemas.microsoft.com/office/drawing/2014/chart" uri="{C3380CC4-5D6E-409C-BE32-E72D297353CC}">
              <c16:uniqueId val="{00000004-43D3-484E-B976-DCD9168B07BA}"/>
            </c:ext>
          </c:extLst>
        </c:ser>
        <c:ser>
          <c:idx val="2"/>
          <c:order val="2"/>
          <c:tx>
            <c:strRef>
              <c:f>Hoja1!$D$1</c:f>
              <c:strCache>
                <c:ptCount val="1"/>
                <c:pt idx="0">
                  <c:v>Columna3</c:v>
                </c:pt>
              </c:strCache>
            </c:strRef>
          </c:tx>
          <c:spPr>
            <a:solidFill>
              <a:srgbClr val="002060"/>
            </a:solidFill>
            <a:ln>
              <a:solidFill>
                <a:srgbClr val="002060"/>
              </a:solidFill>
            </a:ln>
            <a:effectLst/>
          </c:spPr>
          <c:invertIfNegative val="0"/>
          <c:dLbls>
            <c:dLbl>
              <c:idx val="5"/>
              <c:layout>
                <c:manualLayout>
                  <c:x val="-1.8480969301964506E-16"/>
                  <c:y val="0.12702893436838397"/>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3D3-484E-B976-DCD9168B07BA}"/>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2019</c:v>
                </c:pt>
                <c:pt idx="1">
                  <c:v>2020</c:v>
                </c:pt>
                <c:pt idx="2">
                  <c:v>2021</c:v>
                </c:pt>
                <c:pt idx="3">
                  <c:v>2022 p/</c:v>
                </c:pt>
                <c:pt idx="4">
                  <c:v>2023  e/</c:v>
                </c:pt>
                <c:pt idx="5">
                  <c:v>2024 py/</c:v>
                </c:pt>
              </c:strCache>
            </c:strRef>
          </c:cat>
          <c:val>
            <c:numRef>
              <c:f>Hoja1!$D$2:$D$7</c:f>
              <c:numCache>
                <c:formatCode>General</c:formatCode>
                <c:ptCount val="6"/>
                <c:pt idx="5">
                  <c:v>2.5</c:v>
                </c:pt>
              </c:numCache>
            </c:numRef>
          </c:val>
          <c:extLst>
            <c:ext xmlns:c16="http://schemas.microsoft.com/office/drawing/2014/chart" uri="{C3380CC4-5D6E-409C-BE32-E72D297353CC}">
              <c16:uniqueId val="{00000006-43D3-484E-B976-DCD9168B07BA}"/>
            </c:ext>
          </c:extLst>
        </c:ser>
        <c:dLbls>
          <c:showLegendKey val="0"/>
          <c:showVal val="0"/>
          <c:showCatName val="0"/>
          <c:showSerName val="0"/>
          <c:showPercent val="0"/>
          <c:showBubbleSize val="0"/>
        </c:dLbls>
        <c:gapWidth val="80"/>
        <c:overlap val="100"/>
        <c:axId val="1088847808"/>
        <c:axId val="1088848640"/>
      </c:barChart>
      <c:catAx>
        <c:axId val="10888478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088848640"/>
        <c:crosses val="autoZero"/>
        <c:auto val="1"/>
        <c:lblAlgn val="ctr"/>
        <c:lblOffset val="100"/>
        <c:noMultiLvlLbl val="0"/>
      </c:catAx>
      <c:valAx>
        <c:axId val="1088848640"/>
        <c:scaling>
          <c:orientation val="minMax"/>
        </c:scaling>
        <c:delete val="1"/>
        <c:axPos val="l"/>
        <c:numFmt formatCode="_-* #,##0.0_-;\-* #,##0.0_-;_-* &quot;-&quot;??_-;_-@_-" sourceLinked="1"/>
        <c:majorTickMark val="none"/>
        <c:minorTickMark val="none"/>
        <c:tickLblPos val="nextTo"/>
        <c:crossAx val="10888478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1099904398569413E-2"/>
          <c:y val="0.12702893436838392"/>
          <c:w val="0.97890009560143054"/>
          <c:h val="0.74261802222561213"/>
        </c:manualLayout>
      </c:layout>
      <c:barChart>
        <c:barDir val="col"/>
        <c:grouping val="clustered"/>
        <c:varyColors val="0"/>
        <c:ser>
          <c:idx val="0"/>
          <c:order val="0"/>
          <c:tx>
            <c:strRef>
              <c:f>Hoja1!$B$1</c:f>
              <c:strCache>
                <c:ptCount val="1"/>
                <c:pt idx="0">
                  <c:v>2023 e/</c:v>
                </c:pt>
              </c:strCache>
            </c:strRef>
          </c:tx>
          <c:spPr>
            <a:solidFill>
              <a:schemeClr val="tx2">
                <a:lumMod val="50000"/>
              </a:schemeClr>
            </a:solidFill>
            <a:ln>
              <a:noFill/>
            </a:ln>
            <a:effectLst/>
          </c:spPr>
          <c:invertIfNegative val="0"/>
          <c:dLbls>
            <c:dLbl>
              <c:idx val="3"/>
              <c:layout>
                <c:manualLayout>
                  <c:x val="0"/>
                  <c:y val="2.11864406779660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46-4329-AD48-EAF31E223B55}"/>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 D. interna </c:v>
                </c:pt>
                <c:pt idx="1">
                  <c:v> C. privado </c:v>
                </c:pt>
                <c:pt idx="2">
                  <c:v> C.público </c:v>
                </c:pt>
                <c:pt idx="3">
                  <c:v> FBCF </c:v>
                </c:pt>
                <c:pt idx="4">
                  <c:v> Exp.</c:v>
                </c:pt>
                <c:pt idx="5">
                  <c:v> Imp.</c:v>
                </c:pt>
              </c:strCache>
            </c:strRef>
          </c:cat>
          <c:val>
            <c:numRef>
              <c:f>Hoja1!$B$2:$B$7</c:f>
              <c:numCache>
                <c:formatCode>_-* #,##0.0_-;\-* #,##0.0_-;_-* "-"??_-;_-@_-</c:formatCode>
                <c:ptCount val="6"/>
                <c:pt idx="0">
                  <c:v>4.3</c:v>
                </c:pt>
                <c:pt idx="1">
                  <c:v>3.6</c:v>
                </c:pt>
                <c:pt idx="2">
                  <c:v>3.9</c:v>
                </c:pt>
                <c:pt idx="3">
                  <c:v>8.5</c:v>
                </c:pt>
                <c:pt idx="4">
                  <c:v>-0.4</c:v>
                </c:pt>
                <c:pt idx="5">
                  <c:v>4.0999999999999996</c:v>
                </c:pt>
              </c:numCache>
            </c:numRef>
          </c:val>
          <c:extLst>
            <c:ext xmlns:c16="http://schemas.microsoft.com/office/drawing/2014/chart" uri="{C3380CC4-5D6E-409C-BE32-E72D297353CC}">
              <c16:uniqueId val="{00000001-7C46-4329-AD48-EAF31E223B55}"/>
            </c:ext>
          </c:extLst>
        </c:ser>
        <c:ser>
          <c:idx val="1"/>
          <c:order val="1"/>
          <c:tx>
            <c:strRef>
              <c:f>Hoja1!$C$1</c:f>
              <c:strCache>
                <c:ptCount val="1"/>
                <c:pt idx="0">
                  <c:v>2024  py/</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lumMod val="60000"/>
                        <a:lumOff val="4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 D. interna </c:v>
                </c:pt>
                <c:pt idx="1">
                  <c:v> C. privado </c:v>
                </c:pt>
                <c:pt idx="2">
                  <c:v> C.público </c:v>
                </c:pt>
                <c:pt idx="3">
                  <c:v> FBCF </c:v>
                </c:pt>
                <c:pt idx="4">
                  <c:v> Exp.</c:v>
                </c:pt>
                <c:pt idx="5">
                  <c:v> Imp.</c:v>
                </c:pt>
              </c:strCache>
            </c:strRef>
          </c:cat>
          <c:val>
            <c:numRef>
              <c:f>Hoja1!$C$2:$C$7</c:f>
              <c:numCache>
                <c:formatCode>_-* #,##0.0_-;\-* #,##0.0_-;_-* "-"??_-;_-@_-</c:formatCode>
                <c:ptCount val="6"/>
                <c:pt idx="0">
                  <c:v>3.5</c:v>
                </c:pt>
                <c:pt idx="1">
                  <c:v>3.7</c:v>
                </c:pt>
                <c:pt idx="2">
                  <c:v>-0.1</c:v>
                </c:pt>
                <c:pt idx="3">
                  <c:v>2.5</c:v>
                </c:pt>
                <c:pt idx="4">
                  <c:v>4.2</c:v>
                </c:pt>
                <c:pt idx="5">
                  <c:v>4</c:v>
                </c:pt>
              </c:numCache>
            </c:numRef>
          </c:val>
          <c:extLst>
            <c:ext xmlns:c16="http://schemas.microsoft.com/office/drawing/2014/chart" uri="{C3380CC4-5D6E-409C-BE32-E72D297353CC}">
              <c16:uniqueId val="{00000002-7C46-4329-AD48-EAF31E223B55}"/>
            </c:ext>
          </c:extLst>
        </c:ser>
        <c:dLbls>
          <c:showLegendKey val="0"/>
          <c:showVal val="0"/>
          <c:showCatName val="0"/>
          <c:showSerName val="0"/>
          <c:showPercent val="0"/>
          <c:showBubbleSize val="0"/>
        </c:dLbls>
        <c:gapWidth val="60"/>
        <c:axId val="994675280"/>
        <c:axId val="994657808"/>
      </c:barChart>
      <c:catAx>
        <c:axId val="9946752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994657808"/>
        <c:crosses val="autoZero"/>
        <c:auto val="1"/>
        <c:lblAlgn val="ctr"/>
        <c:lblOffset val="100"/>
        <c:noMultiLvlLbl val="0"/>
      </c:catAx>
      <c:valAx>
        <c:axId val="994657808"/>
        <c:scaling>
          <c:orientation val="minMax"/>
        </c:scaling>
        <c:delete val="1"/>
        <c:axPos val="l"/>
        <c:numFmt formatCode="_-* #,##0.0_-;\-* #,##0.0_-;_-* &quot;-&quot;??_-;_-@_-" sourceLinked="1"/>
        <c:majorTickMark val="out"/>
        <c:minorTickMark val="none"/>
        <c:tickLblPos val="nextTo"/>
        <c:crossAx val="994675280"/>
        <c:crosses val="autoZero"/>
        <c:crossBetween val="between"/>
      </c:valAx>
      <c:spPr>
        <a:noFill/>
        <a:ln>
          <a:noFill/>
        </a:ln>
        <a:effectLst/>
      </c:spPr>
    </c:plotArea>
    <c:legend>
      <c:legendPos val="b"/>
      <c:layout>
        <c:manualLayout>
          <c:xMode val="edge"/>
          <c:yMode val="edge"/>
          <c:x val="0.25189530886104028"/>
          <c:y val="1.99208149828729E-2"/>
          <c:w val="0.46596671005842011"/>
          <c:h val="9.7918970432153973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940534608263239"/>
          <c:y val="4.3650793650793648E-2"/>
          <c:w val="0.73059465391736755"/>
          <c:h val="0.91769834326264776"/>
        </c:manualLayout>
      </c:layout>
      <c:barChart>
        <c:barDir val="bar"/>
        <c:grouping val="clustered"/>
        <c:varyColors val="0"/>
        <c:ser>
          <c:idx val="0"/>
          <c:order val="0"/>
          <c:tx>
            <c:strRef>
              <c:f>Hoja1!$B$1</c:f>
              <c:strCache>
                <c:ptCount val="1"/>
                <c:pt idx="0">
                  <c:v>2023 e/</c:v>
                </c:pt>
              </c:strCache>
            </c:strRef>
          </c:tx>
          <c:spPr>
            <a:solidFill>
              <a:schemeClr val="tx2">
                <a:lumMod val="60000"/>
                <a:lumOff val="40000"/>
              </a:schemeClr>
            </a:solidFill>
            <a:ln>
              <a:noFill/>
            </a:ln>
            <a:effectLst/>
          </c:spPr>
          <c:invertIfNegative val="0"/>
          <c:dLbls>
            <c:dLbl>
              <c:idx val="7"/>
              <c:layout>
                <c:manualLayout>
                  <c:x val="-8.65800865800865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2EF-43E3-8F3A-211FB345A2CB}"/>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2">
                        <a:lumMod val="60000"/>
                        <a:lumOff val="40000"/>
                      </a:schemeClr>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Hoja1!$A$2:$A$18</c:f>
              <c:strCache>
                <c:ptCount val="17"/>
                <c:pt idx="0">
                  <c:v>Comercio  (21.2%)</c:v>
                </c:pt>
                <c:pt idx="1">
                  <c:v>Industrias manufactureras (14%)</c:v>
                </c:pt>
                <c:pt idx="2">
                  <c:v>Agricultura (9.1%)</c:v>
                </c:pt>
                <c:pt idx="3">
                  <c:v>Actividades inmobiliarias (7.7%)</c:v>
                </c:pt>
                <c:pt idx="4">
                  <c:v>Construcción (5.5%)</c:v>
                </c:pt>
                <c:pt idx="5">
                  <c:v>Enseñanza (4.2%)</c:v>
                </c:pt>
                <c:pt idx="6">
                  <c:v>Administración pública  (4.1%)</c:v>
                </c:pt>
                <c:pt idx="7">
                  <c:v>Actividades financieras  (4.4%)</c:v>
                </c:pt>
                <c:pt idx="8">
                  <c:v>Otros servicios (3.5%)</c:v>
                </c:pt>
                <c:pt idx="9">
                  <c:v>Información y comunicaciones (3.2%)</c:v>
                </c:pt>
                <c:pt idx="10">
                  <c:v>Transporte  (3.1%)</c:v>
                </c:pt>
                <c:pt idx="11">
                  <c:v>Servicios administrativos (3.3%)</c:v>
                </c:pt>
                <c:pt idx="12">
                  <c:v>Salud (2.6%)</c:v>
                </c:pt>
                <c:pt idx="13">
                  <c:v>Alojamiento  (3.0%)</c:v>
                </c:pt>
                <c:pt idx="14">
                  <c:v>Actividades profesionales (2.3%)</c:v>
                </c:pt>
                <c:pt idx="15">
                  <c:v>Suministro de electricidad (2.2%)</c:v>
                </c:pt>
                <c:pt idx="16">
                  <c:v>Explotación de minas (0.5%)</c:v>
                </c:pt>
              </c:strCache>
            </c:strRef>
          </c:cat>
          <c:val>
            <c:numRef>
              <c:f>Hoja1!$B$2:$B$18</c:f>
              <c:numCache>
                <c:formatCode>_-* #,##0.0_-;\-* #,##0.0_-;_-* "-"??_-;_-@_-</c:formatCode>
                <c:ptCount val="17"/>
                <c:pt idx="0">
                  <c:v>3</c:v>
                </c:pt>
                <c:pt idx="1">
                  <c:v>1.9</c:v>
                </c:pt>
                <c:pt idx="2">
                  <c:v>2.1</c:v>
                </c:pt>
                <c:pt idx="3">
                  <c:v>4.2</c:v>
                </c:pt>
                <c:pt idx="4">
                  <c:v>3.5</c:v>
                </c:pt>
                <c:pt idx="5">
                  <c:v>3.4</c:v>
                </c:pt>
                <c:pt idx="6">
                  <c:v>3.1</c:v>
                </c:pt>
                <c:pt idx="7">
                  <c:v>10.8</c:v>
                </c:pt>
                <c:pt idx="8">
                  <c:v>3.4</c:v>
                </c:pt>
                <c:pt idx="9">
                  <c:v>2</c:v>
                </c:pt>
                <c:pt idx="10">
                  <c:v>1.9</c:v>
                </c:pt>
                <c:pt idx="11">
                  <c:v>4.7</c:v>
                </c:pt>
                <c:pt idx="12">
                  <c:v>-0.6</c:v>
                </c:pt>
                <c:pt idx="13">
                  <c:v>6.1</c:v>
                </c:pt>
                <c:pt idx="14">
                  <c:v>4.7</c:v>
                </c:pt>
                <c:pt idx="15">
                  <c:v>0.1</c:v>
                </c:pt>
                <c:pt idx="16">
                  <c:v>-7.1</c:v>
                </c:pt>
              </c:numCache>
            </c:numRef>
          </c:val>
          <c:extLst>
            <c:ext xmlns:c16="http://schemas.microsoft.com/office/drawing/2014/chart" uri="{C3380CC4-5D6E-409C-BE32-E72D297353CC}">
              <c16:uniqueId val="{00000001-02EF-43E3-8F3A-211FB345A2CB}"/>
            </c:ext>
          </c:extLst>
        </c:ser>
        <c:ser>
          <c:idx val="1"/>
          <c:order val="1"/>
          <c:tx>
            <c:strRef>
              <c:f>Hoja1!$C$1</c:f>
              <c:strCache>
                <c:ptCount val="1"/>
                <c:pt idx="0">
                  <c:v>2024 py/</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Hoja1!$A$2:$A$18</c:f>
              <c:strCache>
                <c:ptCount val="17"/>
                <c:pt idx="0">
                  <c:v>Comercio  (21.2%)</c:v>
                </c:pt>
                <c:pt idx="1">
                  <c:v>Industrias manufactureras (14%)</c:v>
                </c:pt>
                <c:pt idx="2">
                  <c:v>Agricultura (9.1%)</c:v>
                </c:pt>
                <c:pt idx="3">
                  <c:v>Actividades inmobiliarias (7.7%)</c:v>
                </c:pt>
                <c:pt idx="4">
                  <c:v>Construcción (5.5%)</c:v>
                </c:pt>
                <c:pt idx="5">
                  <c:v>Enseñanza (4.2%)</c:v>
                </c:pt>
                <c:pt idx="6">
                  <c:v>Administración pública  (4.1%)</c:v>
                </c:pt>
                <c:pt idx="7">
                  <c:v>Actividades financieras  (4.4%)</c:v>
                </c:pt>
                <c:pt idx="8">
                  <c:v>Otros servicios (3.5%)</c:v>
                </c:pt>
                <c:pt idx="9">
                  <c:v>Información y comunicaciones (3.2%)</c:v>
                </c:pt>
                <c:pt idx="10">
                  <c:v>Transporte  (3.1%)</c:v>
                </c:pt>
                <c:pt idx="11">
                  <c:v>Servicios administrativos (3.3%)</c:v>
                </c:pt>
                <c:pt idx="12">
                  <c:v>Salud (2.6%)</c:v>
                </c:pt>
                <c:pt idx="13">
                  <c:v>Alojamiento  (3.0%)</c:v>
                </c:pt>
                <c:pt idx="14">
                  <c:v>Actividades profesionales (2.3%)</c:v>
                </c:pt>
                <c:pt idx="15">
                  <c:v>Suministro de electricidad (2.2%)</c:v>
                </c:pt>
                <c:pt idx="16">
                  <c:v>Explotación de minas (0.5%)</c:v>
                </c:pt>
              </c:strCache>
            </c:strRef>
          </c:cat>
          <c:val>
            <c:numRef>
              <c:f>Hoja1!$C$2:$C$18</c:f>
              <c:numCache>
                <c:formatCode>_-* #,##0.0_-;\-* #,##0.0_-;_-* "-"??_-;_-@_-</c:formatCode>
                <c:ptCount val="17"/>
                <c:pt idx="0">
                  <c:v>3.6</c:v>
                </c:pt>
                <c:pt idx="1">
                  <c:v>3.3</c:v>
                </c:pt>
                <c:pt idx="2">
                  <c:v>2.2000000000000002</c:v>
                </c:pt>
                <c:pt idx="3">
                  <c:v>4.0999999999999996</c:v>
                </c:pt>
                <c:pt idx="4">
                  <c:v>1.9</c:v>
                </c:pt>
                <c:pt idx="5">
                  <c:v>2.6</c:v>
                </c:pt>
                <c:pt idx="6">
                  <c:v>2</c:v>
                </c:pt>
                <c:pt idx="7">
                  <c:v>7.3</c:v>
                </c:pt>
                <c:pt idx="8">
                  <c:v>3.6</c:v>
                </c:pt>
                <c:pt idx="9">
                  <c:v>3.4</c:v>
                </c:pt>
                <c:pt idx="10">
                  <c:v>3.6</c:v>
                </c:pt>
                <c:pt idx="11">
                  <c:v>3.2</c:v>
                </c:pt>
                <c:pt idx="12">
                  <c:v>3</c:v>
                </c:pt>
                <c:pt idx="13">
                  <c:v>4.9000000000000004</c:v>
                </c:pt>
                <c:pt idx="14">
                  <c:v>3.4</c:v>
                </c:pt>
                <c:pt idx="15">
                  <c:v>3.3</c:v>
                </c:pt>
                <c:pt idx="16">
                  <c:v>4.2</c:v>
                </c:pt>
              </c:numCache>
            </c:numRef>
          </c:val>
          <c:extLst>
            <c:ext xmlns:c16="http://schemas.microsoft.com/office/drawing/2014/chart" uri="{C3380CC4-5D6E-409C-BE32-E72D297353CC}">
              <c16:uniqueId val="{00000002-02EF-43E3-8F3A-211FB345A2CB}"/>
            </c:ext>
          </c:extLst>
        </c:ser>
        <c:dLbls>
          <c:showLegendKey val="0"/>
          <c:showVal val="0"/>
          <c:showCatName val="0"/>
          <c:showSerName val="0"/>
          <c:showPercent val="0"/>
          <c:showBubbleSize val="0"/>
        </c:dLbls>
        <c:gapWidth val="80"/>
        <c:overlap val="-15"/>
        <c:axId val="1082174704"/>
        <c:axId val="1082169712"/>
      </c:barChart>
      <c:catAx>
        <c:axId val="1082174704"/>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082169712"/>
        <c:crosses val="autoZero"/>
        <c:auto val="1"/>
        <c:lblAlgn val="ctr"/>
        <c:lblOffset val="100"/>
        <c:noMultiLvlLbl val="0"/>
      </c:catAx>
      <c:valAx>
        <c:axId val="1082169712"/>
        <c:scaling>
          <c:orientation val="minMax"/>
          <c:min val="-10"/>
        </c:scaling>
        <c:delete val="1"/>
        <c:axPos val="t"/>
        <c:numFmt formatCode="_-* #,##0.0_-;\-* #,##0.0_-;_-* &quot;-&quot;??_-;_-@_-" sourceLinked="1"/>
        <c:majorTickMark val="out"/>
        <c:minorTickMark val="none"/>
        <c:tickLblPos val="nextTo"/>
        <c:crossAx val="1082174704"/>
        <c:crosses val="autoZero"/>
        <c:crossBetween val="between"/>
      </c:valAx>
      <c:spPr>
        <a:noFill/>
        <a:ln>
          <a:noFill/>
        </a:ln>
        <a:effectLst/>
      </c:spPr>
    </c:plotArea>
    <c:legend>
      <c:legendPos val="b"/>
      <c:layout>
        <c:manualLayout>
          <c:xMode val="edge"/>
          <c:yMode val="edge"/>
          <c:x val="0.75391434025292292"/>
          <c:y val="0.94670360649363272"/>
          <c:w val="0.17646895425811199"/>
          <c:h val="5.211240022056688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
          <c:w val="1"/>
          <c:h val="0.69661802499226488"/>
        </c:manualLayout>
      </c:layout>
      <c:lineChart>
        <c:grouping val="standard"/>
        <c:varyColors val="0"/>
        <c:ser>
          <c:idx val="0"/>
          <c:order val="0"/>
          <c:tx>
            <c:strRef>
              <c:f>Hoja1!$B$1</c:f>
              <c:strCache>
                <c:ptCount val="1"/>
                <c:pt idx="0">
                  <c:v>inflacion</c:v>
                </c:pt>
              </c:strCache>
            </c:strRef>
          </c:tx>
          <c:spPr>
            <a:ln w="19050" cap="rnd">
              <a:solidFill>
                <a:schemeClr val="tx2"/>
              </a:solidFill>
              <a:round/>
            </a:ln>
            <a:effectLst/>
          </c:spPr>
          <c:marker>
            <c:symbol val="none"/>
          </c:marker>
          <c:dLbls>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ED-4B3D-ABF8-8FFFBAF97BCE}"/>
                </c:ext>
              </c:extLst>
            </c:dLbl>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ED-4B3D-ABF8-8FFFBAF97BCE}"/>
                </c:ext>
              </c:extLst>
            </c:dLbl>
            <c:dLbl>
              <c:idx val="1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9ED-4B3D-ABF8-8FFFBAF97BCE}"/>
                </c:ext>
              </c:extLst>
            </c:dLbl>
            <c:dLbl>
              <c:idx val="1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ED-4B3D-ABF8-8FFFBAF97BCE}"/>
                </c:ext>
              </c:extLst>
            </c:dLbl>
            <c:dLbl>
              <c:idx val="18"/>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9ED-4B3D-ABF8-8FFFBAF97BCE}"/>
                </c:ext>
              </c:extLst>
            </c:dLbl>
            <c:dLbl>
              <c:idx val="2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9ED-4B3D-ABF8-8FFFBAF97BCE}"/>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GT"/>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Hoja1!$A$2:$A$37</c:f>
              <c:numCache>
                <c:formatCode>yyyy\-mm\-dd</c:formatCode>
                <c:ptCount val="36"/>
                <c:pt idx="0">
                  <c:v>44562</c:v>
                </c:pt>
                <c:pt idx="1">
                  <c:v>44593</c:v>
                </c:pt>
                <c:pt idx="2">
                  <c:v>44621</c:v>
                </c:pt>
                <c:pt idx="3">
                  <c:v>44652</c:v>
                </c:pt>
                <c:pt idx="4">
                  <c:v>44682</c:v>
                </c:pt>
                <c:pt idx="5">
                  <c:v>44713</c:v>
                </c:pt>
                <c:pt idx="6">
                  <c:v>44743</c:v>
                </c:pt>
                <c:pt idx="7">
                  <c:v>44774</c:v>
                </c:pt>
                <c:pt idx="8">
                  <c:v>44805</c:v>
                </c:pt>
                <c:pt idx="9">
                  <c:v>44835</c:v>
                </c:pt>
                <c:pt idx="10">
                  <c:v>44866</c:v>
                </c:pt>
                <c:pt idx="11">
                  <c:v>44896</c:v>
                </c:pt>
                <c:pt idx="12">
                  <c:v>44927</c:v>
                </c:pt>
                <c:pt idx="13">
                  <c:v>44958</c:v>
                </c:pt>
                <c:pt idx="14">
                  <c:v>44986</c:v>
                </c:pt>
                <c:pt idx="15">
                  <c:v>45017</c:v>
                </c:pt>
                <c:pt idx="16">
                  <c:v>45047</c:v>
                </c:pt>
                <c:pt idx="17">
                  <c:v>45078</c:v>
                </c:pt>
                <c:pt idx="18">
                  <c:v>45108</c:v>
                </c:pt>
                <c:pt idx="19">
                  <c:v>45139</c:v>
                </c:pt>
                <c:pt idx="20">
                  <c:v>45170</c:v>
                </c:pt>
                <c:pt idx="21">
                  <c:v>45200</c:v>
                </c:pt>
                <c:pt idx="22">
                  <c:v>45231</c:v>
                </c:pt>
                <c:pt idx="23">
                  <c:v>45261</c:v>
                </c:pt>
                <c:pt idx="24">
                  <c:v>45292</c:v>
                </c:pt>
                <c:pt idx="25">
                  <c:v>45323</c:v>
                </c:pt>
                <c:pt idx="26">
                  <c:v>45352</c:v>
                </c:pt>
                <c:pt idx="27">
                  <c:v>45383</c:v>
                </c:pt>
                <c:pt idx="28">
                  <c:v>45413</c:v>
                </c:pt>
                <c:pt idx="29">
                  <c:v>45444</c:v>
                </c:pt>
                <c:pt idx="30">
                  <c:v>45474</c:v>
                </c:pt>
                <c:pt idx="31">
                  <c:v>45505</c:v>
                </c:pt>
                <c:pt idx="32">
                  <c:v>45536</c:v>
                </c:pt>
                <c:pt idx="33">
                  <c:v>45566</c:v>
                </c:pt>
                <c:pt idx="34">
                  <c:v>45597</c:v>
                </c:pt>
                <c:pt idx="35">
                  <c:v>45627</c:v>
                </c:pt>
              </c:numCache>
            </c:numRef>
          </c:cat>
          <c:val>
            <c:numRef>
              <c:f>Hoja1!$B$2:$B$37</c:f>
              <c:numCache>
                <c:formatCode>General</c:formatCode>
                <c:ptCount val="36"/>
                <c:pt idx="0">
                  <c:v>2.87</c:v>
                </c:pt>
                <c:pt idx="1">
                  <c:v>2.98</c:v>
                </c:pt>
                <c:pt idx="2">
                  <c:v>4.17</c:v>
                </c:pt>
                <c:pt idx="3">
                  <c:v>4.62</c:v>
                </c:pt>
                <c:pt idx="4">
                  <c:v>5.82</c:v>
                </c:pt>
                <c:pt idx="5">
                  <c:v>7.55</c:v>
                </c:pt>
                <c:pt idx="6">
                  <c:v>8.36</c:v>
                </c:pt>
                <c:pt idx="7">
                  <c:v>8.8699999999999992</c:v>
                </c:pt>
                <c:pt idx="8">
                  <c:v>9.0299999999999994</c:v>
                </c:pt>
                <c:pt idx="9">
                  <c:v>9.6999999999999993</c:v>
                </c:pt>
                <c:pt idx="10">
                  <c:v>9.17</c:v>
                </c:pt>
                <c:pt idx="11">
                  <c:v>9.24</c:v>
                </c:pt>
                <c:pt idx="12">
                  <c:v>9.69</c:v>
                </c:pt>
                <c:pt idx="13">
                  <c:v>9.92</c:v>
                </c:pt>
                <c:pt idx="14">
                  <c:v>8.7100000000000009</c:v>
                </c:pt>
                <c:pt idx="15">
                  <c:v>8.32</c:v>
                </c:pt>
                <c:pt idx="16">
                  <c:v>6.54</c:v>
                </c:pt>
                <c:pt idx="17">
                  <c:v>4.93</c:v>
                </c:pt>
                <c:pt idx="18">
                  <c:v>4.53</c:v>
                </c:pt>
                <c:pt idx="19">
                  <c:v>4.47</c:v>
                </c:pt>
                <c:pt idx="20">
                  <c:v>4.6900000000000004</c:v>
                </c:pt>
                <c:pt idx="21">
                  <c:v>4.9800000000000004</c:v>
                </c:pt>
                <c:pt idx="22">
                  <c:v>4.3</c:v>
                </c:pt>
                <c:pt idx="23">
                  <c:v>4.18</c:v>
                </c:pt>
              </c:numCache>
            </c:numRef>
          </c:val>
          <c:smooth val="0"/>
          <c:extLst>
            <c:ext xmlns:c16="http://schemas.microsoft.com/office/drawing/2014/chart" uri="{C3380CC4-5D6E-409C-BE32-E72D297353CC}">
              <c16:uniqueId val="{00000006-B9ED-4B3D-ABF8-8FFFBAF97BCE}"/>
            </c:ext>
          </c:extLst>
        </c:ser>
        <c:ser>
          <c:idx val="1"/>
          <c:order val="1"/>
          <c:tx>
            <c:strRef>
              <c:f>Hoja1!$C$1</c:f>
              <c:strCache>
                <c:ptCount val="1"/>
                <c:pt idx="0">
                  <c:v>proyeccion</c:v>
                </c:pt>
              </c:strCache>
            </c:strRef>
          </c:tx>
          <c:spPr>
            <a:ln w="19050" cap="rnd">
              <a:solidFill>
                <a:schemeClr val="accent1"/>
              </a:solidFill>
              <a:prstDash val="sysDash"/>
              <a:round/>
            </a:ln>
            <a:effectLst/>
          </c:spPr>
          <c:marker>
            <c:symbol val="none"/>
          </c:marker>
          <c:dLbls>
            <c:dLbl>
              <c:idx val="23"/>
              <c:layout>
                <c:manualLayout>
                  <c:x val="-6.9637883008356549E-2"/>
                  <c:y val="-8.0192461908580592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9ED-4B3D-ABF8-8FFFBAF97BCE}"/>
                </c:ext>
              </c:extLst>
            </c:dLbl>
            <c:dLbl>
              <c:idx val="35"/>
              <c:layout>
                <c:manualLayout>
                  <c:x val="-1.3366750208855594E-2"/>
                  <c:y val="-4.6296296296296384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9ED-4B3D-ABF8-8FFFBAF97BCE}"/>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Hoja1!$A$2:$A$37</c:f>
              <c:numCache>
                <c:formatCode>yyyy\-mm\-dd</c:formatCode>
                <c:ptCount val="36"/>
                <c:pt idx="0">
                  <c:v>44562</c:v>
                </c:pt>
                <c:pt idx="1">
                  <c:v>44593</c:v>
                </c:pt>
                <c:pt idx="2">
                  <c:v>44621</c:v>
                </c:pt>
                <c:pt idx="3">
                  <c:v>44652</c:v>
                </c:pt>
                <c:pt idx="4">
                  <c:v>44682</c:v>
                </c:pt>
                <c:pt idx="5">
                  <c:v>44713</c:v>
                </c:pt>
                <c:pt idx="6">
                  <c:v>44743</c:v>
                </c:pt>
                <c:pt idx="7">
                  <c:v>44774</c:v>
                </c:pt>
                <c:pt idx="8">
                  <c:v>44805</c:v>
                </c:pt>
                <c:pt idx="9">
                  <c:v>44835</c:v>
                </c:pt>
                <c:pt idx="10">
                  <c:v>44866</c:v>
                </c:pt>
                <c:pt idx="11">
                  <c:v>44896</c:v>
                </c:pt>
                <c:pt idx="12">
                  <c:v>44927</c:v>
                </c:pt>
                <c:pt idx="13">
                  <c:v>44958</c:v>
                </c:pt>
                <c:pt idx="14">
                  <c:v>44986</c:v>
                </c:pt>
                <c:pt idx="15">
                  <c:v>45017</c:v>
                </c:pt>
                <c:pt idx="16">
                  <c:v>45047</c:v>
                </c:pt>
                <c:pt idx="17">
                  <c:v>45078</c:v>
                </c:pt>
                <c:pt idx="18">
                  <c:v>45108</c:v>
                </c:pt>
                <c:pt idx="19">
                  <c:v>45139</c:v>
                </c:pt>
                <c:pt idx="20">
                  <c:v>45170</c:v>
                </c:pt>
                <c:pt idx="21">
                  <c:v>45200</c:v>
                </c:pt>
                <c:pt idx="22">
                  <c:v>45231</c:v>
                </c:pt>
                <c:pt idx="23">
                  <c:v>45261</c:v>
                </c:pt>
                <c:pt idx="24">
                  <c:v>45292</c:v>
                </c:pt>
                <c:pt idx="25">
                  <c:v>45323</c:v>
                </c:pt>
                <c:pt idx="26">
                  <c:v>45352</c:v>
                </c:pt>
                <c:pt idx="27">
                  <c:v>45383</c:v>
                </c:pt>
                <c:pt idx="28">
                  <c:v>45413</c:v>
                </c:pt>
                <c:pt idx="29">
                  <c:v>45444</c:v>
                </c:pt>
                <c:pt idx="30">
                  <c:v>45474</c:v>
                </c:pt>
                <c:pt idx="31">
                  <c:v>45505</c:v>
                </c:pt>
                <c:pt idx="32">
                  <c:v>45536</c:v>
                </c:pt>
                <c:pt idx="33">
                  <c:v>45566</c:v>
                </c:pt>
                <c:pt idx="34">
                  <c:v>45597</c:v>
                </c:pt>
                <c:pt idx="35">
                  <c:v>45627</c:v>
                </c:pt>
              </c:numCache>
            </c:numRef>
          </c:cat>
          <c:val>
            <c:numRef>
              <c:f>Hoja1!$C$2:$C$37</c:f>
              <c:numCache>
                <c:formatCode>General</c:formatCode>
                <c:ptCount val="36"/>
                <c:pt idx="23" formatCode="_(* #,##0.00_);_(* \(#,##0.00\);_(* &quot;-&quot;??_);_(@_)">
                  <c:v>4.18</c:v>
                </c:pt>
                <c:pt idx="24" formatCode="_(* #,##0.00_);_(* \(#,##0.00\);_(* &quot;-&quot;??_);_(@_)">
                  <c:v>4.165</c:v>
                </c:pt>
                <c:pt idx="25" formatCode="_(* #,##0.00_);_(* \(#,##0.00\);_(* &quot;-&quot;??_);_(@_)">
                  <c:v>4.1500000000000004</c:v>
                </c:pt>
                <c:pt idx="26" formatCode="_(* #,##0.00_);_(* \(#,##0.00\);_(* &quot;-&quot;??_);_(@_)">
                  <c:v>4.1350000000000007</c:v>
                </c:pt>
                <c:pt idx="27" formatCode="_(* #,##0.00_);_(* \(#,##0.00\);_(* &quot;-&quot;??_);_(@_)">
                  <c:v>4.120000000000001</c:v>
                </c:pt>
                <c:pt idx="28" formatCode="_(* #,##0.00_);_(* \(#,##0.00\);_(* &quot;-&quot;??_);_(@_)">
                  <c:v>4.1050000000000013</c:v>
                </c:pt>
                <c:pt idx="29" formatCode="_(* #,##0.00_);_(* \(#,##0.00\);_(* &quot;-&quot;??_);_(@_)">
                  <c:v>4.0900000000000016</c:v>
                </c:pt>
                <c:pt idx="30" formatCode="_(* #,##0.00_);_(* \(#,##0.00\);_(* &quot;-&quot;??_);_(@_)">
                  <c:v>4.075000000000002</c:v>
                </c:pt>
                <c:pt idx="31" formatCode="_(* #,##0.00_);_(* \(#,##0.00\);_(* &quot;-&quot;??_);_(@_)">
                  <c:v>4.0600000000000023</c:v>
                </c:pt>
                <c:pt idx="32" formatCode="_(* #,##0.00_);_(* \(#,##0.00\);_(* &quot;-&quot;??_);_(@_)">
                  <c:v>4.0450000000000026</c:v>
                </c:pt>
                <c:pt idx="33" formatCode="_(* #,##0.00_);_(* \(#,##0.00\);_(* &quot;-&quot;??_);_(@_)">
                  <c:v>4.0300000000000029</c:v>
                </c:pt>
                <c:pt idx="34" formatCode="_(* #,##0.00_);_(* \(#,##0.00\);_(* &quot;-&quot;??_);_(@_)">
                  <c:v>4.0150000000000032</c:v>
                </c:pt>
                <c:pt idx="35" formatCode="_(* #,##0.00_);_(* \(#,##0.00\);_(* &quot;-&quot;??_);_(@_)">
                  <c:v>4.0000000000000036</c:v>
                </c:pt>
              </c:numCache>
            </c:numRef>
          </c:val>
          <c:smooth val="0"/>
          <c:extLst>
            <c:ext xmlns:c16="http://schemas.microsoft.com/office/drawing/2014/chart" uri="{C3380CC4-5D6E-409C-BE32-E72D297353CC}">
              <c16:uniqueId val="{00000009-B9ED-4B3D-ABF8-8FFFBAF97BCE}"/>
            </c:ext>
          </c:extLst>
        </c:ser>
        <c:dLbls>
          <c:showLegendKey val="0"/>
          <c:showVal val="0"/>
          <c:showCatName val="0"/>
          <c:showSerName val="0"/>
          <c:showPercent val="0"/>
          <c:showBubbleSize val="0"/>
        </c:dLbls>
        <c:smooth val="0"/>
        <c:axId val="1923675264"/>
        <c:axId val="1923676096"/>
      </c:lineChart>
      <c:dateAx>
        <c:axId val="1923675264"/>
        <c:scaling>
          <c:orientation val="minMax"/>
          <c:min val="44621"/>
        </c:scaling>
        <c:delete val="0"/>
        <c:axPos val="b"/>
        <c:numFmt formatCode="mmm\-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923676096"/>
        <c:crosses val="autoZero"/>
        <c:auto val="1"/>
        <c:lblOffset val="100"/>
        <c:baseTimeUnit val="months"/>
      </c:dateAx>
      <c:valAx>
        <c:axId val="1923676096"/>
        <c:scaling>
          <c:orientation val="minMax"/>
        </c:scaling>
        <c:delete val="1"/>
        <c:axPos val="l"/>
        <c:numFmt formatCode="General" sourceLinked="1"/>
        <c:majorTickMark val="none"/>
        <c:minorTickMark val="none"/>
        <c:tickLblPos val="nextTo"/>
        <c:crossAx val="19236752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3927576601671309E-2"/>
          <c:y val="0"/>
          <c:w val="0.96468865834667605"/>
          <c:h val="0.87153791859031227"/>
        </c:manualLayout>
      </c:layout>
      <c:barChart>
        <c:barDir val="col"/>
        <c:grouping val="stacked"/>
        <c:varyColors val="0"/>
        <c:ser>
          <c:idx val="0"/>
          <c:order val="0"/>
          <c:tx>
            <c:strRef>
              <c:f>Hoja2!$B$7</c:f>
              <c:strCache>
                <c:ptCount val="1"/>
                <c:pt idx="0">
                  <c:v>li</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Hoja2!$C$6:$E$6</c:f>
              <c:strCache>
                <c:ptCount val="3"/>
                <c:pt idx="0">
                  <c:v>Emision monetaria</c:v>
                </c:pt>
                <c:pt idx="1">
                  <c:v>Medios de pago</c:v>
                </c:pt>
                <c:pt idx="2">
                  <c:v>Credito Bancario al SP</c:v>
                </c:pt>
              </c:strCache>
            </c:strRef>
          </c:cat>
          <c:val>
            <c:numRef>
              <c:f>Hoja2!$C$7:$E$7</c:f>
              <c:numCache>
                <c:formatCode>_-* #,##0.0_-;\-* #,##0.0_-;_-* "-"??_-;_-@_-</c:formatCode>
                <c:ptCount val="3"/>
                <c:pt idx="0">
                  <c:v>10</c:v>
                </c:pt>
                <c:pt idx="1">
                  <c:v>9</c:v>
                </c:pt>
                <c:pt idx="2">
                  <c:v>9</c:v>
                </c:pt>
              </c:numCache>
            </c:numRef>
          </c:val>
          <c:extLst>
            <c:ext xmlns:c16="http://schemas.microsoft.com/office/drawing/2014/chart" uri="{C3380CC4-5D6E-409C-BE32-E72D297353CC}">
              <c16:uniqueId val="{00000000-494F-480C-92B7-C44A8227171E}"/>
            </c:ext>
          </c:extLst>
        </c:ser>
        <c:ser>
          <c:idx val="1"/>
          <c:order val="1"/>
          <c:tx>
            <c:strRef>
              <c:f>Hoja2!$B$8</c:f>
              <c:strCache>
                <c:ptCount val="1"/>
                <c:pt idx="0">
                  <c:v>medio</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Hoja2!$C$6:$E$6</c:f>
              <c:strCache>
                <c:ptCount val="3"/>
                <c:pt idx="0">
                  <c:v>Emision monetaria</c:v>
                </c:pt>
                <c:pt idx="1">
                  <c:v>Medios de pago</c:v>
                </c:pt>
                <c:pt idx="2">
                  <c:v>Credito Bancario al SP</c:v>
                </c:pt>
              </c:strCache>
            </c:strRef>
          </c:cat>
          <c:val>
            <c:numRef>
              <c:f>Hoja2!$C$8:$E$8</c:f>
              <c:numCache>
                <c:formatCode>_-* #,##0.0_-;\-* #,##0.0_-;_-* "-"??_-;_-@_-</c:formatCode>
                <c:ptCount val="3"/>
                <c:pt idx="0">
                  <c:v>11.5</c:v>
                </c:pt>
                <c:pt idx="1">
                  <c:v>10</c:v>
                </c:pt>
                <c:pt idx="2">
                  <c:v>10.5</c:v>
                </c:pt>
              </c:numCache>
            </c:numRef>
          </c:val>
          <c:extLst>
            <c:ext xmlns:c16="http://schemas.microsoft.com/office/drawing/2014/chart" uri="{C3380CC4-5D6E-409C-BE32-E72D297353CC}">
              <c16:uniqueId val="{00000001-494F-480C-92B7-C44A8227171E}"/>
            </c:ext>
          </c:extLst>
        </c:ser>
        <c:ser>
          <c:idx val="2"/>
          <c:order val="2"/>
          <c:tx>
            <c:strRef>
              <c:f>Hoja2!$B$9</c:f>
              <c:strCache>
                <c:ptCount val="1"/>
                <c:pt idx="0">
                  <c:v>ls</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Hoja2!$C$6:$E$6</c:f>
              <c:strCache>
                <c:ptCount val="3"/>
                <c:pt idx="0">
                  <c:v>Emision monetaria</c:v>
                </c:pt>
                <c:pt idx="1">
                  <c:v>Medios de pago</c:v>
                </c:pt>
                <c:pt idx="2">
                  <c:v>Credito Bancario al SP</c:v>
                </c:pt>
              </c:strCache>
            </c:strRef>
          </c:cat>
          <c:val>
            <c:numRef>
              <c:f>Hoja2!$C$9:$E$9</c:f>
              <c:numCache>
                <c:formatCode>_-* #,##0.0_-;\-* #,##0.0_-;_-* "-"??_-;_-@_-</c:formatCode>
                <c:ptCount val="3"/>
                <c:pt idx="0">
                  <c:v>13</c:v>
                </c:pt>
                <c:pt idx="1">
                  <c:v>11</c:v>
                </c:pt>
                <c:pt idx="2">
                  <c:v>12</c:v>
                </c:pt>
              </c:numCache>
            </c:numRef>
          </c:val>
          <c:extLst>
            <c:ext xmlns:c16="http://schemas.microsoft.com/office/drawing/2014/chart" uri="{C3380CC4-5D6E-409C-BE32-E72D297353CC}">
              <c16:uniqueId val="{00000002-494F-480C-92B7-C44A8227171E}"/>
            </c:ext>
          </c:extLst>
        </c:ser>
        <c:dLbls>
          <c:showLegendKey val="0"/>
          <c:showVal val="0"/>
          <c:showCatName val="0"/>
          <c:showSerName val="0"/>
          <c:showPercent val="0"/>
          <c:showBubbleSize val="0"/>
        </c:dLbls>
        <c:gapWidth val="150"/>
        <c:overlap val="100"/>
        <c:axId val="1923715616"/>
        <c:axId val="1923694816"/>
      </c:barChart>
      <c:catAx>
        <c:axId val="1923715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923694816"/>
        <c:crosses val="autoZero"/>
        <c:auto val="1"/>
        <c:lblAlgn val="ctr"/>
        <c:lblOffset val="100"/>
        <c:noMultiLvlLbl val="0"/>
      </c:catAx>
      <c:valAx>
        <c:axId val="1923694816"/>
        <c:scaling>
          <c:orientation val="minMax"/>
          <c:max val="35"/>
          <c:min val="4"/>
        </c:scaling>
        <c:delete val="1"/>
        <c:axPos val="l"/>
        <c:numFmt formatCode="_-* #,##0.0_-;\-* #,##0.0_-;_-* &quot;-&quot;??_-;_-@_-" sourceLinked="1"/>
        <c:majorTickMark val="out"/>
        <c:minorTickMark val="none"/>
        <c:tickLblPos val="nextTo"/>
        <c:crossAx val="1923715616"/>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136621875084946E-3"/>
          <c:y val="3.217672696776272E-2"/>
          <c:w val="0.981172675624983"/>
          <c:h val="0.85235733376254263"/>
        </c:manualLayout>
      </c:layout>
      <c:barChart>
        <c:barDir val="col"/>
        <c:grouping val="clustered"/>
        <c:varyColors val="0"/>
        <c:ser>
          <c:idx val="0"/>
          <c:order val="0"/>
          <c:tx>
            <c:strRef>
              <c:f>Hoja1!$B$1</c:f>
              <c:strCache>
                <c:ptCount val="1"/>
                <c:pt idx="0">
                  <c:v>Alto</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Cuenta Corriente (%PIB)</c:v>
                </c:pt>
                <c:pt idx="1">
                  <c:v>Remesas familiares (% tasa de crecimiento)</c:v>
                </c:pt>
                <c:pt idx="2">
                  <c:v>Exportaciones (% tasa de crecimiento)</c:v>
                </c:pt>
                <c:pt idx="3">
                  <c:v>Importaciones (% tasa de crecimiento) </c:v>
                </c:pt>
              </c:strCache>
            </c:strRef>
          </c:cat>
          <c:val>
            <c:numRef>
              <c:f>Hoja1!$B$2:$B$5</c:f>
              <c:numCache>
                <c:formatCode>_-* #,##0.0_-;\-* #,##0.0_-;_-* "-"??_-;_-@_-</c:formatCode>
                <c:ptCount val="4"/>
                <c:pt idx="0">
                  <c:v>2.5</c:v>
                </c:pt>
                <c:pt idx="1">
                  <c:v>11</c:v>
                </c:pt>
                <c:pt idx="2">
                  <c:v>7</c:v>
                </c:pt>
                <c:pt idx="3">
                  <c:v>9</c:v>
                </c:pt>
              </c:numCache>
            </c:numRef>
          </c:val>
          <c:extLst>
            <c:ext xmlns:c16="http://schemas.microsoft.com/office/drawing/2014/chart" uri="{C3380CC4-5D6E-409C-BE32-E72D297353CC}">
              <c16:uniqueId val="{00000000-7B47-4878-B40E-42B5F1F9BFA0}"/>
            </c:ext>
          </c:extLst>
        </c:ser>
        <c:ser>
          <c:idx val="1"/>
          <c:order val="1"/>
          <c:tx>
            <c:strRef>
              <c:f>Hoja1!$C$1</c:f>
              <c:strCache>
                <c:ptCount val="1"/>
                <c:pt idx="0">
                  <c:v>Medio</c:v>
                </c:pt>
              </c:strCache>
            </c:strRef>
          </c:tx>
          <c:spPr>
            <a:solidFill>
              <a:schemeClr val="tx2">
                <a:lumMod val="60000"/>
                <a:lumOff val="40000"/>
              </a:schemeClr>
            </a:solidFill>
            <a:ln>
              <a:noFill/>
            </a:ln>
            <a:effectLst/>
          </c:spPr>
          <c:invertIfNegative val="0"/>
          <c:dLbls>
            <c:dLbl>
              <c:idx val="0"/>
              <c:layout>
                <c:manualLayout>
                  <c:x val="0"/>
                  <c:y val="0.11291460832745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47-4878-B40E-42B5F1F9BFA0}"/>
                </c:ext>
              </c:extLst>
            </c:dLbl>
            <c:dLbl>
              <c:idx val="1"/>
              <c:layout>
                <c:manualLayout>
                  <c:x val="0"/>
                  <c:y val="0.10585744530698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B47-4878-B40E-42B5F1F9BFA0}"/>
                </c:ext>
              </c:extLst>
            </c:dLbl>
            <c:dLbl>
              <c:idx val="2"/>
              <c:layout>
                <c:manualLayout>
                  <c:x val="5.0403225806450692E-3"/>
                  <c:y val="0.10585744530698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B47-4878-B40E-42B5F1F9BFA0}"/>
                </c:ext>
              </c:extLst>
            </c:dLbl>
            <c:dLbl>
              <c:idx val="3"/>
              <c:layout>
                <c:manualLayout>
                  <c:x val="-1.847864084419684E-16"/>
                  <c:y val="0.112914608327452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B47-4878-B40E-42B5F1F9BFA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Cuenta Corriente (%PIB)</c:v>
                </c:pt>
                <c:pt idx="1">
                  <c:v>Remesas familiares (% tasa de crecimiento)</c:v>
                </c:pt>
                <c:pt idx="2">
                  <c:v>Exportaciones (% tasa de crecimiento)</c:v>
                </c:pt>
                <c:pt idx="3">
                  <c:v>Importaciones (% tasa de crecimiento) </c:v>
                </c:pt>
              </c:strCache>
            </c:strRef>
          </c:cat>
          <c:val>
            <c:numRef>
              <c:f>Hoja1!$C$2:$C$5</c:f>
              <c:numCache>
                <c:formatCode>_-* #,##0.0_-;\-* #,##0.0_-;_-* "-"??_-;_-@_-</c:formatCode>
                <c:ptCount val="4"/>
                <c:pt idx="1">
                  <c:v>9.5</c:v>
                </c:pt>
                <c:pt idx="2">
                  <c:v>5.5</c:v>
                </c:pt>
                <c:pt idx="3">
                  <c:v>7.5</c:v>
                </c:pt>
              </c:numCache>
            </c:numRef>
          </c:val>
          <c:extLst>
            <c:ext xmlns:c16="http://schemas.microsoft.com/office/drawing/2014/chart" uri="{C3380CC4-5D6E-409C-BE32-E72D297353CC}">
              <c16:uniqueId val="{00000005-7B47-4878-B40E-42B5F1F9BFA0}"/>
            </c:ext>
          </c:extLst>
        </c:ser>
        <c:ser>
          <c:idx val="2"/>
          <c:order val="2"/>
          <c:tx>
            <c:strRef>
              <c:f>Hoja1!$D$1</c:f>
              <c:strCache>
                <c:ptCount val="1"/>
                <c:pt idx="0">
                  <c:v>Bajo</c:v>
                </c:pt>
              </c:strCache>
            </c:strRef>
          </c:tx>
          <c:spPr>
            <a:solidFill>
              <a:schemeClr val="tx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Cuenta Corriente (%PIB)</c:v>
                </c:pt>
                <c:pt idx="1">
                  <c:v>Remesas familiares (% tasa de crecimiento)</c:v>
                </c:pt>
                <c:pt idx="2">
                  <c:v>Exportaciones (% tasa de crecimiento)</c:v>
                </c:pt>
                <c:pt idx="3">
                  <c:v>Importaciones (% tasa de crecimiento) </c:v>
                </c:pt>
              </c:strCache>
            </c:strRef>
          </c:cat>
          <c:val>
            <c:numRef>
              <c:f>Hoja1!$D$2:$D$5</c:f>
              <c:numCache>
                <c:formatCode>_-* #,##0.0_-;\-* #,##0.0_-;_-* "-"??_-;_-@_-</c:formatCode>
                <c:ptCount val="4"/>
                <c:pt idx="1">
                  <c:v>8</c:v>
                </c:pt>
                <c:pt idx="2">
                  <c:v>4</c:v>
                </c:pt>
                <c:pt idx="3">
                  <c:v>6</c:v>
                </c:pt>
              </c:numCache>
            </c:numRef>
          </c:val>
          <c:extLst>
            <c:ext xmlns:c16="http://schemas.microsoft.com/office/drawing/2014/chart" uri="{C3380CC4-5D6E-409C-BE32-E72D297353CC}">
              <c16:uniqueId val="{00000006-7B47-4878-B40E-42B5F1F9BFA0}"/>
            </c:ext>
          </c:extLst>
        </c:ser>
        <c:dLbls>
          <c:showLegendKey val="0"/>
          <c:showVal val="0"/>
          <c:showCatName val="0"/>
          <c:showSerName val="0"/>
          <c:showPercent val="0"/>
          <c:showBubbleSize val="0"/>
        </c:dLbls>
        <c:gapWidth val="60"/>
        <c:overlap val="100"/>
        <c:axId val="994675280"/>
        <c:axId val="994657808"/>
      </c:barChart>
      <c:catAx>
        <c:axId val="9946752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994657808"/>
        <c:crosses val="autoZero"/>
        <c:auto val="1"/>
        <c:lblAlgn val="ctr"/>
        <c:lblOffset val="100"/>
        <c:noMultiLvlLbl val="0"/>
      </c:catAx>
      <c:valAx>
        <c:axId val="994657808"/>
        <c:scaling>
          <c:orientation val="minMax"/>
        </c:scaling>
        <c:delete val="1"/>
        <c:axPos val="l"/>
        <c:numFmt formatCode="_-* #,##0.0_-;\-* #,##0.0_-;_-* &quot;-&quot;??_-;_-@_-" sourceLinked="1"/>
        <c:majorTickMark val="out"/>
        <c:minorTickMark val="none"/>
        <c:tickLblPos val="nextTo"/>
        <c:crossAx val="9946752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651574803149604E-2"/>
          <c:y val="9.5238095238095233E-2"/>
          <c:w val="0.88088546223388742"/>
          <c:h val="0.72001122216809821"/>
        </c:manualLayout>
      </c:layout>
      <c:barChart>
        <c:barDir val="col"/>
        <c:grouping val="stacked"/>
        <c:varyColors val="0"/>
        <c:ser>
          <c:idx val="0"/>
          <c:order val="0"/>
          <c:tx>
            <c:strRef>
              <c:f>Sheet1!$B$1</c:f>
              <c:strCache>
                <c:ptCount val="1"/>
                <c:pt idx="0">
                  <c:v>Funcionamiento</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solidFill>
                <a:schemeClr val="accent1">
                  <a:lumMod val="20000"/>
                  <a:lumOff val="80000"/>
                </a:schemeClr>
              </a:solid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Proyecto de Presupuesto </c:v>
                </c:pt>
                <c:pt idx="1">
                  <c:v>Comisión de Finanzas </c:v>
                </c:pt>
                <c:pt idx="2">
                  <c:v>Decreto 18-2023 </c:v>
                </c:pt>
                <c:pt idx="3">
                  <c:v>Presupuesto Inicial 2024</c:v>
                </c:pt>
              </c:strCache>
            </c:strRef>
          </c:cat>
          <c:val>
            <c:numRef>
              <c:f>Sheet1!$B$2:$B$5</c:f>
              <c:numCache>
                <c:formatCode>#,##0.0</c:formatCode>
                <c:ptCount val="4"/>
                <c:pt idx="0">
                  <c:v>81144.75</c:v>
                </c:pt>
                <c:pt idx="1">
                  <c:v>81144.751999999993</c:v>
                </c:pt>
                <c:pt idx="2">
                  <c:v>82732.141000000003</c:v>
                </c:pt>
                <c:pt idx="3">
                  <c:v>79672.19</c:v>
                </c:pt>
              </c:numCache>
            </c:numRef>
          </c:val>
          <c:extLst>
            <c:ext xmlns:c16="http://schemas.microsoft.com/office/drawing/2014/chart" uri="{C3380CC4-5D6E-409C-BE32-E72D297353CC}">
              <c16:uniqueId val="{00000000-5D13-4114-9212-8AA4EAC84C6B}"/>
            </c:ext>
          </c:extLst>
        </c:ser>
        <c:ser>
          <c:idx val="1"/>
          <c:order val="1"/>
          <c:tx>
            <c:strRef>
              <c:f>Sheet1!$C$1</c:f>
              <c:strCache>
                <c:ptCount val="1"/>
                <c:pt idx="0">
                  <c:v>Inversión </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solidFill>
                <a:schemeClr val="bg1">
                  <a:lumMod val="95000"/>
                </a:schemeClr>
              </a:solid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Proyecto de Presupuesto </c:v>
                </c:pt>
                <c:pt idx="1">
                  <c:v>Comisión de Finanzas </c:v>
                </c:pt>
                <c:pt idx="2">
                  <c:v>Decreto 18-2023 </c:v>
                </c:pt>
                <c:pt idx="3">
                  <c:v>Presupuesto Inicial 2024</c:v>
                </c:pt>
              </c:strCache>
            </c:strRef>
          </c:cat>
          <c:val>
            <c:numRef>
              <c:f>Sheet1!$C$2:$C$5</c:f>
              <c:numCache>
                <c:formatCode>#,##0.0</c:formatCode>
                <c:ptCount val="4"/>
                <c:pt idx="0">
                  <c:v>22956.815999999999</c:v>
                </c:pt>
                <c:pt idx="1">
                  <c:v>22956.815999999999</c:v>
                </c:pt>
                <c:pt idx="2">
                  <c:v>23369.427</c:v>
                </c:pt>
                <c:pt idx="3" formatCode="#,##0.00">
                  <c:v>20316.71</c:v>
                </c:pt>
              </c:numCache>
            </c:numRef>
          </c:val>
          <c:extLst>
            <c:ext xmlns:c16="http://schemas.microsoft.com/office/drawing/2014/chart" uri="{C3380CC4-5D6E-409C-BE32-E72D297353CC}">
              <c16:uniqueId val="{00000004-5D13-4114-9212-8AA4EAC84C6B}"/>
            </c:ext>
          </c:extLst>
        </c:ser>
        <c:ser>
          <c:idx val="2"/>
          <c:order val="2"/>
          <c:tx>
            <c:strRef>
              <c:f>Sheet1!$D$1</c:f>
              <c:strCache>
                <c:ptCount val="1"/>
                <c:pt idx="0">
                  <c:v>Deuda</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solidFill>
                <a:schemeClr val="accent5">
                  <a:lumMod val="40000"/>
                  <a:lumOff val="60000"/>
                </a:schemeClr>
              </a:solid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Proyecto de Presupuesto </c:v>
                </c:pt>
                <c:pt idx="1">
                  <c:v>Comisión de Finanzas </c:v>
                </c:pt>
                <c:pt idx="2">
                  <c:v>Decreto 18-2023 </c:v>
                </c:pt>
                <c:pt idx="3">
                  <c:v>Presupuesto Inicial 2024</c:v>
                </c:pt>
              </c:strCache>
            </c:strRef>
          </c:cat>
          <c:val>
            <c:numRef>
              <c:f>Sheet1!$D$2:$D$5</c:f>
              <c:numCache>
                <c:formatCode>#,##0.0</c:formatCode>
                <c:ptCount val="4"/>
                <c:pt idx="0">
                  <c:v>20778.400000000001</c:v>
                </c:pt>
                <c:pt idx="1">
                  <c:v>20778.400000000001</c:v>
                </c:pt>
                <c:pt idx="2">
                  <c:v>18778.400000000001</c:v>
                </c:pt>
                <c:pt idx="3" formatCode="#,##0.00">
                  <c:v>16141.73</c:v>
                </c:pt>
              </c:numCache>
            </c:numRef>
          </c:val>
          <c:extLst>
            <c:ext xmlns:c16="http://schemas.microsoft.com/office/drawing/2014/chart" uri="{C3380CC4-5D6E-409C-BE32-E72D297353CC}">
              <c16:uniqueId val="{00000005-5D13-4114-9212-8AA4EAC84C6B}"/>
            </c:ext>
          </c:extLst>
        </c:ser>
        <c:dLbls>
          <c:showLegendKey val="0"/>
          <c:showVal val="0"/>
          <c:showCatName val="0"/>
          <c:showSerName val="0"/>
          <c:showPercent val="0"/>
          <c:showBubbleSize val="0"/>
        </c:dLbls>
        <c:gapWidth val="64"/>
        <c:overlap val="100"/>
        <c:axId val="539618200"/>
        <c:axId val="539634928"/>
      </c:barChart>
      <c:lineChart>
        <c:grouping val="standard"/>
        <c:varyColors val="0"/>
        <c:ser>
          <c:idx val="3"/>
          <c:order val="3"/>
          <c:tx>
            <c:strRef>
              <c:f>Sheet1!$E$1</c:f>
              <c:strCache>
                <c:ptCount val="1"/>
                <c:pt idx="0">
                  <c:v>Total</c:v>
                </c:pt>
              </c:strCache>
            </c:strRef>
          </c:tx>
          <c:spPr>
            <a:ln w="25400" cap="rnd">
              <a:noFill/>
              <a:round/>
            </a:ln>
            <a:effectLst/>
          </c:spPr>
          <c:marker>
            <c:symbol val="none"/>
          </c:marker>
          <c:dLbls>
            <c:dLbl>
              <c:idx val="0"/>
              <c:layout>
                <c:manualLayout>
                  <c:x val="-6.5972222222222224E-2"/>
                  <c:y val="-3.76020627417275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41-4D26-ADBF-7967D02D0604}"/>
                </c:ext>
              </c:extLst>
            </c:dLbl>
            <c:dLbl>
              <c:idx val="1"/>
              <c:layout>
                <c:manualLayout>
                  <c:x val="-6.2500000000000083E-2"/>
                  <c:y val="-3.70664131100501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D13-4114-9212-8AA4EAC84C6B}"/>
                </c:ext>
              </c:extLst>
            </c:dLbl>
            <c:dLbl>
              <c:idx val="2"/>
              <c:layout>
                <c:manualLayout>
                  <c:x val="-6.25E-2"/>
                  <c:y val="-3.16446101736208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D13-4114-9212-8AA4EAC84C6B}"/>
                </c:ext>
              </c:extLst>
            </c:dLbl>
            <c:dLbl>
              <c:idx val="3"/>
              <c:layout>
                <c:manualLayout>
                  <c:x val="-6.5972222222222224E-2"/>
                  <c:y val="-4.18994413407821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41-4D26-ADBF-7967D02D0604}"/>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Proyecto de Presupuesto </c:v>
                </c:pt>
                <c:pt idx="1">
                  <c:v>Comisión de Finanzas </c:v>
                </c:pt>
                <c:pt idx="2">
                  <c:v>Decreto 18-2023 </c:v>
                </c:pt>
                <c:pt idx="3">
                  <c:v>Presupuesto Inicial 2024</c:v>
                </c:pt>
              </c:strCache>
            </c:strRef>
          </c:cat>
          <c:val>
            <c:numRef>
              <c:f>Sheet1!$E$2:$E$5</c:f>
              <c:numCache>
                <c:formatCode>#,##0.0</c:formatCode>
                <c:ptCount val="4"/>
                <c:pt idx="0">
                  <c:v>124879.96599999999</c:v>
                </c:pt>
                <c:pt idx="1">
                  <c:v>124879.96799999999</c:v>
                </c:pt>
                <c:pt idx="2">
                  <c:v>124879.96799999999</c:v>
                </c:pt>
                <c:pt idx="3">
                  <c:v>116130.62999999999</c:v>
                </c:pt>
              </c:numCache>
            </c:numRef>
          </c:val>
          <c:smooth val="0"/>
          <c:extLst>
            <c:ext xmlns:c16="http://schemas.microsoft.com/office/drawing/2014/chart" uri="{C3380CC4-5D6E-409C-BE32-E72D297353CC}">
              <c16:uniqueId val="{00000008-5D13-4114-9212-8AA4EAC84C6B}"/>
            </c:ext>
          </c:extLst>
        </c:ser>
        <c:dLbls>
          <c:showLegendKey val="0"/>
          <c:showVal val="0"/>
          <c:showCatName val="0"/>
          <c:showSerName val="0"/>
          <c:showPercent val="0"/>
          <c:showBubbleSize val="0"/>
        </c:dLbls>
        <c:marker val="1"/>
        <c:smooth val="0"/>
        <c:axId val="539618200"/>
        <c:axId val="539634928"/>
      </c:lineChart>
      <c:catAx>
        <c:axId val="53961820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39634928"/>
        <c:crosses val="autoZero"/>
        <c:auto val="1"/>
        <c:lblAlgn val="ctr"/>
        <c:lblOffset val="100"/>
        <c:noMultiLvlLbl val="0"/>
      </c:catAx>
      <c:valAx>
        <c:axId val="539634928"/>
        <c:scaling>
          <c:orientation val="minMax"/>
          <c:max val="125000"/>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39618200"/>
        <c:crosses val="autoZero"/>
        <c:crossBetween val="between"/>
        <c:majorUnit val="10000"/>
      </c:valAx>
      <c:spPr>
        <a:noFill/>
        <a:ln>
          <a:noFill/>
        </a:ln>
        <a:effectLst/>
      </c:spPr>
    </c:plotArea>
    <c:legend>
      <c:legendPos val="b"/>
      <c:layout>
        <c:manualLayout>
          <c:xMode val="edge"/>
          <c:yMode val="edge"/>
          <c:x val="0.21793835666375042"/>
          <c:y val="0.93004951319221352"/>
          <c:w val="0.56372193059200937"/>
          <c:h val="6.6421978184598496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ysClr val="window" lastClr="FFFFFF"/>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330398334995302"/>
          <c:y val="4.0432127328480075E-2"/>
          <c:w val="0.80196498690422502"/>
          <c:h val="0.79997870530310311"/>
        </c:manualLayout>
      </c:layout>
      <c:lineChart>
        <c:grouping val="standard"/>
        <c:varyColors val="0"/>
        <c:ser>
          <c:idx val="0"/>
          <c:order val="0"/>
          <c:tx>
            <c:strRef>
              <c:f>Sheet1!$B$1</c:f>
              <c:strCache>
                <c:ptCount val="1"/>
                <c:pt idx="0">
                  <c:v>WTI futuro</c:v>
                </c:pt>
              </c:strCache>
            </c:strRef>
          </c:tx>
          <c:spPr>
            <a:ln w="15875">
              <a:solidFill>
                <a:srgbClr val="002060"/>
              </a:solidFill>
            </a:ln>
          </c:spPr>
          <c:marker>
            <c:symbol val="none"/>
          </c:marker>
          <c:dLbls>
            <c:dLbl>
              <c:idx val="493"/>
              <c:delete val="1"/>
              <c:extLst>
                <c:ext xmlns:c15="http://schemas.microsoft.com/office/drawing/2012/chart" uri="{CE6537A1-D6FC-4f65-9D91-7224C49458BB}"/>
                <c:ext xmlns:c16="http://schemas.microsoft.com/office/drawing/2014/chart" uri="{C3380CC4-5D6E-409C-BE32-E72D297353CC}">
                  <c16:uniqueId val="{00000000-E723-4849-BCBC-15A34608BA7B}"/>
                </c:ext>
              </c:extLst>
            </c:dLbl>
            <c:dLbl>
              <c:idx val="501"/>
              <c:layout>
                <c:manualLayout>
                  <c:x val="0"/>
                  <c:y val="-0.2706563840648998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23-4849-BCBC-15A34608BA7B}"/>
                </c:ext>
              </c:extLst>
            </c:dLbl>
            <c:dLbl>
              <c:idx val="505"/>
              <c:layout>
                <c:manualLayout>
                  <c:x val="-3.5246726390904416E-3"/>
                  <c:y val="-8.31457987251437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723-4849-BCBC-15A34608BA7B}"/>
                </c:ext>
              </c:extLst>
            </c:dLbl>
            <c:spPr>
              <a:noFill/>
              <a:ln>
                <a:noFill/>
              </a:ln>
              <a:effectLst/>
            </c:spPr>
            <c:txPr>
              <a:bodyPr/>
              <a:lstStyle/>
              <a:p>
                <a:pPr>
                  <a:defRPr sz="800" b="1">
                    <a:solidFill>
                      <a:srgbClr val="002060"/>
                    </a:solidFill>
                    <a:latin typeface="Times New Roman" panose="02020603050405020304" pitchFamily="18" charset="0"/>
                    <a:cs typeface="Times New Roman" panose="02020603050405020304" pitchFamily="18" charset="0"/>
                  </a:defRPr>
                </a:pPr>
                <a:endParaRPr lang="es-GT"/>
              </a:p>
            </c:txPr>
            <c:dLblPos val="r"/>
            <c:showLegendKey val="0"/>
            <c:showVal val="0"/>
            <c:showCatName val="0"/>
            <c:showSerName val="0"/>
            <c:showPercent val="0"/>
            <c:showBubbleSize val="0"/>
            <c:extLst>
              <c:ext xmlns:c15="http://schemas.microsoft.com/office/drawing/2012/chart" uri="{CE6537A1-D6FC-4f65-9D91-7224C49458BB}">
                <c15:showLeaderLines val="0"/>
              </c:ext>
            </c:extLst>
          </c:dLbls>
          <c:cat>
            <c:numRef>
              <c:f>Sheet1!$A$2:$A$507</c:f>
              <c:numCache>
                <c:formatCode>m/d/yyyy</c:formatCode>
                <c:ptCount val="506"/>
                <c:pt idx="0">
                  <c:v>44564</c:v>
                </c:pt>
                <c:pt idx="1">
                  <c:v>44565</c:v>
                </c:pt>
                <c:pt idx="2">
                  <c:v>44566</c:v>
                </c:pt>
                <c:pt idx="3">
                  <c:v>44567</c:v>
                </c:pt>
                <c:pt idx="4">
                  <c:v>44568</c:v>
                </c:pt>
                <c:pt idx="5">
                  <c:v>44571</c:v>
                </c:pt>
                <c:pt idx="6">
                  <c:v>44572</c:v>
                </c:pt>
                <c:pt idx="7">
                  <c:v>44573</c:v>
                </c:pt>
                <c:pt idx="8">
                  <c:v>44574</c:v>
                </c:pt>
                <c:pt idx="9">
                  <c:v>44575</c:v>
                </c:pt>
                <c:pt idx="10">
                  <c:v>44579</c:v>
                </c:pt>
                <c:pt idx="11">
                  <c:v>44580</c:v>
                </c:pt>
                <c:pt idx="12">
                  <c:v>44581</c:v>
                </c:pt>
                <c:pt idx="13">
                  <c:v>44582</c:v>
                </c:pt>
                <c:pt idx="14">
                  <c:v>44585</c:v>
                </c:pt>
                <c:pt idx="15">
                  <c:v>44586</c:v>
                </c:pt>
                <c:pt idx="16">
                  <c:v>44587</c:v>
                </c:pt>
                <c:pt idx="17">
                  <c:v>44588</c:v>
                </c:pt>
                <c:pt idx="18">
                  <c:v>44589</c:v>
                </c:pt>
                <c:pt idx="19">
                  <c:v>44592</c:v>
                </c:pt>
                <c:pt idx="20">
                  <c:v>44593</c:v>
                </c:pt>
                <c:pt idx="21">
                  <c:v>44594</c:v>
                </c:pt>
                <c:pt idx="22">
                  <c:v>44595</c:v>
                </c:pt>
                <c:pt idx="23">
                  <c:v>44596</c:v>
                </c:pt>
                <c:pt idx="24">
                  <c:v>44599</c:v>
                </c:pt>
                <c:pt idx="25">
                  <c:v>44600</c:v>
                </c:pt>
                <c:pt idx="26">
                  <c:v>44601</c:v>
                </c:pt>
                <c:pt idx="27">
                  <c:v>44602</c:v>
                </c:pt>
                <c:pt idx="28">
                  <c:v>44603</c:v>
                </c:pt>
                <c:pt idx="29">
                  <c:v>44606</c:v>
                </c:pt>
                <c:pt idx="30">
                  <c:v>44607</c:v>
                </c:pt>
                <c:pt idx="31">
                  <c:v>44608</c:v>
                </c:pt>
                <c:pt idx="32">
                  <c:v>44609</c:v>
                </c:pt>
                <c:pt idx="33">
                  <c:v>44610</c:v>
                </c:pt>
                <c:pt idx="34">
                  <c:v>44614</c:v>
                </c:pt>
                <c:pt idx="35">
                  <c:v>44615</c:v>
                </c:pt>
                <c:pt idx="36">
                  <c:v>44616</c:v>
                </c:pt>
                <c:pt idx="37">
                  <c:v>44617</c:v>
                </c:pt>
                <c:pt idx="38">
                  <c:v>44620</c:v>
                </c:pt>
                <c:pt idx="39">
                  <c:v>44621</c:v>
                </c:pt>
                <c:pt idx="40">
                  <c:v>44622</c:v>
                </c:pt>
                <c:pt idx="41">
                  <c:v>44623</c:v>
                </c:pt>
                <c:pt idx="42">
                  <c:v>44624</c:v>
                </c:pt>
                <c:pt idx="43">
                  <c:v>44627</c:v>
                </c:pt>
                <c:pt idx="44">
                  <c:v>44628</c:v>
                </c:pt>
                <c:pt idx="45">
                  <c:v>44629</c:v>
                </c:pt>
                <c:pt idx="46">
                  <c:v>44630</c:v>
                </c:pt>
                <c:pt idx="47">
                  <c:v>44631</c:v>
                </c:pt>
                <c:pt idx="48">
                  <c:v>44634</c:v>
                </c:pt>
                <c:pt idx="49">
                  <c:v>44635</c:v>
                </c:pt>
                <c:pt idx="50">
                  <c:v>44636</c:v>
                </c:pt>
                <c:pt idx="51">
                  <c:v>44637</c:v>
                </c:pt>
                <c:pt idx="52">
                  <c:v>44638</c:v>
                </c:pt>
                <c:pt idx="53">
                  <c:v>44641</c:v>
                </c:pt>
                <c:pt idx="54">
                  <c:v>44642</c:v>
                </c:pt>
                <c:pt idx="55">
                  <c:v>44643</c:v>
                </c:pt>
                <c:pt idx="56">
                  <c:v>44644</c:v>
                </c:pt>
                <c:pt idx="57">
                  <c:v>44645</c:v>
                </c:pt>
                <c:pt idx="58">
                  <c:v>44648</c:v>
                </c:pt>
                <c:pt idx="59">
                  <c:v>44649</c:v>
                </c:pt>
                <c:pt idx="60">
                  <c:v>44650</c:v>
                </c:pt>
                <c:pt idx="61">
                  <c:v>44651</c:v>
                </c:pt>
                <c:pt idx="62">
                  <c:v>44652</c:v>
                </c:pt>
                <c:pt idx="63">
                  <c:v>44655</c:v>
                </c:pt>
                <c:pt idx="64">
                  <c:v>44656</c:v>
                </c:pt>
                <c:pt idx="65">
                  <c:v>44657</c:v>
                </c:pt>
                <c:pt idx="66">
                  <c:v>44658</c:v>
                </c:pt>
                <c:pt idx="67">
                  <c:v>44659</c:v>
                </c:pt>
                <c:pt idx="68">
                  <c:v>44662</c:v>
                </c:pt>
                <c:pt idx="69">
                  <c:v>44663</c:v>
                </c:pt>
                <c:pt idx="70">
                  <c:v>44664</c:v>
                </c:pt>
                <c:pt idx="71">
                  <c:v>44665</c:v>
                </c:pt>
                <c:pt idx="72">
                  <c:v>44669</c:v>
                </c:pt>
                <c:pt idx="73">
                  <c:v>44670</c:v>
                </c:pt>
                <c:pt idx="74">
                  <c:v>44671</c:v>
                </c:pt>
                <c:pt idx="75">
                  <c:v>44672</c:v>
                </c:pt>
                <c:pt idx="76">
                  <c:v>44673</c:v>
                </c:pt>
                <c:pt idx="77">
                  <c:v>44676</c:v>
                </c:pt>
                <c:pt idx="78">
                  <c:v>44677</c:v>
                </c:pt>
                <c:pt idx="79">
                  <c:v>44678</c:v>
                </c:pt>
                <c:pt idx="80">
                  <c:v>44679</c:v>
                </c:pt>
                <c:pt idx="81">
                  <c:v>44680</c:v>
                </c:pt>
                <c:pt idx="82">
                  <c:v>44683</c:v>
                </c:pt>
                <c:pt idx="83">
                  <c:v>44684</c:v>
                </c:pt>
                <c:pt idx="84">
                  <c:v>44685</c:v>
                </c:pt>
                <c:pt idx="85">
                  <c:v>44686</c:v>
                </c:pt>
                <c:pt idx="86">
                  <c:v>44687</c:v>
                </c:pt>
                <c:pt idx="87">
                  <c:v>44690</c:v>
                </c:pt>
                <c:pt idx="88">
                  <c:v>44691</c:v>
                </c:pt>
                <c:pt idx="89">
                  <c:v>44692</c:v>
                </c:pt>
                <c:pt idx="90">
                  <c:v>44693</c:v>
                </c:pt>
                <c:pt idx="91">
                  <c:v>44694</c:v>
                </c:pt>
                <c:pt idx="92">
                  <c:v>44697</c:v>
                </c:pt>
                <c:pt idx="93">
                  <c:v>44698</c:v>
                </c:pt>
                <c:pt idx="94">
                  <c:v>44699</c:v>
                </c:pt>
                <c:pt idx="95">
                  <c:v>44700</c:v>
                </c:pt>
                <c:pt idx="96">
                  <c:v>44701</c:v>
                </c:pt>
                <c:pt idx="97">
                  <c:v>44704</c:v>
                </c:pt>
                <c:pt idx="98">
                  <c:v>44705</c:v>
                </c:pt>
                <c:pt idx="99">
                  <c:v>44706</c:v>
                </c:pt>
                <c:pt idx="100">
                  <c:v>44707</c:v>
                </c:pt>
                <c:pt idx="101">
                  <c:v>44708</c:v>
                </c:pt>
                <c:pt idx="102">
                  <c:v>44712</c:v>
                </c:pt>
                <c:pt idx="103">
                  <c:v>44713</c:v>
                </c:pt>
                <c:pt idx="104">
                  <c:v>44714</c:v>
                </c:pt>
                <c:pt idx="105">
                  <c:v>44715</c:v>
                </c:pt>
                <c:pt idx="106">
                  <c:v>44718</c:v>
                </c:pt>
                <c:pt idx="107">
                  <c:v>44719</c:v>
                </c:pt>
                <c:pt idx="108">
                  <c:v>44720</c:v>
                </c:pt>
                <c:pt idx="109">
                  <c:v>44721</c:v>
                </c:pt>
                <c:pt idx="110">
                  <c:v>44722</c:v>
                </c:pt>
                <c:pt idx="111">
                  <c:v>44725</c:v>
                </c:pt>
                <c:pt idx="112">
                  <c:v>44726</c:v>
                </c:pt>
                <c:pt idx="113">
                  <c:v>44727</c:v>
                </c:pt>
                <c:pt idx="114">
                  <c:v>44728</c:v>
                </c:pt>
                <c:pt idx="115">
                  <c:v>44729</c:v>
                </c:pt>
                <c:pt idx="116">
                  <c:v>44733</c:v>
                </c:pt>
                <c:pt idx="117">
                  <c:v>44734</c:v>
                </c:pt>
                <c:pt idx="118">
                  <c:v>44735</c:v>
                </c:pt>
                <c:pt idx="119">
                  <c:v>44736</c:v>
                </c:pt>
                <c:pt idx="120">
                  <c:v>44739</c:v>
                </c:pt>
                <c:pt idx="121">
                  <c:v>44740</c:v>
                </c:pt>
                <c:pt idx="122">
                  <c:v>44741</c:v>
                </c:pt>
                <c:pt idx="123">
                  <c:v>44742</c:v>
                </c:pt>
                <c:pt idx="124">
                  <c:v>44743</c:v>
                </c:pt>
                <c:pt idx="125">
                  <c:v>44747</c:v>
                </c:pt>
                <c:pt idx="126">
                  <c:v>44748</c:v>
                </c:pt>
                <c:pt idx="127">
                  <c:v>44749</c:v>
                </c:pt>
                <c:pt idx="128">
                  <c:v>44750</c:v>
                </c:pt>
                <c:pt idx="129">
                  <c:v>44753</c:v>
                </c:pt>
                <c:pt idx="130">
                  <c:v>44754</c:v>
                </c:pt>
                <c:pt idx="131">
                  <c:v>44755</c:v>
                </c:pt>
                <c:pt idx="132">
                  <c:v>44756</c:v>
                </c:pt>
                <c:pt idx="133">
                  <c:v>44757</c:v>
                </c:pt>
                <c:pt idx="134">
                  <c:v>44760</c:v>
                </c:pt>
                <c:pt idx="135">
                  <c:v>44761</c:v>
                </c:pt>
                <c:pt idx="136">
                  <c:v>44762</c:v>
                </c:pt>
                <c:pt idx="137">
                  <c:v>44763</c:v>
                </c:pt>
                <c:pt idx="138">
                  <c:v>44764</c:v>
                </c:pt>
                <c:pt idx="139">
                  <c:v>44767</c:v>
                </c:pt>
                <c:pt idx="140">
                  <c:v>44768</c:v>
                </c:pt>
                <c:pt idx="141">
                  <c:v>44769</c:v>
                </c:pt>
                <c:pt idx="142">
                  <c:v>44770</c:v>
                </c:pt>
                <c:pt idx="143">
                  <c:v>44771</c:v>
                </c:pt>
                <c:pt idx="144">
                  <c:v>44774</c:v>
                </c:pt>
                <c:pt idx="145">
                  <c:v>44775</c:v>
                </c:pt>
                <c:pt idx="146">
                  <c:v>44776</c:v>
                </c:pt>
                <c:pt idx="147">
                  <c:v>44777</c:v>
                </c:pt>
                <c:pt idx="148">
                  <c:v>44778</c:v>
                </c:pt>
                <c:pt idx="149">
                  <c:v>44781</c:v>
                </c:pt>
                <c:pt idx="150">
                  <c:v>44782</c:v>
                </c:pt>
                <c:pt idx="151">
                  <c:v>44783</c:v>
                </c:pt>
                <c:pt idx="152">
                  <c:v>44784</c:v>
                </c:pt>
                <c:pt idx="153">
                  <c:v>44785</c:v>
                </c:pt>
                <c:pt idx="154">
                  <c:v>44788</c:v>
                </c:pt>
                <c:pt idx="155">
                  <c:v>44789</c:v>
                </c:pt>
                <c:pt idx="156">
                  <c:v>44790</c:v>
                </c:pt>
                <c:pt idx="157">
                  <c:v>44791</c:v>
                </c:pt>
                <c:pt idx="158">
                  <c:v>44792</c:v>
                </c:pt>
                <c:pt idx="159">
                  <c:v>44795</c:v>
                </c:pt>
                <c:pt idx="160">
                  <c:v>44796</c:v>
                </c:pt>
                <c:pt idx="161">
                  <c:v>44797</c:v>
                </c:pt>
                <c:pt idx="162">
                  <c:v>44798</c:v>
                </c:pt>
                <c:pt idx="163">
                  <c:v>44799</c:v>
                </c:pt>
                <c:pt idx="164">
                  <c:v>44802</c:v>
                </c:pt>
                <c:pt idx="165">
                  <c:v>44803</c:v>
                </c:pt>
                <c:pt idx="166">
                  <c:v>44804</c:v>
                </c:pt>
                <c:pt idx="167">
                  <c:v>44805</c:v>
                </c:pt>
                <c:pt idx="168">
                  <c:v>44806</c:v>
                </c:pt>
                <c:pt idx="169">
                  <c:v>44810</c:v>
                </c:pt>
                <c:pt idx="170">
                  <c:v>44811</c:v>
                </c:pt>
                <c:pt idx="171">
                  <c:v>44812</c:v>
                </c:pt>
                <c:pt idx="172">
                  <c:v>44813</c:v>
                </c:pt>
                <c:pt idx="173">
                  <c:v>44816</c:v>
                </c:pt>
                <c:pt idx="174">
                  <c:v>44817</c:v>
                </c:pt>
                <c:pt idx="175">
                  <c:v>44818</c:v>
                </c:pt>
                <c:pt idx="176">
                  <c:v>44819</c:v>
                </c:pt>
                <c:pt idx="177">
                  <c:v>44820</c:v>
                </c:pt>
                <c:pt idx="178">
                  <c:v>44823</c:v>
                </c:pt>
                <c:pt idx="179">
                  <c:v>44824</c:v>
                </c:pt>
                <c:pt idx="180">
                  <c:v>44825</c:v>
                </c:pt>
                <c:pt idx="181">
                  <c:v>44826</c:v>
                </c:pt>
                <c:pt idx="182">
                  <c:v>44827</c:v>
                </c:pt>
                <c:pt idx="183">
                  <c:v>44830</c:v>
                </c:pt>
                <c:pt idx="184">
                  <c:v>44831</c:v>
                </c:pt>
                <c:pt idx="185">
                  <c:v>44832</c:v>
                </c:pt>
                <c:pt idx="186">
                  <c:v>44833</c:v>
                </c:pt>
                <c:pt idx="187">
                  <c:v>44834</c:v>
                </c:pt>
                <c:pt idx="188">
                  <c:v>44837</c:v>
                </c:pt>
                <c:pt idx="189">
                  <c:v>44838</c:v>
                </c:pt>
                <c:pt idx="190">
                  <c:v>44839</c:v>
                </c:pt>
                <c:pt idx="191">
                  <c:v>44840</c:v>
                </c:pt>
                <c:pt idx="192">
                  <c:v>44841</c:v>
                </c:pt>
                <c:pt idx="193">
                  <c:v>44844</c:v>
                </c:pt>
                <c:pt idx="194">
                  <c:v>44845</c:v>
                </c:pt>
                <c:pt idx="195">
                  <c:v>44846</c:v>
                </c:pt>
                <c:pt idx="196">
                  <c:v>44847</c:v>
                </c:pt>
                <c:pt idx="197">
                  <c:v>44848</c:v>
                </c:pt>
                <c:pt idx="198">
                  <c:v>44851</c:v>
                </c:pt>
                <c:pt idx="199">
                  <c:v>44852</c:v>
                </c:pt>
                <c:pt idx="200">
                  <c:v>44853</c:v>
                </c:pt>
                <c:pt idx="201">
                  <c:v>44854</c:v>
                </c:pt>
                <c:pt idx="202">
                  <c:v>44855</c:v>
                </c:pt>
                <c:pt idx="203">
                  <c:v>44858</c:v>
                </c:pt>
                <c:pt idx="204">
                  <c:v>44859</c:v>
                </c:pt>
                <c:pt idx="205">
                  <c:v>44860</c:v>
                </c:pt>
                <c:pt idx="206">
                  <c:v>44861</c:v>
                </c:pt>
                <c:pt idx="207">
                  <c:v>44862</c:v>
                </c:pt>
                <c:pt idx="208">
                  <c:v>44865</c:v>
                </c:pt>
                <c:pt idx="209">
                  <c:v>44866</c:v>
                </c:pt>
                <c:pt idx="210">
                  <c:v>44867</c:v>
                </c:pt>
                <c:pt idx="211">
                  <c:v>44868</c:v>
                </c:pt>
                <c:pt idx="212">
                  <c:v>44869</c:v>
                </c:pt>
                <c:pt idx="213">
                  <c:v>44872</c:v>
                </c:pt>
                <c:pt idx="214">
                  <c:v>44873</c:v>
                </c:pt>
                <c:pt idx="215">
                  <c:v>44874</c:v>
                </c:pt>
                <c:pt idx="216">
                  <c:v>44875</c:v>
                </c:pt>
                <c:pt idx="217">
                  <c:v>44876</c:v>
                </c:pt>
                <c:pt idx="218">
                  <c:v>44879</c:v>
                </c:pt>
                <c:pt idx="219">
                  <c:v>44880</c:v>
                </c:pt>
                <c:pt idx="220">
                  <c:v>44881</c:v>
                </c:pt>
                <c:pt idx="221">
                  <c:v>44882</c:v>
                </c:pt>
                <c:pt idx="222">
                  <c:v>44883</c:v>
                </c:pt>
                <c:pt idx="223">
                  <c:v>44886</c:v>
                </c:pt>
                <c:pt idx="224">
                  <c:v>44887</c:v>
                </c:pt>
                <c:pt idx="225">
                  <c:v>44888</c:v>
                </c:pt>
                <c:pt idx="226">
                  <c:v>44890</c:v>
                </c:pt>
                <c:pt idx="227">
                  <c:v>44893</c:v>
                </c:pt>
                <c:pt idx="228">
                  <c:v>44894</c:v>
                </c:pt>
                <c:pt idx="229">
                  <c:v>44895</c:v>
                </c:pt>
                <c:pt idx="230">
                  <c:v>44896</c:v>
                </c:pt>
                <c:pt idx="231">
                  <c:v>44897</c:v>
                </c:pt>
                <c:pt idx="232">
                  <c:v>44900</c:v>
                </c:pt>
                <c:pt idx="233">
                  <c:v>44901</c:v>
                </c:pt>
                <c:pt idx="234">
                  <c:v>44902</c:v>
                </c:pt>
                <c:pt idx="235">
                  <c:v>44903</c:v>
                </c:pt>
                <c:pt idx="236">
                  <c:v>44904</c:v>
                </c:pt>
                <c:pt idx="237">
                  <c:v>44907</c:v>
                </c:pt>
                <c:pt idx="238">
                  <c:v>44908</c:v>
                </c:pt>
                <c:pt idx="239">
                  <c:v>44909</c:v>
                </c:pt>
                <c:pt idx="240">
                  <c:v>44910</c:v>
                </c:pt>
                <c:pt idx="241">
                  <c:v>44911</c:v>
                </c:pt>
                <c:pt idx="242">
                  <c:v>44914</c:v>
                </c:pt>
                <c:pt idx="243">
                  <c:v>44915</c:v>
                </c:pt>
                <c:pt idx="244">
                  <c:v>44916</c:v>
                </c:pt>
                <c:pt idx="245">
                  <c:v>44917</c:v>
                </c:pt>
                <c:pt idx="246">
                  <c:v>44918</c:v>
                </c:pt>
                <c:pt idx="247">
                  <c:v>44922</c:v>
                </c:pt>
                <c:pt idx="248">
                  <c:v>44923</c:v>
                </c:pt>
                <c:pt idx="249">
                  <c:v>44924</c:v>
                </c:pt>
                <c:pt idx="250">
                  <c:v>44925</c:v>
                </c:pt>
                <c:pt idx="251">
                  <c:v>44929</c:v>
                </c:pt>
                <c:pt idx="252">
                  <c:v>44930</c:v>
                </c:pt>
                <c:pt idx="253">
                  <c:v>44931</c:v>
                </c:pt>
                <c:pt idx="254">
                  <c:v>44932</c:v>
                </c:pt>
                <c:pt idx="255">
                  <c:v>44935</c:v>
                </c:pt>
                <c:pt idx="256">
                  <c:v>44936</c:v>
                </c:pt>
                <c:pt idx="257">
                  <c:v>44937</c:v>
                </c:pt>
                <c:pt idx="258">
                  <c:v>44938</c:v>
                </c:pt>
                <c:pt idx="259">
                  <c:v>44939</c:v>
                </c:pt>
                <c:pt idx="260">
                  <c:v>44943</c:v>
                </c:pt>
                <c:pt idx="261">
                  <c:v>44944</c:v>
                </c:pt>
                <c:pt idx="262">
                  <c:v>44945</c:v>
                </c:pt>
                <c:pt idx="263">
                  <c:v>44946</c:v>
                </c:pt>
                <c:pt idx="264">
                  <c:v>44949</c:v>
                </c:pt>
                <c:pt idx="265">
                  <c:v>44950</c:v>
                </c:pt>
                <c:pt idx="266">
                  <c:v>44951</c:v>
                </c:pt>
                <c:pt idx="267">
                  <c:v>44952</c:v>
                </c:pt>
                <c:pt idx="268">
                  <c:v>44953</c:v>
                </c:pt>
                <c:pt idx="269">
                  <c:v>44956</c:v>
                </c:pt>
                <c:pt idx="270">
                  <c:v>44957</c:v>
                </c:pt>
                <c:pt idx="271">
                  <c:v>44958</c:v>
                </c:pt>
                <c:pt idx="272">
                  <c:v>44959</c:v>
                </c:pt>
                <c:pt idx="273">
                  <c:v>44960</c:v>
                </c:pt>
                <c:pt idx="274">
                  <c:v>44963</c:v>
                </c:pt>
                <c:pt idx="275">
                  <c:v>44964</c:v>
                </c:pt>
                <c:pt idx="276">
                  <c:v>44965</c:v>
                </c:pt>
                <c:pt idx="277">
                  <c:v>44966</c:v>
                </c:pt>
                <c:pt idx="278">
                  <c:v>44967</c:v>
                </c:pt>
                <c:pt idx="279">
                  <c:v>44970</c:v>
                </c:pt>
                <c:pt idx="280">
                  <c:v>44971</c:v>
                </c:pt>
                <c:pt idx="281">
                  <c:v>44972</c:v>
                </c:pt>
                <c:pt idx="282">
                  <c:v>44973</c:v>
                </c:pt>
                <c:pt idx="283">
                  <c:v>44974</c:v>
                </c:pt>
                <c:pt idx="284">
                  <c:v>44978</c:v>
                </c:pt>
                <c:pt idx="285">
                  <c:v>44979</c:v>
                </c:pt>
                <c:pt idx="286">
                  <c:v>44980</c:v>
                </c:pt>
                <c:pt idx="287">
                  <c:v>44981</c:v>
                </c:pt>
                <c:pt idx="288">
                  <c:v>44984</c:v>
                </c:pt>
                <c:pt idx="289">
                  <c:v>44985</c:v>
                </c:pt>
                <c:pt idx="290">
                  <c:v>44986</c:v>
                </c:pt>
                <c:pt idx="291">
                  <c:v>44987</c:v>
                </c:pt>
                <c:pt idx="292">
                  <c:v>44988</c:v>
                </c:pt>
                <c:pt idx="293">
                  <c:v>44991</c:v>
                </c:pt>
                <c:pt idx="294">
                  <c:v>44992</c:v>
                </c:pt>
                <c:pt idx="295">
                  <c:v>44993</c:v>
                </c:pt>
                <c:pt idx="296">
                  <c:v>44994</c:v>
                </c:pt>
                <c:pt idx="297">
                  <c:v>44995</c:v>
                </c:pt>
                <c:pt idx="298">
                  <c:v>44998</c:v>
                </c:pt>
                <c:pt idx="299">
                  <c:v>44999</c:v>
                </c:pt>
                <c:pt idx="300">
                  <c:v>45000</c:v>
                </c:pt>
                <c:pt idx="301">
                  <c:v>45001</c:v>
                </c:pt>
                <c:pt idx="302">
                  <c:v>45002</c:v>
                </c:pt>
                <c:pt idx="303">
                  <c:v>45005</c:v>
                </c:pt>
                <c:pt idx="304">
                  <c:v>45006</c:v>
                </c:pt>
                <c:pt idx="305">
                  <c:v>45007</c:v>
                </c:pt>
                <c:pt idx="306">
                  <c:v>45008</c:v>
                </c:pt>
                <c:pt idx="307">
                  <c:v>45009</c:v>
                </c:pt>
                <c:pt idx="308">
                  <c:v>45012</c:v>
                </c:pt>
                <c:pt idx="309">
                  <c:v>45013</c:v>
                </c:pt>
                <c:pt idx="310">
                  <c:v>45014</c:v>
                </c:pt>
                <c:pt idx="311">
                  <c:v>45015</c:v>
                </c:pt>
                <c:pt idx="312">
                  <c:v>45016</c:v>
                </c:pt>
                <c:pt idx="313">
                  <c:v>45019</c:v>
                </c:pt>
                <c:pt idx="314">
                  <c:v>45020</c:v>
                </c:pt>
                <c:pt idx="315">
                  <c:v>45021</c:v>
                </c:pt>
                <c:pt idx="316">
                  <c:v>45022</c:v>
                </c:pt>
                <c:pt idx="317">
                  <c:v>45026</c:v>
                </c:pt>
                <c:pt idx="318">
                  <c:v>45027</c:v>
                </c:pt>
                <c:pt idx="319">
                  <c:v>45028</c:v>
                </c:pt>
                <c:pt idx="320">
                  <c:v>45029</c:v>
                </c:pt>
                <c:pt idx="321">
                  <c:v>45030</c:v>
                </c:pt>
                <c:pt idx="322">
                  <c:v>45033</c:v>
                </c:pt>
                <c:pt idx="323">
                  <c:v>45034</c:v>
                </c:pt>
                <c:pt idx="324">
                  <c:v>45035</c:v>
                </c:pt>
                <c:pt idx="325">
                  <c:v>45036</c:v>
                </c:pt>
                <c:pt idx="326">
                  <c:v>45037</c:v>
                </c:pt>
                <c:pt idx="327">
                  <c:v>45040</c:v>
                </c:pt>
                <c:pt idx="328">
                  <c:v>45041</c:v>
                </c:pt>
                <c:pt idx="329">
                  <c:v>45042</c:v>
                </c:pt>
                <c:pt idx="330">
                  <c:v>45043</c:v>
                </c:pt>
                <c:pt idx="331">
                  <c:v>45044</c:v>
                </c:pt>
                <c:pt idx="332">
                  <c:v>45047</c:v>
                </c:pt>
                <c:pt idx="333">
                  <c:v>45048</c:v>
                </c:pt>
                <c:pt idx="334">
                  <c:v>45049</c:v>
                </c:pt>
                <c:pt idx="335">
                  <c:v>45050</c:v>
                </c:pt>
                <c:pt idx="336">
                  <c:v>45051</c:v>
                </c:pt>
                <c:pt idx="337">
                  <c:v>45054</c:v>
                </c:pt>
                <c:pt idx="338">
                  <c:v>45055</c:v>
                </c:pt>
                <c:pt idx="339">
                  <c:v>45056</c:v>
                </c:pt>
                <c:pt idx="340">
                  <c:v>45057</c:v>
                </c:pt>
                <c:pt idx="341">
                  <c:v>45058</c:v>
                </c:pt>
                <c:pt idx="342">
                  <c:v>45061</c:v>
                </c:pt>
                <c:pt idx="343">
                  <c:v>45062</c:v>
                </c:pt>
                <c:pt idx="344">
                  <c:v>45063</c:v>
                </c:pt>
                <c:pt idx="345">
                  <c:v>45064</c:v>
                </c:pt>
                <c:pt idx="346">
                  <c:v>45065</c:v>
                </c:pt>
                <c:pt idx="347">
                  <c:v>45068</c:v>
                </c:pt>
                <c:pt idx="348">
                  <c:v>45069</c:v>
                </c:pt>
                <c:pt idx="349">
                  <c:v>45070</c:v>
                </c:pt>
                <c:pt idx="350">
                  <c:v>45071</c:v>
                </c:pt>
                <c:pt idx="351">
                  <c:v>45072</c:v>
                </c:pt>
                <c:pt idx="352">
                  <c:v>45076</c:v>
                </c:pt>
                <c:pt idx="353">
                  <c:v>45077</c:v>
                </c:pt>
                <c:pt idx="354">
                  <c:v>45078</c:v>
                </c:pt>
                <c:pt idx="355">
                  <c:v>45079</c:v>
                </c:pt>
                <c:pt idx="356">
                  <c:v>45082</c:v>
                </c:pt>
                <c:pt idx="357">
                  <c:v>45083</c:v>
                </c:pt>
                <c:pt idx="358">
                  <c:v>45084</c:v>
                </c:pt>
                <c:pt idx="359">
                  <c:v>45085</c:v>
                </c:pt>
                <c:pt idx="360">
                  <c:v>45086</c:v>
                </c:pt>
                <c:pt idx="361">
                  <c:v>45089</c:v>
                </c:pt>
                <c:pt idx="362">
                  <c:v>45090</c:v>
                </c:pt>
                <c:pt idx="363">
                  <c:v>45091</c:v>
                </c:pt>
                <c:pt idx="364">
                  <c:v>45092</c:v>
                </c:pt>
                <c:pt idx="365">
                  <c:v>45093</c:v>
                </c:pt>
                <c:pt idx="366">
                  <c:v>45097</c:v>
                </c:pt>
                <c:pt idx="367">
                  <c:v>45098</c:v>
                </c:pt>
                <c:pt idx="368">
                  <c:v>45099</c:v>
                </c:pt>
                <c:pt idx="369">
                  <c:v>45100</c:v>
                </c:pt>
                <c:pt idx="370">
                  <c:v>45103</c:v>
                </c:pt>
                <c:pt idx="371">
                  <c:v>45104</c:v>
                </c:pt>
                <c:pt idx="372">
                  <c:v>45105</c:v>
                </c:pt>
                <c:pt idx="373">
                  <c:v>45106</c:v>
                </c:pt>
                <c:pt idx="374">
                  <c:v>45107</c:v>
                </c:pt>
                <c:pt idx="375">
                  <c:v>45110</c:v>
                </c:pt>
                <c:pt idx="376">
                  <c:v>45112</c:v>
                </c:pt>
                <c:pt idx="377">
                  <c:v>45113</c:v>
                </c:pt>
                <c:pt idx="378">
                  <c:v>45114</c:v>
                </c:pt>
                <c:pt idx="379">
                  <c:v>45117</c:v>
                </c:pt>
                <c:pt idx="380">
                  <c:v>45118</c:v>
                </c:pt>
                <c:pt idx="381">
                  <c:v>45119</c:v>
                </c:pt>
                <c:pt idx="382">
                  <c:v>45120</c:v>
                </c:pt>
                <c:pt idx="383">
                  <c:v>45121</c:v>
                </c:pt>
                <c:pt idx="384">
                  <c:v>45124</c:v>
                </c:pt>
                <c:pt idx="385">
                  <c:v>45125</c:v>
                </c:pt>
                <c:pt idx="386">
                  <c:v>45126</c:v>
                </c:pt>
                <c:pt idx="387">
                  <c:v>45127</c:v>
                </c:pt>
                <c:pt idx="388">
                  <c:v>45128</c:v>
                </c:pt>
                <c:pt idx="389">
                  <c:v>45131</c:v>
                </c:pt>
                <c:pt idx="390">
                  <c:v>45132</c:v>
                </c:pt>
                <c:pt idx="391">
                  <c:v>45133</c:v>
                </c:pt>
                <c:pt idx="392">
                  <c:v>45134</c:v>
                </c:pt>
                <c:pt idx="393">
                  <c:v>45135</c:v>
                </c:pt>
                <c:pt idx="394">
                  <c:v>45138</c:v>
                </c:pt>
                <c:pt idx="395">
                  <c:v>45139</c:v>
                </c:pt>
                <c:pt idx="396">
                  <c:v>45140</c:v>
                </c:pt>
                <c:pt idx="397">
                  <c:v>45141</c:v>
                </c:pt>
                <c:pt idx="398">
                  <c:v>45142</c:v>
                </c:pt>
                <c:pt idx="399">
                  <c:v>45145</c:v>
                </c:pt>
                <c:pt idx="400">
                  <c:v>45146</c:v>
                </c:pt>
                <c:pt idx="401">
                  <c:v>45147</c:v>
                </c:pt>
                <c:pt idx="402">
                  <c:v>45148</c:v>
                </c:pt>
                <c:pt idx="403">
                  <c:v>45149</c:v>
                </c:pt>
                <c:pt idx="404">
                  <c:v>45152</c:v>
                </c:pt>
                <c:pt idx="405">
                  <c:v>45153</c:v>
                </c:pt>
                <c:pt idx="406">
                  <c:v>45154</c:v>
                </c:pt>
                <c:pt idx="407">
                  <c:v>45155</c:v>
                </c:pt>
                <c:pt idx="408">
                  <c:v>45156</c:v>
                </c:pt>
                <c:pt idx="409">
                  <c:v>45159</c:v>
                </c:pt>
                <c:pt idx="410">
                  <c:v>45160</c:v>
                </c:pt>
                <c:pt idx="411">
                  <c:v>45161</c:v>
                </c:pt>
                <c:pt idx="412">
                  <c:v>45162</c:v>
                </c:pt>
                <c:pt idx="413">
                  <c:v>45163</c:v>
                </c:pt>
                <c:pt idx="414">
                  <c:v>45166</c:v>
                </c:pt>
                <c:pt idx="415">
                  <c:v>45167</c:v>
                </c:pt>
                <c:pt idx="416">
                  <c:v>45168</c:v>
                </c:pt>
                <c:pt idx="417">
                  <c:v>45169</c:v>
                </c:pt>
                <c:pt idx="418">
                  <c:v>45170</c:v>
                </c:pt>
                <c:pt idx="419">
                  <c:v>45174</c:v>
                </c:pt>
                <c:pt idx="420">
                  <c:v>45175</c:v>
                </c:pt>
                <c:pt idx="421">
                  <c:v>45176</c:v>
                </c:pt>
                <c:pt idx="422">
                  <c:v>45177</c:v>
                </c:pt>
                <c:pt idx="423">
                  <c:v>45180</c:v>
                </c:pt>
                <c:pt idx="424">
                  <c:v>45181</c:v>
                </c:pt>
                <c:pt idx="425">
                  <c:v>45182</c:v>
                </c:pt>
                <c:pt idx="426">
                  <c:v>45183</c:v>
                </c:pt>
                <c:pt idx="427">
                  <c:v>45184</c:v>
                </c:pt>
                <c:pt idx="428">
                  <c:v>45187</c:v>
                </c:pt>
                <c:pt idx="429">
                  <c:v>45188</c:v>
                </c:pt>
                <c:pt idx="430">
                  <c:v>45189</c:v>
                </c:pt>
                <c:pt idx="431">
                  <c:v>45190</c:v>
                </c:pt>
                <c:pt idx="432">
                  <c:v>45191</c:v>
                </c:pt>
                <c:pt idx="433">
                  <c:v>45194</c:v>
                </c:pt>
                <c:pt idx="434">
                  <c:v>45195</c:v>
                </c:pt>
                <c:pt idx="435">
                  <c:v>45196</c:v>
                </c:pt>
                <c:pt idx="436">
                  <c:v>45197</c:v>
                </c:pt>
                <c:pt idx="437">
                  <c:v>45198</c:v>
                </c:pt>
                <c:pt idx="438">
                  <c:v>45201</c:v>
                </c:pt>
                <c:pt idx="439">
                  <c:v>45202</c:v>
                </c:pt>
                <c:pt idx="440">
                  <c:v>45203</c:v>
                </c:pt>
                <c:pt idx="441">
                  <c:v>45204</c:v>
                </c:pt>
                <c:pt idx="442">
                  <c:v>45205</c:v>
                </c:pt>
                <c:pt idx="443">
                  <c:v>45208</c:v>
                </c:pt>
                <c:pt idx="444">
                  <c:v>45209</c:v>
                </c:pt>
                <c:pt idx="445">
                  <c:v>45210</c:v>
                </c:pt>
                <c:pt idx="446">
                  <c:v>45211</c:v>
                </c:pt>
                <c:pt idx="447">
                  <c:v>45212</c:v>
                </c:pt>
                <c:pt idx="448">
                  <c:v>45215</c:v>
                </c:pt>
                <c:pt idx="449">
                  <c:v>45216</c:v>
                </c:pt>
                <c:pt idx="450">
                  <c:v>45217</c:v>
                </c:pt>
                <c:pt idx="451">
                  <c:v>45218</c:v>
                </c:pt>
                <c:pt idx="452">
                  <c:v>45219</c:v>
                </c:pt>
                <c:pt idx="453">
                  <c:v>45222</c:v>
                </c:pt>
                <c:pt idx="454">
                  <c:v>45223</c:v>
                </c:pt>
                <c:pt idx="455">
                  <c:v>45224</c:v>
                </c:pt>
                <c:pt idx="456">
                  <c:v>45225</c:v>
                </c:pt>
                <c:pt idx="457">
                  <c:v>45226</c:v>
                </c:pt>
                <c:pt idx="458">
                  <c:v>45229</c:v>
                </c:pt>
                <c:pt idx="459">
                  <c:v>45230</c:v>
                </c:pt>
                <c:pt idx="460">
                  <c:v>45231</c:v>
                </c:pt>
                <c:pt idx="461">
                  <c:v>45232</c:v>
                </c:pt>
                <c:pt idx="462">
                  <c:v>45233</c:v>
                </c:pt>
                <c:pt idx="463">
                  <c:v>45236</c:v>
                </c:pt>
                <c:pt idx="464">
                  <c:v>45237</c:v>
                </c:pt>
                <c:pt idx="465">
                  <c:v>45238</c:v>
                </c:pt>
                <c:pt idx="466">
                  <c:v>45239</c:v>
                </c:pt>
                <c:pt idx="467">
                  <c:v>45240</c:v>
                </c:pt>
                <c:pt idx="468">
                  <c:v>45243</c:v>
                </c:pt>
                <c:pt idx="469">
                  <c:v>45244</c:v>
                </c:pt>
                <c:pt idx="470">
                  <c:v>45245</c:v>
                </c:pt>
                <c:pt idx="471">
                  <c:v>45246</c:v>
                </c:pt>
                <c:pt idx="472">
                  <c:v>45247</c:v>
                </c:pt>
                <c:pt idx="473">
                  <c:v>45250</c:v>
                </c:pt>
                <c:pt idx="474">
                  <c:v>45251</c:v>
                </c:pt>
                <c:pt idx="475">
                  <c:v>45252</c:v>
                </c:pt>
                <c:pt idx="476">
                  <c:v>45253</c:v>
                </c:pt>
                <c:pt idx="477">
                  <c:v>45254</c:v>
                </c:pt>
                <c:pt idx="478">
                  <c:v>45257</c:v>
                </c:pt>
                <c:pt idx="479">
                  <c:v>45258</c:v>
                </c:pt>
                <c:pt idx="480">
                  <c:v>45259</c:v>
                </c:pt>
                <c:pt idx="481">
                  <c:v>45260</c:v>
                </c:pt>
                <c:pt idx="482">
                  <c:v>45261</c:v>
                </c:pt>
                <c:pt idx="483">
                  <c:v>45264</c:v>
                </c:pt>
                <c:pt idx="484">
                  <c:v>45265</c:v>
                </c:pt>
                <c:pt idx="485">
                  <c:v>45266</c:v>
                </c:pt>
                <c:pt idx="486">
                  <c:v>45267</c:v>
                </c:pt>
                <c:pt idx="487">
                  <c:v>45268</c:v>
                </c:pt>
                <c:pt idx="488">
                  <c:v>45271</c:v>
                </c:pt>
                <c:pt idx="489">
                  <c:v>45272</c:v>
                </c:pt>
                <c:pt idx="490">
                  <c:v>45273</c:v>
                </c:pt>
                <c:pt idx="491">
                  <c:v>45274</c:v>
                </c:pt>
                <c:pt idx="492">
                  <c:v>45275</c:v>
                </c:pt>
                <c:pt idx="493">
                  <c:v>45278</c:v>
                </c:pt>
                <c:pt idx="494">
                  <c:v>45279</c:v>
                </c:pt>
                <c:pt idx="495">
                  <c:v>45280</c:v>
                </c:pt>
                <c:pt idx="496">
                  <c:v>45281</c:v>
                </c:pt>
                <c:pt idx="497">
                  <c:v>45282</c:v>
                </c:pt>
                <c:pt idx="498">
                  <c:v>45286</c:v>
                </c:pt>
                <c:pt idx="499">
                  <c:v>45287</c:v>
                </c:pt>
                <c:pt idx="500">
                  <c:v>45288</c:v>
                </c:pt>
                <c:pt idx="501">
                  <c:v>45289</c:v>
                </c:pt>
                <c:pt idx="502">
                  <c:v>45293</c:v>
                </c:pt>
                <c:pt idx="503">
                  <c:v>45294</c:v>
                </c:pt>
                <c:pt idx="504">
                  <c:v>45295</c:v>
                </c:pt>
                <c:pt idx="505">
                  <c:v>45296</c:v>
                </c:pt>
              </c:numCache>
            </c:numRef>
          </c:cat>
          <c:val>
            <c:numRef>
              <c:f>Sheet1!$B$2:$B$507</c:f>
              <c:numCache>
                <c:formatCode>_-* #,##0.0_-;\-* #,##0.0_-;_-* "-"??_-;_-@_-</c:formatCode>
                <c:ptCount val="506"/>
                <c:pt idx="0">
                  <c:v>76.080001999999993</c:v>
                </c:pt>
                <c:pt idx="1">
                  <c:v>76.989998</c:v>
                </c:pt>
                <c:pt idx="2">
                  <c:v>77.849997999999999</c:v>
                </c:pt>
                <c:pt idx="3">
                  <c:v>79.459998999999996</c:v>
                </c:pt>
                <c:pt idx="4">
                  <c:v>78.900002000000001</c:v>
                </c:pt>
                <c:pt idx="5">
                  <c:v>78.230002999999996</c:v>
                </c:pt>
                <c:pt idx="6">
                  <c:v>81.220000999999996</c:v>
                </c:pt>
                <c:pt idx="7">
                  <c:v>82.639999000000003</c:v>
                </c:pt>
                <c:pt idx="8">
                  <c:v>82.120002999999997</c:v>
                </c:pt>
                <c:pt idx="9">
                  <c:v>83.82</c:v>
                </c:pt>
                <c:pt idx="10">
                  <c:v>85.43</c:v>
                </c:pt>
                <c:pt idx="11">
                  <c:v>86.959998999999996</c:v>
                </c:pt>
                <c:pt idx="12">
                  <c:v>86.900002000000001</c:v>
                </c:pt>
                <c:pt idx="13">
                  <c:v>85.139999000000003</c:v>
                </c:pt>
                <c:pt idx="14">
                  <c:v>83.309997999999993</c:v>
                </c:pt>
                <c:pt idx="15">
                  <c:v>85.599997999999999</c:v>
                </c:pt>
                <c:pt idx="16">
                  <c:v>87.349997999999999</c:v>
                </c:pt>
                <c:pt idx="17">
                  <c:v>86.610000999999997</c:v>
                </c:pt>
                <c:pt idx="18">
                  <c:v>86.82</c:v>
                </c:pt>
                <c:pt idx="19">
                  <c:v>88.150002000000001</c:v>
                </c:pt>
                <c:pt idx="20">
                  <c:v>88.199996999999996</c:v>
                </c:pt>
                <c:pt idx="21">
                  <c:v>88.260002</c:v>
                </c:pt>
                <c:pt idx="22">
                  <c:v>90.269997000000004</c:v>
                </c:pt>
                <c:pt idx="23">
                  <c:v>92.309997999999993</c:v>
                </c:pt>
                <c:pt idx="24">
                  <c:v>91.32</c:v>
                </c:pt>
                <c:pt idx="25">
                  <c:v>89.360000999999997</c:v>
                </c:pt>
                <c:pt idx="26">
                  <c:v>89.660004000000001</c:v>
                </c:pt>
                <c:pt idx="27">
                  <c:v>89.879997000000003</c:v>
                </c:pt>
                <c:pt idx="28">
                  <c:v>93.099997999999999</c:v>
                </c:pt>
                <c:pt idx="29">
                  <c:v>95.459998999999996</c:v>
                </c:pt>
                <c:pt idx="30">
                  <c:v>92.07</c:v>
                </c:pt>
                <c:pt idx="31">
                  <c:v>93.660004000000001</c:v>
                </c:pt>
                <c:pt idx="32">
                  <c:v>91.760002</c:v>
                </c:pt>
                <c:pt idx="33">
                  <c:v>91.07</c:v>
                </c:pt>
                <c:pt idx="34">
                  <c:v>92.349997999999999</c:v>
                </c:pt>
                <c:pt idx="35">
                  <c:v>92.099997999999999</c:v>
                </c:pt>
                <c:pt idx="36">
                  <c:v>92.809997999999993</c:v>
                </c:pt>
                <c:pt idx="37">
                  <c:v>91.589995999999999</c:v>
                </c:pt>
                <c:pt idx="38">
                  <c:v>95.720000999999996</c:v>
                </c:pt>
                <c:pt idx="39">
                  <c:v>103.410004</c:v>
                </c:pt>
                <c:pt idx="40">
                  <c:v>110.599998</c:v>
                </c:pt>
                <c:pt idx="41">
                  <c:v>107.66999800000001</c:v>
                </c:pt>
                <c:pt idx="42">
                  <c:v>115.68</c:v>
                </c:pt>
                <c:pt idx="43">
                  <c:v>119.400002</c:v>
                </c:pt>
                <c:pt idx="44">
                  <c:v>123.699997</c:v>
                </c:pt>
                <c:pt idx="45">
                  <c:v>108.699997</c:v>
                </c:pt>
                <c:pt idx="46">
                  <c:v>106.019997</c:v>
                </c:pt>
                <c:pt idx="47">
                  <c:v>109.33000199999999</c:v>
                </c:pt>
                <c:pt idx="48">
                  <c:v>103.010002</c:v>
                </c:pt>
                <c:pt idx="49">
                  <c:v>96.440002000000007</c:v>
                </c:pt>
                <c:pt idx="50">
                  <c:v>95.040001000000004</c:v>
                </c:pt>
                <c:pt idx="51">
                  <c:v>102.980003</c:v>
                </c:pt>
                <c:pt idx="52">
                  <c:v>104.699997</c:v>
                </c:pt>
                <c:pt idx="53">
                  <c:v>112.120003</c:v>
                </c:pt>
                <c:pt idx="54">
                  <c:v>111.760002</c:v>
                </c:pt>
                <c:pt idx="55">
                  <c:v>114.93</c:v>
                </c:pt>
                <c:pt idx="56">
                  <c:v>112.339996</c:v>
                </c:pt>
                <c:pt idx="57">
                  <c:v>113.900002</c:v>
                </c:pt>
                <c:pt idx="58">
                  <c:v>105.959999</c:v>
                </c:pt>
                <c:pt idx="59">
                  <c:v>104.239998</c:v>
                </c:pt>
                <c:pt idx="60">
                  <c:v>107.82</c:v>
                </c:pt>
                <c:pt idx="61">
                  <c:v>100.279999</c:v>
                </c:pt>
                <c:pt idx="62">
                  <c:v>99.269997000000004</c:v>
                </c:pt>
                <c:pt idx="63">
                  <c:v>103.279999</c:v>
                </c:pt>
                <c:pt idx="64">
                  <c:v>101.959999</c:v>
                </c:pt>
                <c:pt idx="65">
                  <c:v>96.230002999999996</c:v>
                </c:pt>
                <c:pt idx="66">
                  <c:v>96.029999000000004</c:v>
                </c:pt>
                <c:pt idx="67">
                  <c:v>98.260002</c:v>
                </c:pt>
                <c:pt idx="68">
                  <c:v>94.290001000000004</c:v>
                </c:pt>
                <c:pt idx="69">
                  <c:v>100.599998</c:v>
                </c:pt>
                <c:pt idx="70">
                  <c:v>104.25</c:v>
                </c:pt>
                <c:pt idx="71">
                  <c:v>106.949997</c:v>
                </c:pt>
                <c:pt idx="72">
                  <c:v>108.209999</c:v>
                </c:pt>
                <c:pt idx="73">
                  <c:v>102.55999799999999</c:v>
                </c:pt>
                <c:pt idx="74">
                  <c:v>102.75</c:v>
                </c:pt>
                <c:pt idx="75">
                  <c:v>103.790001</c:v>
                </c:pt>
                <c:pt idx="76">
                  <c:v>102.07</c:v>
                </c:pt>
                <c:pt idx="77">
                  <c:v>98.540001000000004</c:v>
                </c:pt>
                <c:pt idx="78">
                  <c:v>101.699997</c:v>
                </c:pt>
                <c:pt idx="79">
                  <c:v>102.019997</c:v>
                </c:pt>
                <c:pt idx="80">
                  <c:v>105.360001</c:v>
                </c:pt>
                <c:pt idx="81">
                  <c:v>104.69000200000001</c:v>
                </c:pt>
                <c:pt idx="82">
                  <c:v>105.16999800000001</c:v>
                </c:pt>
                <c:pt idx="83">
                  <c:v>102.410004</c:v>
                </c:pt>
                <c:pt idx="84">
                  <c:v>107.80999799999999</c:v>
                </c:pt>
                <c:pt idx="85">
                  <c:v>108.260002</c:v>
                </c:pt>
                <c:pt idx="86">
                  <c:v>109.769997</c:v>
                </c:pt>
                <c:pt idx="87">
                  <c:v>103.089996</c:v>
                </c:pt>
                <c:pt idx="88">
                  <c:v>99.760002</c:v>
                </c:pt>
                <c:pt idx="89">
                  <c:v>105.709999</c:v>
                </c:pt>
                <c:pt idx="90">
                  <c:v>106.129997</c:v>
                </c:pt>
                <c:pt idx="91">
                  <c:v>110.489998</c:v>
                </c:pt>
                <c:pt idx="92">
                  <c:v>114.199997</c:v>
                </c:pt>
                <c:pt idx="93">
                  <c:v>112.400002</c:v>
                </c:pt>
                <c:pt idx="94">
                  <c:v>109.589996</c:v>
                </c:pt>
                <c:pt idx="95">
                  <c:v>112.209999</c:v>
                </c:pt>
                <c:pt idx="96">
                  <c:v>113.230003</c:v>
                </c:pt>
                <c:pt idx="97">
                  <c:v>110.290001</c:v>
                </c:pt>
                <c:pt idx="98">
                  <c:v>109.769997</c:v>
                </c:pt>
                <c:pt idx="99">
                  <c:v>110.33000199999999</c:v>
                </c:pt>
                <c:pt idx="100">
                  <c:v>114.089996</c:v>
                </c:pt>
                <c:pt idx="101">
                  <c:v>115.07</c:v>
                </c:pt>
                <c:pt idx="102">
                  <c:v>114.66999800000001</c:v>
                </c:pt>
                <c:pt idx="103">
                  <c:v>115.260002</c:v>
                </c:pt>
                <c:pt idx="104">
                  <c:v>116.870003</c:v>
                </c:pt>
                <c:pt idx="105">
                  <c:v>118.870003</c:v>
                </c:pt>
                <c:pt idx="106">
                  <c:v>118.5</c:v>
                </c:pt>
                <c:pt idx="107">
                  <c:v>119.410004</c:v>
                </c:pt>
                <c:pt idx="108">
                  <c:v>122.110001</c:v>
                </c:pt>
                <c:pt idx="109">
                  <c:v>121.510002</c:v>
                </c:pt>
                <c:pt idx="110">
                  <c:v>120.66999800000001</c:v>
                </c:pt>
                <c:pt idx="111">
                  <c:v>120.93</c:v>
                </c:pt>
                <c:pt idx="112">
                  <c:v>118.93</c:v>
                </c:pt>
                <c:pt idx="113">
                  <c:v>115.30999799999999</c:v>
                </c:pt>
                <c:pt idx="114">
                  <c:v>117.589996</c:v>
                </c:pt>
                <c:pt idx="115">
                  <c:v>109.55999799999999</c:v>
                </c:pt>
                <c:pt idx="116">
                  <c:v>110.650002</c:v>
                </c:pt>
                <c:pt idx="117">
                  <c:v>106.19000200000001</c:v>
                </c:pt>
                <c:pt idx="118">
                  <c:v>104.269997</c:v>
                </c:pt>
                <c:pt idx="119">
                  <c:v>107.620003</c:v>
                </c:pt>
                <c:pt idx="120">
                  <c:v>109.57</c:v>
                </c:pt>
                <c:pt idx="121">
                  <c:v>111.760002</c:v>
                </c:pt>
                <c:pt idx="122">
                  <c:v>109.779999</c:v>
                </c:pt>
                <c:pt idx="123">
                  <c:v>105.760002</c:v>
                </c:pt>
                <c:pt idx="124">
                  <c:v>108.43</c:v>
                </c:pt>
                <c:pt idx="125">
                  <c:v>99.5</c:v>
                </c:pt>
                <c:pt idx="126">
                  <c:v>98.529999000000004</c:v>
                </c:pt>
                <c:pt idx="127">
                  <c:v>102.730003</c:v>
                </c:pt>
                <c:pt idx="128">
                  <c:v>104.790001</c:v>
                </c:pt>
                <c:pt idx="129">
                  <c:v>104.089996</c:v>
                </c:pt>
                <c:pt idx="130">
                  <c:v>95.839995999999999</c:v>
                </c:pt>
                <c:pt idx="131">
                  <c:v>96.300003000000004</c:v>
                </c:pt>
                <c:pt idx="132">
                  <c:v>95.779999000000004</c:v>
                </c:pt>
                <c:pt idx="133">
                  <c:v>97.589995999999999</c:v>
                </c:pt>
                <c:pt idx="134">
                  <c:v>102.599998</c:v>
                </c:pt>
                <c:pt idx="135">
                  <c:v>104.220001</c:v>
                </c:pt>
                <c:pt idx="136">
                  <c:v>102.260002</c:v>
                </c:pt>
                <c:pt idx="137">
                  <c:v>96.349997999999999</c:v>
                </c:pt>
                <c:pt idx="138">
                  <c:v>94.699996999999996</c:v>
                </c:pt>
                <c:pt idx="139">
                  <c:v>96.699996999999996</c:v>
                </c:pt>
                <c:pt idx="140">
                  <c:v>94.980002999999996</c:v>
                </c:pt>
                <c:pt idx="141">
                  <c:v>97.260002</c:v>
                </c:pt>
                <c:pt idx="142">
                  <c:v>96.419998000000007</c:v>
                </c:pt>
                <c:pt idx="143">
                  <c:v>98.620002999999997</c:v>
                </c:pt>
                <c:pt idx="144">
                  <c:v>93.889999000000003</c:v>
                </c:pt>
                <c:pt idx="145">
                  <c:v>94.419998000000007</c:v>
                </c:pt>
                <c:pt idx="146">
                  <c:v>90.660004000000001</c:v>
                </c:pt>
                <c:pt idx="147">
                  <c:v>88.540001000000004</c:v>
                </c:pt>
                <c:pt idx="148">
                  <c:v>89.010002</c:v>
                </c:pt>
                <c:pt idx="149">
                  <c:v>90.760002</c:v>
                </c:pt>
                <c:pt idx="150">
                  <c:v>90.5</c:v>
                </c:pt>
                <c:pt idx="151">
                  <c:v>91.93</c:v>
                </c:pt>
                <c:pt idx="152">
                  <c:v>94.339995999999999</c:v>
                </c:pt>
                <c:pt idx="153">
                  <c:v>92.089995999999999</c:v>
                </c:pt>
                <c:pt idx="154">
                  <c:v>89.410004000000001</c:v>
                </c:pt>
                <c:pt idx="155">
                  <c:v>86.529999000000004</c:v>
                </c:pt>
                <c:pt idx="156">
                  <c:v>88.110000999999997</c:v>
                </c:pt>
                <c:pt idx="157">
                  <c:v>90.5</c:v>
                </c:pt>
                <c:pt idx="158">
                  <c:v>90.769997000000004</c:v>
                </c:pt>
                <c:pt idx="159">
                  <c:v>90.230002999999996</c:v>
                </c:pt>
                <c:pt idx="160">
                  <c:v>93.739998</c:v>
                </c:pt>
                <c:pt idx="161">
                  <c:v>94.889999000000003</c:v>
                </c:pt>
                <c:pt idx="162">
                  <c:v>92.519997000000004</c:v>
                </c:pt>
                <c:pt idx="163">
                  <c:v>93.059997999999993</c:v>
                </c:pt>
                <c:pt idx="164">
                  <c:v>97.010002</c:v>
                </c:pt>
                <c:pt idx="165">
                  <c:v>91.639999000000003</c:v>
                </c:pt>
                <c:pt idx="166">
                  <c:v>89.550003000000004</c:v>
                </c:pt>
                <c:pt idx="167">
                  <c:v>86.610000999999997</c:v>
                </c:pt>
                <c:pt idx="168">
                  <c:v>86.870002999999997</c:v>
                </c:pt>
                <c:pt idx="169">
                  <c:v>86.879997000000003</c:v>
                </c:pt>
                <c:pt idx="170">
                  <c:v>81.940002000000007</c:v>
                </c:pt>
                <c:pt idx="171">
                  <c:v>83.540001000000004</c:v>
                </c:pt>
                <c:pt idx="172">
                  <c:v>86.790001000000004</c:v>
                </c:pt>
                <c:pt idx="173">
                  <c:v>87.779999000000004</c:v>
                </c:pt>
                <c:pt idx="174">
                  <c:v>87.309997999999993</c:v>
                </c:pt>
                <c:pt idx="175">
                  <c:v>88.480002999999996</c:v>
                </c:pt>
                <c:pt idx="176">
                  <c:v>85.099997999999999</c:v>
                </c:pt>
                <c:pt idx="177">
                  <c:v>85.110000999999997</c:v>
                </c:pt>
                <c:pt idx="178">
                  <c:v>85.730002999999996</c:v>
                </c:pt>
                <c:pt idx="179">
                  <c:v>84.449996999999996</c:v>
                </c:pt>
                <c:pt idx="180">
                  <c:v>82.940002000000007</c:v>
                </c:pt>
                <c:pt idx="181">
                  <c:v>83.489998</c:v>
                </c:pt>
                <c:pt idx="182">
                  <c:v>78.739998</c:v>
                </c:pt>
                <c:pt idx="183">
                  <c:v>76.709998999999996</c:v>
                </c:pt>
                <c:pt idx="184">
                  <c:v>78.5</c:v>
                </c:pt>
                <c:pt idx="185">
                  <c:v>82.150002000000001</c:v>
                </c:pt>
                <c:pt idx="186">
                  <c:v>81.230002999999996</c:v>
                </c:pt>
                <c:pt idx="187">
                  <c:v>79.489998</c:v>
                </c:pt>
                <c:pt idx="188">
                  <c:v>83.629997000000003</c:v>
                </c:pt>
                <c:pt idx="189">
                  <c:v>86.519997000000004</c:v>
                </c:pt>
                <c:pt idx="190">
                  <c:v>87.760002</c:v>
                </c:pt>
                <c:pt idx="191">
                  <c:v>88.449996999999996</c:v>
                </c:pt>
                <c:pt idx="192">
                  <c:v>92.639999000000003</c:v>
                </c:pt>
                <c:pt idx="193">
                  <c:v>91.129997000000003</c:v>
                </c:pt>
                <c:pt idx="194">
                  <c:v>89.349997999999999</c:v>
                </c:pt>
                <c:pt idx="195">
                  <c:v>87.269997000000004</c:v>
                </c:pt>
                <c:pt idx="196">
                  <c:v>89.110000999999997</c:v>
                </c:pt>
                <c:pt idx="197">
                  <c:v>85.610000999999997</c:v>
                </c:pt>
                <c:pt idx="198">
                  <c:v>85.459998999999996</c:v>
                </c:pt>
                <c:pt idx="199">
                  <c:v>82.82</c:v>
                </c:pt>
                <c:pt idx="200">
                  <c:v>85.550003000000004</c:v>
                </c:pt>
                <c:pt idx="201">
                  <c:v>85.980002999999996</c:v>
                </c:pt>
                <c:pt idx="202">
                  <c:v>85.050003000000004</c:v>
                </c:pt>
                <c:pt idx="203">
                  <c:v>84.580001999999993</c:v>
                </c:pt>
                <c:pt idx="204">
                  <c:v>85.32</c:v>
                </c:pt>
                <c:pt idx="205">
                  <c:v>87.910004000000001</c:v>
                </c:pt>
                <c:pt idx="206">
                  <c:v>89.080001999999993</c:v>
                </c:pt>
                <c:pt idx="207">
                  <c:v>87.900002000000001</c:v>
                </c:pt>
                <c:pt idx="208">
                  <c:v>86.529999000000004</c:v>
                </c:pt>
                <c:pt idx="209">
                  <c:v>88.370002999999997</c:v>
                </c:pt>
                <c:pt idx="210">
                  <c:v>90</c:v>
                </c:pt>
                <c:pt idx="211">
                  <c:v>88.169998000000007</c:v>
                </c:pt>
                <c:pt idx="212">
                  <c:v>92.610000999999997</c:v>
                </c:pt>
                <c:pt idx="213">
                  <c:v>91.790001000000004</c:v>
                </c:pt>
                <c:pt idx="214">
                  <c:v>88.910004000000001</c:v>
                </c:pt>
                <c:pt idx="215">
                  <c:v>85.830001999999993</c:v>
                </c:pt>
                <c:pt idx="216">
                  <c:v>86.470000999999996</c:v>
                </c:pt>
                <c:pt idx="217">
                  <c:v>88.959998999999996</c:v>
                </c:pt>
                <c:pt idx="218">
                  <c:v>85.870002999999997</c:v>
                </c:pt>
                <c:pt idx="219">
                  <c:v>86.919998000000007</c:v>
                </c:pt>
                <c:pt idx="220">
                  <c:v>85.589995999999999</c:v>
                </c:pt>
                <c:pt idx="221">
                  <c:v>81.639999000000003</c:v>
                </c:pt>
                <c:pt idx="222">
                  <c:v>80.080001999999993</c:v>
                </c:pt>
                <c:pt idx="223">
                  <c:v>79.730002999999996</c:v>
                </c:pt>
                <c:pt idx="224">
                  <c:v>80.949996999999996</c:v>
                </c:pt>
                <c:pt idx="225">
                  <c:v>77.940002000000007</c:v>
                </c:pt>
                <c:pt idx="226">
                  <c:v>76.279999000000004</c:v>
                </c:pt>
                <c:pt idx="227">
                  <c:v>77.239998</c:v>
                </c:pt>
                <c:pt idx="228">
                  <c:v>78.199996999999996</c:v>
                </c:pt>
                <c:pt idx="229">
                  <c:v>80.550003000000004</c:v>
                </c:pt>
                <c:pt idx="230">
                  <c:v>81.220000999999996</c:v>
                </c:pt>
                <c:pt idx="231">
                  <c:v>79.980002999999996</c:v>
                </c:pt>
                <c:pt idx="232">
                  <c:v>76.930000000000007</c:v>
                </c:pt>
                <c:pt idx="233">
                  <c:v>74.25</c:v>
                </c:pt>
                <c:pt idx="234">
                  <c:v>72.010002</c:v>
                </c:pt>
                <c:pt idx="235">
                  <c:v>71.459998999999996</c:v>
                </c:pt>
                <c:pt idx="236">
                  <c:v>71.019997000000004</c:v>
                </c:pt>
                <c:pt idx="237">
                  <c:v>73.169998000000007</c:v>
                </c:pt>
                <c:pt idx="238">
                  <c:v>75.389999000000003</c:v>
                </c:pt>
                <c:pt idx="239">
                  <c:v>77.279999000000004</c:v>
                </c:pt>
                <c:pt idx="240">
                  <c:v>76.110000999999997</c:v>
                </c:pt>
                <c:pt idx="241">
                  <c:v>74.290001000000004</c:v>
                </c:pt>
                <c:pt idx="242">
                  <c:v>75.190002000000007</c:v>
                </c:pt>
                <c:pt idx="243">
                  <c:v>76.089995999999999</c:v>
                </c:pt>
                <c:pt idx="244">
                  <c:v>78.290001000000004</c:v>
                </c:pt>
                <c:pt idx="245">
                  <c:v>77.489998</c:v>
                </c:pt>
                <c:pt idx="246">
                  <c:v>79.559997999999993</c:v>
                </c:pt>
                <c:pt idx="247">
                  <c:v>79.529999000000004</c:v>
                </c:pt>
                <c:pt idx="248">
                  <c:v>78.959998999999996</c:v>
                </c:pt>
                <c:pt idx="249">
                  <c:v>78.400002000000001</c:v>
                </c:pt>
                <c:pt idx="250">
                  <c:v>80.260002</c:v>
                </c:pt>
                <c:pt idx="251">
                  <c:v>76.930000000000007</c:v>
                </c:pt>
                <c:pt idx="252">
                  <c:v>72.839995999999999</c:v>
                </c:pt>
                <c:pt idx="253">
                  <c:v>73.669998000000007</c:v>
                </c:pt>
                <c:pt idx="254">
                  <c:v>73.769997000000004</c:v>
                </c:pt>
                <c:pt idx="255">
                  <c:v>74.629997000000003</c:v>
                </c:pt>
                <c:pt idx="256">
                  <c:v>75.120002999999997</c:v>
                </c:pt>
                <c:pt idx="257">
                  <c:v>77.410004000000001</c:v>
                </c:pt>
                <c:pt idx="258">
                  <c:v>78.389999000000003</c:v>
                </c:pt>
                <c:pt idx="259">
                  <c:v>79.860000999999997</c:v>
                </c:pt>
                <c:pt idx="260">
                  <c:v>80.180000000000007</c:v>
                </c:pt>
                <c:pt idx="261">
                  <c:v>79.480002999999996</c:v>
                </c:pt>
                <c:pt idx="262">
                  <c:v>80.330001999999993</c:v>
                </c:pt>
                <c:pt idx="263">
                  <c:v>81.309997999999993</c:v>
                </c:pt>
                <c:pt idx="264">
                  <c:v>81.620002999999997</c:v>
                </c:pt>
                <c:pt idx="265">
                  <c:v>80.129997000000003</c:v>
                </c:pt>
                <c:pt idx="266">
                  <c:v>80.150002000000001</c:v>
                </c:pt>
                <c:pt idx="267">
                  <c:v>81.010002</c:v>
                </c:pt>
                <c:pt idx="268">
                  <c:v>79.680000000000007</c:v>
                </c:pt>
                <c:pt idx="269">
                  <c:v>77.900002000000001</c:v>
                </c:pt>
                <c:pt idx="270">
                  <c:v>78.870002999999997</c:v>
                </c:pt>
                <c:pt idx="271">
                  <c:v>76.410004000000001</c:v>
                </c:pt>
                <c:pt idx="272">
                  <c:v>75.879997000000003</c:v>
                </c:pt>
                <c:pt idx="273">
                  <c:v>73.389999000000003</c:v>
                </c:pt>
                <c:pt idx="274">
                  <c:v>74.110000999999997</c:v>
                </c:pt>
                <c:pt idx="275">
                  <c:v>77.139999000000003</c:v>
                </c:pt>
                <c:pt idx="276">
                  <c:v>78.470000999999996</c:v>
                </c:pt>
                <c:pt idx="277">
                  <c:v>78.059997999999993</c:v>
                </c:pt>
                <c:pt idx="278">
                  <c:v>79.720000999999996</c:v>
                </c:pt>
                <c:pt idx="279">
                  <c:v>80.139999000000003</c:v>
                </c:pt>
                <c:pt idx="280">
                  <c:v>79.059997999999993</c:v>
                </c:pt>
                <c:pt idx="281">
                  <c:v>78.589995999999999</c:v>
                </c:pt>
                <c:pt idx="282">
                  <c:v>78.489998</c:v>
                </c:pt>
                <c:pt idx="283">
                  <c:v>76.339995999999999</c:v>
                </c:pt>
                <c:pt idx="284">
                  <c:v>76.160004000000001</c:v>
                </c:pt>
                <c:pt idx="285">
                  <c:v>73.949996999999996</c:v>
                </c:pt>
                <c:pt idx="286">
                  <c:v>75.389999000000003</c:v>
                </c:pt>
                <c:pt idx="287">
                  <c:v>76.319999999999993</c:v>
                </c:pt>
                <c:pt idx="288">
                  <c:v>75.680000000000007</c:v>
                </c:pt>
                <c:pt idx="289">
                  <c:v>77.050003000000004</c:v>
                </c:pt>
                <c:pt idx="290">
                  <c:v>77.690002000000007</c:v>
                </c:pt>
                <c:pt idx="291">
                  <c:v>78.160004000000001</c:v>
                </c:pt>
                <c:pt idx="292">
                  <c:v>79.680000000000007</c:v>
                </c:pt>
                <c:pt idx="293">
                  <c:v>80.459998999999996</c:v>
                </c:pt>
                <c:pt idx="294">
                  <c:v>77.580001999999993</c:v>
                </c:pt>
                <c:pt idx="295">
                  <c:v>76.660004000000001</c:v>
                </c:pt>
                <c:pt idx="296">
                  <c:v>75.720000999999996</c:v>
                </c:pt>
                <c:pt idx="297">
                  <c:v>76.680000000000007</c:v>
                </c:pt>
                <c:pt idx="298">
                  <c:v>74.800003000000004</c:v>
                </c:pt>
                <c:pt idx="299">
                  <c:v>71.330001999999993</c:v>
                </c:pt>
                <c:pt idx="300">
                  <c:v>67.610000999999997</c:v>
                </c:pt>
                <c:pt idx="301">
                  <c:v>68.349997999999999</c:v>
                </c:pt>
                <c:pt idx="302">
                  <c:v>66.739998</c:v>
                </c:pt>
                <c:pt idx="303">
                  <c:v>67.639999000000003</c:v>
                </c:pt>
                <c:pt idx="304">
                  <c:v>69.330001999999993</c:v>
                </c:pt>
                <c:pt idx="305">
                  <c:v>70.900002000000001</c:v>
                </c:pt>
                <c:pt idx="306">
                  <c:v>69.959998999999996</c:v>
                </c:pt>
                <c:pt idx="307">
                  <c:v>69.260002</c:v>
                </c:pt>
                <c:pt idx="308">
                  <c:v>72.809997999999993</c:v>
                </c:pt>
                <c:pt idx="309">
                  <c:v>73.199996999999996</c:v>
                </c:pt>
                <c:pt idx="310">
                  <c:v>72.970000999999996</c:v>
                </c:pt>
                <c:pt idx="311">
                  <c:v>74.370002999999997</c:v>
                </c:pt>
                <c:pt idx="312">
                  <c:v>75.669998000000007</c:v>
                </c:pt>
                <c:pt idx="313">
                  <c:v>80.419998000000007</c:v>
                </c:pt>
                <c:pt idx="314">
                  <c:v>80.709998999999996</c:v>
                </c:pt>
                <c:pt idx="315">
                  <c:v>80.610000999999997</c:v>
                </c:pt>
                <c:pt idx="316">
                  <c:v>80.699996999999996</c:v>
                </c:pt>
                <c:pt idx="317">
                  <c:v>79.739998</c:v>
                </c:pt>
                <c:pt idx="318">
                  <c:v>81.529999000000004</c:v>
                </c:pt>
                <c:pt idx="319">
                  <c:v>83.260002</c:v>
                </c:pt>
                <c:pt idx="320">
                  <c:v>82.160004000000001</c:v>
                </c:pt>
                <c:pt idx="321">
                  <c:v>82.519997000000004</c:v>
                </c:pt>
                <c:pt idx="322">
                  <c:v>80.830001999999993</c:v>
                </c:pt>
                <c:pt idx="323">
                  <c:v>80.860000999999997</c:v>
                </c:pt>
                <c:pt idx="324">
                  <c:v>79.160004000000001</c:v>
                </c:pt>
                <c:pt idx="325">
                  <c:v>77.290001000000004</c:v>
                </c:pt>
                <c:pt idx="326">
                  <c:v>77.870002999999997</c:v>
                </c:pt>
                <c:pt idx="327">
                  <c:v>78.760002</c:v>
                </c:pt>
                <c:pt idx="328">
                  <c:v>77.069999999999993</c:v>
                </c:pt>
                <c:pt idx="329">
                  <c:v>74.300003000000004</c:v>
                </c:pt>
                <c:pt idx="330">
                  <c:v>74.760002</c:v>
                </c:pt>
                <c:pt idx="331">
                  <c:v>76.779999000000004</c:v>
                </c:pt>
                <c:pt idx="332">
                  <c:v>75.660004000000001</c:v>
                </c:pt>
                <c:pt idx="333">
                  <c:v>71.660004000000001</c:v>
                </c:pt>
                <c:pt idx="334">
                  <c:v>68.599997999999999</c:v>
                </c:pt>
                <c:pt idx="335">
                  <c:v>68.559997999999993</c:v>
                </c:pt>
                <c:pt idx="336">
                  <c:v>71.339995999999999</c:v>
                </c:pt>
                <c:pt idx="337">
                  <c:v>73.160004000000001</c:v>
                </c:pt>
                <c:pt idx="338">
                  <c:v>73.709998999999996</c:v>
                </c:pt>
                <c:pt idx="339">
                  <c:v>72.559997999999993</c:v>
                </c:pt>
                <c:pt idx="340">
                  <c:v>70.870002999999997</c:v>
                </c:pt>
                <c:pt idx="341">
                  <c:v>70.040001000000004</c:v>
                </c:pt>
                <c:pt idx="342">
                  <c:v>71.110000999999997</c:v>
                </c:pt>
                <c:pt idx="343">
                  <c:v>70.860000999999997</c:v>
                </c:pt>
                <c:pt idx="344">
                  <c:v>72.830001999999993</c:v>
                </c:pt>
                <c:pt idx="345">
                  <c:v>71.860000999999997</c:v>
                </c:pt>
                <c:pt idx="346">
                  <c:v>71.550003000000004</c:v>
                </c:pt>
                <c:pt idx="347">
                  <c:v>71.989998</c:v>
                </c:pt>
                <c:pt idx="348">
                  <c:v>72.910004000000001</c:v>
                </c:pt>
                <c:pt idx="349">
                  <c:v>74.339995999999999</c:v>
                </c:pt>
                <c:pt idx="350">
                  <c:v>71.830001999999993</c:v>
                </c:pt>
                <c:pt idx="351">
                  <c:v>72.669998000000007</c:v>
                </c:pt>
                <c:pt idx="352">
                  <c:v>69.459998999999996</c:v>
                </c:pt>
                <c:pt idx="353">
                  <c:v>68.089995999999999</c:v>
                </c:pt>
                <c:pt idx="354">
                  <c:v>70.099997999999999</c:v>
                </c:pt>
                <c:pt idx="355">
                  <c:v>71.739998</c:v>
                </c:pt>
                <c:pt idx="356">
                  <c:v>72.150002000000001</c:v>
                </c:pt>
                <c:pt idx="357">
                  <c:v>71.739998</c:v>
                </c:pt>
                <c:pt idx="358">
                  <c:v>72.529999000000004</c:v>
                </c:pt>
                <c:pt idx="359">
                  <c:v>71.290001000000004</c:v>
                </c:pt>
                <c:pt idx="360">
                  <c:v>70.169998000000007</c:v>
                </c:pt>
                <c:pt idx="361">
                  <c:v>67.120002999999997</c:v>
                </c:pt>
                <c:pt idx="362">
                  <c:v>69.419998000000007</c:v>
                </c:pt>
                <c:pt idx="363">
                  <c:v>68.269997000000004</c:v>
                </c:pt>
                <c:pt idx="364">
                  <c:v>70.620002999999997</c:v>
                </c:pt>
                <c:pt idx="365">
                  <c:v>71.779999000000004</c:v>
                </c:pt>
                <c:pt idx="366">
                  <c:v>70.5</c:v>
                </c:pt>
                <c:pt idx="367">
                  <c:v>72.529999000000004</c:v>
                </c:pt>
                <c:pt idx="368">
                  <c:v>69.510002</c:v>
                </c:pt>
                <c:pt idx="369">
                  <c:v>69.160004000000001</c:v>
                </c:pt>
                <c:pt idx="370">
                  <c:v>69.370002999999997</c:v>
                </c:pt>
                <c:pt idx="371">
                  <c:v>67.699996999999996</c:v>
                </c:pt>
                <c:pt idx="372">
                  <c:v>69.559997999999993</c:v>
                </c:pt>
                <c:pt idx="373">
                  <c:v>69.860000999999997</c:v>
                </c:pt>
                <c:pt idx="374">
                  <c:v>70.639999000000003</c:v>
                </c:pt>
                <c:pt idx="375">
                  <c:v>69.790001000000004</c:v>
                </c:pt>
                <c:pt idx="376">
                  <c:v>71.790001000000004</c:v>
                </c:pt>
                <c:pt idx="377">
                  <c:v>71.800003000000004</c:v>
                </c:pt>
                <c:pt idx="378">
                  <c:v>73.860000999999997</c:v>
                </c:pt>
                <c:pt idx="379">
                  <c:v>72.989998</c:v>
                </c:pt>
                <c:pt idx="380">
                  <c:v>74.830001999999993</c:v>
                </c:pt>
                <c:pt idx="381">
                  <c:v>75.75</c:v>
                </c:pt>
                <c:pt idx="382">
                  <c:v>76.889999000000003</c:v>
                </c:pt>
                <c:pt idx="383">
                  <c:v>75.419998000000007</c:v>
                </c:pt>
                <c:pt idx="384">
                  <c:v>74.150002000000001</c:v>
                </c:pt>
                <c:pt idx="385">
                  <c:v>75.75</c:v>
                </c:pt>
                <c:pt idx="386">
                  <c:v>75.349997999999999</c:v>
                </c:pt>
                <c:pt idx="387">
                  <c:v>75.629997000000003</c:v>
                </c:pt>
                <c:pt idx="388">
                  <c:v>77.069999999999993</c:v>
                </c:pt>
                <c:pt idx="389">
                  <c:v>78.739998</c:v>
                </c:pt>
                <c:pt idx="390">
                  <c:v>79.629997000000003</c:v>
                </c:pt>
                <c:pt idx="391">
                  <c:v>78.779999000000004</c:v>
                </c:pt>
                <c:pt idx="392">
                  <c:v>80.089995999999999</c:v>
                </c:pt>
                <c:pt idx="393">
                  <c:v>80.580001999999993</c:v>
                </c:pt>
                <c:pt idx="394">
                  <c:v>81.800003000000004</c:v>
                </c:pt>
                <c:pt idx="395">
                  <c:v>81.370002999999997</c:v>
                </c:pt>
                <c:pt idx="396">
                  <c:v>79.489998</c:v>
                </c:pt>
                <c:pt idx="397">
                  <c:v>81.550003000000004</c:v>
                </c:pt>
                <c:pt idx="398">
                  <c:v>82.82</c:v>
                </c:pt>
                <c:pt idx="399">
                  <c:v>81.940002000000007</c:v>
                </c:pt>
                <c:pt idx="400">
                  <c:v>82.919998000000007</c:v>
                </c:pt>
                <c:pt idx="401">
                  <c:v>84.400002000000001</c:v>
                </c:pt>
                <c:pt idx="402">
                  <c:v>82.82</c:v>
                </c:pt>
                <c:pt idx="403">
                  <c:v>83.190002000000007</c:v>
                </c:pt>
                <c:pt idx="404">
                  <c:v>82.510002</c:v>
                </c:pt>
                <c:pt idx="405">
                  <c:v>80.989998</c:v>
                </c:pt>
                <c:pt idx="406">
                  <c:v>79.379997000000003</c:v>
                </c:pt>
                <c:pt idx="407">
                  <c:v>80.389999000000003</c:v>
                </c:pt>
                <c:pt idx="408">
                  <c:v>81.25</c:v>
                </c:pt>
                <c:pt idx="409">
                  <c:v>80.720000999999996</c:v>
                </c:pt>
                <c:pt idx="410">
                  <c:v>80.349997999999999</c:v>
                </c:pt>
                <c:pt idx="411">
                  <c:v>78.889999000000003</c:v>
                </c:pt>
                <c:pt idx="412">
                  <c:v>79.050003000000004</c:v>
                </c:pt>
                <c:pt idx="413">
                  <c:v>79.830001999999993</c:v>
                </c:pt>
                <c:pt idx="414">
                  <c:v>80.099997999999999</c:v>
                </c:pt>
                <c:pt idx="415">
                  <c:v>81.160004000000001</c:v>
                </c:pt>
                <c:pt idx="416">
                  <c:v>81.629997000000003</c:v>
                </c:pt>
                <c:pt idx="417">
                  <c:v>83.629997000000003</c:v>
                </c:pt>
                <c:pt idx="418">
                  <c:v>85.550003000000004</c:v>
                </c:pt>
                <c:pt idx="419">
                  <c:v>86.690002000000007</c:v>
                </c:pt>
                <c:pt idx="420">
                  <c:v>87.540001000000004</c:v>
                </c:pt>
                <c:pt idx="421">
                  <c:v>86.870002999999997</c:v>
                </c:pt>
                <c:pt idx="422">
                  <c:v>87.510002</c:v>
                </c:pt>
                <c:pt idx="423">
                  <c:v>87.290001000000004</c:v>
                </c:pt>
                <c:pt idx="424">
                  <c:v>88.839995999999999</c:v>
                </c:pt>
                <c:pt idx="425">
                  <c:v>88.519997000000004</c:v>
                </c:pt>
                <c:pt idx="426">
                  <c:v>90.160004000000001</c:v>
                </c:pt>
                <c:pt idx="427">
                  <c:v>90.769997000000004</c:v>
                </c:pt>
                <c:pt idx="428">
                  <c:v>91.480002999999996</c:v>
                </c:pt>
                <c:pt idx="429">
                  <c:v>91.199996999999996</c:v>
                </c:pt>
                <c:pt idx="430">
                  <c:v>90.279999000000004</c:v>
                </c:pt>
                <c:pt idx="431">
                  <c:v>89.629997000000003</c:v>
                </c:pt>
                <c:pt idx="432">
                  <c:v>90.029999000000004</c:v>
                </c:pt>
                <c:pt idx="433">
                  <c:v>89.68</c:v>
                </c:pt>
                <c:pt idx="434">
                  <c:v>90.389999000000003</c:v>
                </c:pt>
                <c:pt idx="435">
                  <c:v>93.68</c:v>
                </c:pt>
                <c:pt idx="436">
                  <c:v>91.709998999999996</c:v>
                </c:pt>
                <c:pt idx="437">
                  <c:v>90.790001000000004</c:v>
                </c:pt>
                <c:pt idx="438">
                  <c:v>88.82</c:v>
                </c:pt>
                <c:pt idx="439">
                  <c:v>89.230002999999996</c:v>
                </c:pt>
                <c:pt idx="440">
                  <c:v>84.220000999999996</c:v>
                </c:pt>
                <c:pt idx="441">
                  <c:v>82.309997999999993</c:v>
                </c:pt>
                <c:pt idx="442">
                  <c:v>82.790001000000004</c:v>
                </c:pt>
                <c:pt idx="443">
                  <c:v>86.379997000000003</c:v>
                </c:pt>
                <c:pt idx="444">
                  <c:v>85.970000999999996</c:v>
                </c:pt>
                <c:pt idx="445">
                  <c:v>83.489998</c:v>
                </c:pt>
                <c:pt idx="446">
                  <c:v>82.910004000000001</c:v>
                </c:pt>
                <c:pt idx="447">
                  <c:v>87.690002000000007</c:v>
                </c:pt>
                <c:pt idx="448">
                  <c:v>86.660004000000001</c:v>
                </c:pt>
                <c:pt idx="449">
                  <c:v>86.660004000000001</c:v>
                </c:pt>
                <c:pt idx="450">
                  <c:v>88.32</c:v>
                </c:pt>
                <c:pt idx="451">
                  <c:v>89.370002999999997</c:v>
                </c:pt>
                <c:pt idx="452">
                  <c:v>88.75</c:v>
                </c:pt>
                <c:pt idx="453">
                  <c:v>85.489998</c:v>
                </c:pt>
                <c:pt idx="454">
                  <c:v>83.739998</c:v>
                </c:pt>
                <c:pt idx="455">
                  <c:v>85.389999000000003</c:v>
                </c:pt>
                <c:pt idx="456">
                  <c:v>83.209998999999996</c:v>
                </c:pt>
                <c:pt idx="457">
                  <c:v>85.540001000000004</c:v>
                </c:pt>
                <c:pt idx="458">
                  <c:v>82.309997999999993</c:v>
                </c:pt>
                <c:pt idx="459">
                  <c:v>81.019997000000004</c:v>
                </c:pt>
                <c:pt idx="460">
                  <c:v>80.440002000000007</c:v>
                </c:pt>
                <c:pt idx="461">
                  <c:v>82.459998999999996</c:v>
                </c:pt>
                <c:pt idx="462">
                  <c:v>80.510002</c:v>
                </c:pt>
                <c:pt idx="463">
                  <c:v>80.819999999999993</c:v>
                </c:pt>
                <c:pt idx="464">
                  <c:v>77.370002999999997</c:v>
                </c:pt>
                <c:pt idx="465">
                  <c:v>75.330001999999993</c:v>
                </c:pt>
                <c:pt idx="466">
                  <c:v>75.739998</c:v>
                </c:pt>
                <c:pt idx="467">
                  <c:v>77.169998000000007</c:v>
                </c:pt>
                <c:pt idx="468">
                  <c:v>78.260002</c:v>
                </c:pt>
                <c:pt idx="469">
                  <c:v>78.260002</c:v>
                </c:pt>
                <c:pt idx="470">
                  <c:v>76.660004000000001</c:v>
                </c:pt>
                <c:pt idx="471">
                  <c:v>72.900002000000001</c:v>
                </c:pt>
                <c:pt idx="472">
                  <c:v>75.889999000000003</c:v>
                </c:pt>
                <c:pt idx="473">
                  <c:v>77.599997999999999</c:v>
                </c:pt>
                <c:pt idx="474">
                  <c:v>77.769997000000004</c:v>
                </c:pt>
                <c:pt idx="475">
                  <c:v>77.099997999999999</c:v>
                </c:pt>
                <c:pt idx="476">
                  <c:v>76.349997999999999</c:v>
                </c:pt>
                <c:pt idx="477">
                  <c:v>75.540001000000004</c:v>
                </c:pt>
                <c:pt idx="478">
                  <c:v>74.860000999999997</c:v>
                </c:pt>
                <c:pt idx="479">
                  <c:v>76.410004000000001</c:v>
                </c:pt>
                <c:pt idx="480">
                  <c:v>77.860000999999997</c:v>
                </c:pt>
                <c:pt idx="481">
                  <c:v>75.959998999999996</c:v>
                </c:pt>
                <c:pt idx="482">
                  <c:v>74.069999999999993</c:v>
                </c:pt>
                <c:pt idx="483">
                  <c:v>73.040001000000004</c:v>
                </c:pt>
                <c:pt idx="484">
                  <c:v>72.319999999999993</c:v>
                </c:pt>
                <c:pt idx="485">
                  <c:v>69.379997000000003</c:v>
                </c:pt>
                <c:pt idx="486">
                  <c:v>69.339995999999999</c:v>
                </c:pt>
                <c:pt idx="487">
                  <c:v>71.230002999999996</c:v>
                </c:pt>
                <c:pt idx="488">
                  <c:v>71.319999999999993</c:v>
                </c:pt>
                <c:pt idx="489">
                  <c:v>68.610000999999997</c:v>
                </c:pt>
                <c:pt idx="490">
                  <c:v>69.470000999999996</c:v>
                </c:pt>
                <c:pt idx="491">
                  <c:v>71.580001999999993</c:v>
                </c:pt>
                <c:pt idx="492">
                  <c:v>71.430000000000007</c:v>
                </c:pt>
                <c:pt idx="493">
                  <c:v>72.470000999999996</c:v>
                </c:pt>
                <c:pt idx="494">
                  <c:v>73.440002000000007</c:v>
                </c:pt>
                <c:pt idx="495">
                  <c:v>74.220000999999996</c:v>
                </c:pt>
                <c:pt idx="496">
                  <c:v>73.889999000000003</c:v>
                </c:pt>
                <c:pt idx="497">
                  <c:v>73.559997999999993</c:v>
                </c:pt>
                <c:pt idx="498">
                  <c:v>75.569999999999993</c:v>
                </c:pt>
                <c:pt idx="499">
                  <c:v>74.110000999999997</c:v>
                </c:pt>
                <c:pt idx="500">
                  <c:v>71.769997000000004</c:v>
                </c:pt>
                <c:pt idx="501">
                  <c:v>71.650002000000001</c:v>
                </c:pt>
                <c:pt idx="502">
                  <c:v>70.379997000000003</c:v>
                </c:pt>
                <c:pt idx="503">
                  <c:v>72.699996999999996</c:v>
                </c:pt>
                <c:pt idx="504">
                  <c:v>72.190002000000007</c:v>
                </c:pt>
                <c:pt idx="505">
                  <c:v>73.809997999999993</c:v>
                </c:pt>
              </c:numCache>
            </c:numRef>
          </c:val>
          <c:smooth val="1"/>
          <c:extLst>
            <c:ext xmlns:c16="http://schemas.microsoft.com/office/drawing/2014/chart" uri="{C3380CC4-5D6E-409C-BE32-E72D297353CC}">
              <c16:uniqueId val="{00000003-E723-4849-BCBC-15A34608BA7B}"/>
            </c:ext>
          </c:extLst>
        </c:ser>
        <c:dLbls>
          <c:showLegendKey val="0"/>
          <c:showVal val="0"/>
          <c:showCatName val="0"/>
          <c:showSerName val="0"/>
          <c:showPercent val="0"/>
          <c:showBubbleSize val="0"/>
        </c:dLbls>
        <c:smooth val="0"/>
        <c:axId val="2118791784"/>
        <c:axId val="2140495176"/>
      </c:lineChart>
      <c:dateAx>
        <c:axId val="2118791784"/>
        <c:scaling>
          <c:orientation val="minMax"/>
          <c:max val="45291"/>
          <c:min val="44595"/>
        </c:scaling>
        <c:delete val="0"/>
        <c:axPos val="b"/>
        <c:numFmt formatCode="mmm\-yy" sourceLinked="0"/>
        <c:majorTickMark val="none"/>
        <c:minorTickMark val="none"/>
        <c:tickLblPos val="low"/>
        <c:txPr>
          <a:bodyPr rot="-5400000" vert="horz"/>
          <a:lstStyle/>
          <a:p>
            <a:pPr>
              <a:defRPr sz="700">
                <a:latin typeface="Times New Roman" panose="02020603050405020304" pitchFamily="18" charset="0"/>
                <a:cs typeface="Times New Roman" panose="02020603050405020304" pitchFamily="18" charset="0"/>
              </a:defRPr>
            </a:pPr>
            <a:endParaRPr lang="es-GT"/>
          </a:p>
        </c:txPr>
        <c:crossAx val="2140495176"/>
        <c:crosses val="autoZero"/>
        <c:auto val="1"/>
        <c:lblOffset val="100"/>
        <c:baseTimeUnit val="days"/>
      </c:dateAx>
      <c:valAx>
        <c:axId val="2140495176"/>
        <c:scaling>
          <c:orientation val="minMax"/>
          <c:min val="60"/>
        </c:scaling>
        <c:delete val="0"/>
        <c:axPos val="l"/>
        <c:title>
          <c:tx>
            <c:rich>
              <a:bodyPr/>
              <a:lstStyle/>
              <a:p>
                <a:pPr>
                  <a:defRPr sz="900">
                    <a:latin typeface="Times New Roman" panose="02020603050405020304" pitchFamily="18" charset="0"/>
                    <a:cs typeface="Times New Roman" panose="02020603050405020304" pitchFamily="18" charset="0"/>
                  </a:defRPr>
                </a:pPr>
                <a:r>
                  <a:rPr lang="es-GT" dirty="0">
                    <a:latin typeface="Times New Roman" panose="02020603050405020304" pitchFamily="18" charset="0"/>
                    <a:cs typeface="Times New Roman" panose="02020603050405020304" pitchFamily="18" charset="0"/>
                  </a:rPr>
                  <a:t> USD$</a:t>
                </a:r>
                <a:r>
                  <a:rPr lang="es-GT" baseline="0" dirty="0">
                    <a:latin typeface="Times New Roman" panose="02020603050405020304" pitchFamily="18" charset="0"/>
                    <a:cs typeface="Times New Roman" panose="02020603050405020304" pitchFamily="18" charset="0"/>
                  </a:rPr>
                  <a:t> por barril</a:t>
                </a:r>
                <a:endParaRPr lang="es-GT" dirty="0">
                  <a:latin typeface="Times New Roman" panose="02020603050405020304" pitchFamily="18" charset="0"/>
                  <a:cs typeface="Times New Roman" panose="02020603050405020304" pitchFamily="18" charset="0"/>
                </a:endParaRPr>
              </a:p>
            </c:rich>
          </c:tx>
          <c:layout>
            <c:manualLayout>
              <c:xMode val="edge"/>
              <c:yMode val="edge"/>
              <c:x val="3.5246726390903123E-3"/>
              <c:y val="0.22088492904007434"/>
            </c:manualLayout>
          </c:layout>
          <c:overlay val="0"/>
        </c:title>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es-GT"/>
          </a:p>
        </c:txPr>
        <c:crossAx val="2118791784"/>
        <c:crosses val="autoZero"/>
        <c:crossBetween val="between"/>
      </c:valAx>
    </c:plotArea>
    <c:plotVisOnly val="1"/>
    <c:dispBlanksAs val="gap"/>
    <c:showDLblsOverMax val="0"/>
  </c:chart>
  <c:spPr>
    <a:ln>
      <a:noFill/>
    </a:ln>
  </c:spPr>
  <c:txPr>
    <a:bodyPr/>
    <a:lstStyle/>
    <a:p>
      <a:pPr>
        <a:defRPr sz="1800"/>
      </a:pPr>
      <a:endParaRPr lang="es-G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489938757655295E-2"/>
          <c:y val="1.5484096469765816E-2"/>
          <c:w val="0.91904709827938169"/>
          <c:h val="0.50059942699403048"/>
        </c:manualLayout>
      </c:layout>
      <c:lineChart>
        <c:grouping val="standard"/>
        <c:varyColors val="0"/>
        <c:ser>
          <c:idx val="0"/>
          <c:order val="0"/>
          <c:tx>
            <c:strRef>
              <c:f>Hoja1!$B$1</c:f>
              <c:strCache>
                <c:ptCount val="1"/>
                <c:pt idx="0">
                  <c:v>ISR ae</c:v>
                </c:pt>
              </c:strCache>
            </c:strRef>
          </c:tx>
          <c:spPr>
            <a:ln w="22225" cap="rnd">
              <a:solidFill>
                <a:schemeClr val="accent1"/>
              </a:solidFill>
              <a:round/>
            </a:ln>
            <a:effectLst/>
          </c:spPr>
          <c:marker>
            <c:symbol val="circle"/>
            <c:size val="5"/>
            <c:spPr>
              <a:solidFill>
                <a:schemeClr val="bg1"/>
              </a:solidFill>
              <a:ln w="15875">
                <a:solidFill>
                  <a:schemeClr val="accent1"/>
                </a:solidFill>
                <a:round/>
              </a:ln>
              <a:effectLst/>
            </c:spPr>
          </c:marker>
          <c:dPt>
            <c:idx val="10"/>
            <c:marker>
              <c:symbol val="circle"/>
              <c:size val="5"/>
              <c:spPr>
                <a:solidFill>
                  <a:schemeClr val="bg1"/>
                </a:solidFill>
                <a:ln w="15875">
                  <a:solidFill>
                    <a:srgbClr val="FF0000"/>
                  </a:solidFill>
                  <a:round/>
                </a:ln>
                <a:effectLst/>
              </c:spPr>
            </c:marker>
            <c:bubble3D val="0"/>
            <c:extLst>
              <c:ext xmlns:c16="http://schemas.microsoft.com/office/drawing/2014/chart" uri="{C3380CC4-5D6E-409C-BE32-E72D297353CC}">
                <c16:uniqueId val="{00000000-21CC-4EFD-8EA1-0DBFFAFFC451}"/>
              </c:ext>
            </c:extLst>
          </c:dPt>
          <c:dLbls>
            <c:dLbl>
              <c:idx val="10"/>
              <c:layout>
                <c:manualLayout>
                  <c:x val="-9.9149351122776314E-2"/>
                  <c:y val="-1.9020053752325822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1CC-4EFD-8EA1-0DBFFAFFC451}"/>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Hoja1!$A$2:$A$12</c:f>
              <c:strCache>
                <c:ptCount val="11"/>
                <c:pt idx="0">
                  <c:v>Comercio al por mayor y al por menor</c:v>
                </c:pt>
                <c:pt idx="1">
                  <c:v>Industrias manufactureras</c:v>
                </c:pt>
                <c:pt idx="2">
                  <c:v>Actividades financieras 
y de seguros</c:v>
                </c:pt>
                <c:pt idx="3">
                  <c:v>Información y comunicaciones</c:v>
                </c:pt>
                <c:pt idx="4">
                  <c:v>Actividades inmobiliarias</c:v>
                </c:pt>
                <c:pt idx="5">
                  <c:v>Actividades de servicios 
administrativos y de apoyo</c:v>
                </c:pt>
                <c:pt idx="6">
                  <c:v>Administración pública y defensa</c:v>
                </c:pt>
                <c:pt idx="7">
                  <c:v>Suministro de electricidad, gas, etc.</c:v>
                </c:pt>
                <c:pt idx="8">
                  <c:v>Transporte y almacenamiento</c:v>
                </c:pt>
                <c:pt idx="9">
                  <c:v>Actividades profesionales, 
científicas y técnicas</c:v>
                </c:pt>
                <c:pt idx="10">
                  <c:v>Agricultura, ganadería, 
silvicultura y pesca</c:v>
                </c:pt>
              </c:strCache>
            </c:strRef>
          </c:cat>
          <c:val>
            <c:numRef>
              <c:f>Hoja1!$B$2:$B$12</c:f>
              <c:numCache>
                <c:formatCode>#,##0.0</c:formatCode>
                <c:ptCount val="11"/>
                <c:pt idx="0">
                  <c:v>12.527671682568203</c:v>
                </c:pt>
                <c:pt idx="1">
                  <c:v>16.007895682151414</c:v>
                </c:pt>
                <c:pt idx="2">
                  <c:v>11.615189358616462</c:v>
                </c:pt>
                <c:pt idx="3">
                  <c:v>2.1721771475023202</c:v>
                </c:pt>
                <c:pt idx="4">
                  <c:v>8.6958760120211362</c:v>
                </c:pt>
                <c:pt idx="5">
                  <c:v>14.946283919859669</c:v>
                </c:pt>
                <c:pt idx="6">
                  <c:v>12.305486922363228</c:v>
                </c:pt>
                <c:pt idx="7">
                  <c:v>20.042549573777464</c:v>
                </c:pt>
                <c:pt idx="8">
                  <c:v>9.8049885450457399</c:v>
                </c:pt>
                <c:pt idx="9">
                  <c:v>23.813792769789202</c:v>
                </c:pt>
                <c:pt idx="10">
                  <c:v>-26.799586059455976</c:v>
                </c:pt>
              </c:numCache>
            </c:numRef>
          </c:val>
          <c:smooth val="1"/>
          <c:extLst>
            <c:ext xmlns:c16="http://schemas.microsoft.com/office/drawing/2014/chart" uri="{C3380CC4-5D6E-409C-BE32-E72D297353CC}">
              <c16:uniqueId val="{00000001-21CC-4EFD-8EA1-0DBFFAFFC451}"/>
            </c:ext>
          </c:extLst>
        </c:ser>
        <c:dLbls>
          <c:showLegendKey val="0"/>
          <c:showVal val="0"/>
          <c:showCatName val="0"/>
          <c:showSerName val="0"/>
          <c:showPercent val="0"/>
          <c:showBubbleSize val="0"/>
        </c:dLbls>
        <c:marker val="1"/>
        <c:smooth val="0"/>
        <c:axId val="378534863"/>
        <c:axId val="378539023"/>
      </c:lineChart>
      <c:catAx>
        <c:axId val="378534863"/>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800" b="1"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78539023"/>
        <c:crosses val="autoZero"/>
        <c:auto val="1"/>
        <c:lblAlgn val="ctr"/>
        <c:lblOffset val="100"/>
        <c:noMultiLvlLbl val="0"/>
      </c:catAx>
      <c:valAx>
        <c:axId val="378539023"/>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78534863"/>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03130598659759"/>
          <c:y val="0.12858191314736056"/>
          <c:w val="0.73127363316873528"/>
          <c:h val="0.69444049573191768"/>
        </c:manualLayout>
      </c:layout>
      <c:lineChart>
        <c:grouping val="standard"/>
        <c:varyColors val="0"/>
        <c:ser>
          <c:idx val="0"/>
          <c:order val="0"/>
          <c:tx>
            <c:strRef>
              <c:f>Hoja1!$B$1</c:f>
              <c:strCache>
                <c:ptCount val="1"/>
                <c:pt idx="0">
                  <c:v>Maiz</c:v>
                </c:pt>
              </c:strCache>
            </c:strRef>
          </c:tx>
          <c:spPr>
            <a:ln w="19050" cap="rnd">
              <a:solidFill>
                <a:schemeClr val="accent1"/>
              </a:solidFill>
              <a:round/>
            </a:ln>
            <a:effectLst/>
          </c:spPr>
          <c:marker>
            <c:symbol val="none"/>
          </c:marker>
          <c:dLbls>
            <c:dLbl>
              <c:idx val="495"/>
              <c:layout>
                <c:manualLayout>
                  <c:x val="-1.0695187165775532E-2"/>
                  <c:y val="-0.240740740740740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0E-439D-9880-896D3FFC2A28}"/>
                </c:ext>
              </c:extLst>
            </c:dLbl>
            <c:dLbl>
              <c:idx val="50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C0E-439D-9880-896D3FFC2A28}"/>
                </c:ext>
              </c:extLst>
            </c:dLbl>
            <c:dLbl>
              <c:idx val="50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0E-439D-9880-896D3FFC2A2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Hoja1!$A$2:$A$506</c:f>
              <c:numCache>
                <c:formatCode>m/d/yyyy</c:formatCode>
                <c:ptCount val="505"/>
                <c:pt idx="0">
                  <c:v>44564</c:v>
                </c:pt>
                <c:pt idx="1">
                  <c:v>44565</c:v>
                </c:pt>
                <c:pt idx="2">
                  <c:v>44566</c:v>
                </c:pt>
                <c:pt idx="3">
                  <c:v>44567</c:v>
                </c:pt>
                <c:pt idx="4">
                  <c:v>44568</c:v>
                </c:pt>
                <c:pt idx="5">
                  <c:v>44571</c:v>
                </c:pt>
                <c:pt idx="6">
                  <c:v>44572</c:v>
                </c:pt>
                <c:pt idx="7">
                  <c:v>44573</c:v>
                </c:pt>
                <c:pt idx="8">
                  <c:v>44574</c:v>
                </c:pt>
                <c:pt idx="9">
                  <c:v>44575</c:v>
                </c:pt>
                <c:pt idx="10">
                  <c:v>44579</c:v>
                </c:pt>
                <c:pt idx="11">
                  <c:v>44580</c:v>
                </c:pt>
                <c:pt idx="12">
                  <c:v>44581</c:v>
                </c:pt>
                <c:pt idx="13">
                  <c:v>44582</c:v>
                </c:pt>
                <c:pt idx="14">
                  <c:v>44585</c:v>
                </c:pt>
                <c:pt idx="15">
                  <c:v>44586</c:v>
                </c:pt>
                <c:pt idx="16">
                  <c:v>44587</c:v>
                </c:pt>
                <c:pt idx="17">
                  <c:v>44588</c:v>
                </c:pt>
                <c:pt idx="18">
                  <c:v>44589</c:v>
                </c:pt>
                <c:pt idx="19">
                  <c:v>44592</c:v>
                </c:pt>
                <c:pt idx="20">
                  <c:v>44593</c:v>
                </c:pt>
                <c:pt idx="21">
                  <c:v>44594</c:v>
                </c:pt>
                <c:pt idx="22">
                  <c:v>44595</c:v>
                </c:pt>
                <c:pt idx="23">
                  <c:v>44596</c:v>
                </c:pt>
                <c:pt idx="24">
                  <c:v>44599</c:v>
                </c:pt>
                <c:pt idx="25">
                  <c:v>44600</c:v>
                </c:pt>
                <c:pt idx="26">
                  <c:v>44601</c:v>
                </c:pt>
                <c:pt idx="27">
                  <c:v>44602</c:v>
                </c:pt>
                <c:pt idx="28">
                  <c:v>44603</c:v>
                </c:pt>
                <c:pt idx="29">
                  <c:v>44606</c:v>
                </c:pt>
                <c:pt idx="30">
                  <c:v>44607</c:v>
                </c:pt>
                <c:pt idx="31">
                  <c:v>44608</c:v>
                </c:pt>
                <c:pt idx="32">
                  <c:v>44609</c:v>
                </c:pt>
                <c:pt idx="33">
                  <c:v>44610</c:v>
                </c:pt>
                <c:pt idx="34">
                  <c:v>44614</c:v>
                </c:pt>
                <c:pt idx="35">
                  <c:v>44615</c:v>
                </c:pt>
                <c:pt idx="36">
                  <c:v>44616</c:v>
                </c:pt>
                <c:pt idx="37">
                  <c:v>44617</c:v>
                </c:pt>
                <c:pt idx="38">
                  <c:v>44620</c:v>
                </c:pt>
                <c:pt idx="39">
                  <c:v>44621</c:v>
                </c:pt>
                <c:pt idx="40">
                  <c:v>44622</c:v>
                </c:pt>
                <c:pt idx="41">
                  <c:v>44623</c:v>
                </c:pt>
                <c:pt idx="42">
                  <c:v>44624</c:v>
                </c:pt>
                <c:pt idx="43">
                  <c:v>44627</c:v>
                </c:pt>
                <c:pt idx="44">
                  <c:v>44628</c:v>
                </c:pt>
                <c:pt idx="45">
                  <c:v>44629</c:v>
                </c:pt>
                <c:pt idx="46">
                  <c:v>44630</c:v>
                </c:pt>
                <c:pt idx="47">
                  <c:v>44631</c:v>
                </c:pt>
                <c:pt idx="48">
                  <c:v>44634</c:v>
                </c:pt>
                <c:pt idx="49">
                  <c:v>44635</c:v>
                </c:pt>
                <c:pt idx="50">
                  <c:v>44636</c:v>
                </c:pt>
                <c:pt idx="51">
                  <c:v>44637</c:v>
                </c:pt>
                <c:pt idx="52">
                  <c:v>44638</c:v>
                </c:pt>
                <c:pt idx="53">
                  <c:v>44641</c:v>
                </c:pt>
                <c:pt idx="54">
                  <c:v>44642</c:v>
                </c:pt>
                <c:pt idx="55">
                  <c:v>44643</c:v>
                </c:pt>
                <c:pt idx="56">
                  <c:v>44644</c:v>
                </c:pt>
                <c:pt idx="57">
                  <c:v>44645</c:v>
                </c:pt>
                <c:pt idx="58">
                  <c:v>44648</c:v>
                </c:pt>
                <c:pt idx="59">
                  <c:v>44649</c:v>
                </c:pt>
                <c:pt idx="60">
                  <c:v>44650</c:v>
                </c:pt>
                <c:pt idx="61">
                  <c:v>44651</c:v>
                </c:pt>
                <c:pt idx="62">
                  <c:v>44652</c:v>
                </c:pt>
                <c:pt idx="63">
                  <c:v>44655</c:v>
                </c:pt>
                <c:pt idx="64">
                  <c:v>44656</c:v>
                </c:pt>
                <c:pt idx="65">
                  <c:v>44657</c:v>
                </c:pt>
                <c:pt idx="66">
                  <c:v>44658</c:v>
                </c:pt>
                <c:pt idx="67">
                  <c:v>44659</c:v>
                </c:pt>
                <c:pt idx="68">
                  <c:v>44662</c:v>
                </c:pt>
                <c:pt idx="69">
                  <c:v>44663</c:v>
                </c:pt>
                <c:pt idx="70">
                  <c:v>44664</c:v>
                </c:pt>
                <c:pt idx="71">
                  <c:v>44665</c:v>
                </c:pt>
                <c:pt idx="72">
                  <c:v>44669</c:v>
                </c:pt>
                <c:pt idx="73">
                  <c:v>44670</c:v>
                </c:pt>
                <c:pt idx="74">
                  <c:v>44671</c:v>
                </c:pt>
                <c:pt idx="75">
                  <c:v>44672</c:v>
                </c:pt>
                <c:pt idx="76">
                  <c:v>44673</c:v>
                </c:pt>
                <c:pt idx="77">
                  <c:v>44676</c:v>
                </c:pt>
                <c:pt idx="78">
                  <c:v>44677</c:v>
                </c:pt>
                <c:pt idx="79">
                  <c:v>44678</c:v>
                </c:pt>
                <c:pt idx="80">
                  <c:v>44679</c:v>
                </c:pt>
                <c:pt idx="81">
                  <c:v>44680</c:v>
                </c:pt>
                <c:pt idx="82">
                  <c:v>44683</c:v>
                </c:pt>
                <c:pt idx="83">
                  <c:v>44684</c:v>
                </c:pt>
                <c:pt idx="84">
                  <c:v>44685</c:v>
                </c:pt>
                <c:pt idx="85">
                  <c:v>44686</c:v>
                </c:pt>
                <c:pt idx="86">
                  <c:v>44687</c:v>
                </c:pt>
                <c:pt idx="87">
                  <c:v>44690</c:v>
                </c:pt>
                <c:pt idx="88">
                  <c:v>44691</c:v>
                </c:pt>
                <c:pt idx="89">
                  <c:v>44692</c:v>
                </c:pt>
                <c:pt idx="90">
                  <c:v>44693</c:v>
                </c:pt>
                <c:pt idx="91">
                  <c:v>44694</c:v>
                </c:pt>
                <c:pt idx="92">
                  <c:v>44697</c:v>
                </c:pt>
                <c:pt idx="93">
                  <c:v>44698</c:v>
                </c:pt>
                <c:pt idx="94">
                  <c:v>44699</c:v>
                </c:pt>
                <c:pt idx="95">
                  <c:v>44700</c:v>
                </c:pt>
                <c:pt idx="96">
                  <c:v>44701</c:v>
                </c:pt>
                <c:pt idx="97">
                  <c:v>44704</c:v>
                </c:pt>
                <c:pt idx="98">
                  <c:v>44705</c:v>
                </c:pt>
                <c:pt idx="99">
                  <c:v>44706</c:v>
                </c:pt>
                <c:pt idx="100">
                  <c:v>44707</c:v>
                </c:pt>
                <c:pt idx="101">
                  <c:v>44708</c:v>
                </c:pt>
                <c:pt idx="102">
                  <c:v>44712</c:v>
                </c:pt>
                <c:pt idx="103">
                  <c:v>44713</c:v>
                </c:pt>
                <c:pt idx="104">
                  <c:v>44714</c:v>
                </c:pt>
                <c:pt idx="105">
                  <c:v>44715</c:v>
                </c:pt>
                <c:pt idx="106">
                  <c:v>44718</c:v>
                </c:pt>
                <c:pt idx="107">
                  <c:v>44719</c:v>
                </c:pt>
                <c:pt idx="108">
                  <c:v>44720</c:v>
                </c:pt>
                <c:pt idx="109">
                  <c:v>44721</c:v>
                </c:pt>
                <c:pt idx="110">
                  <c:v>44722</c:v>
                </c:pt>
                <c:pt idx="111">
                  <c:v>44725</c:v>
                </c:pt>
                <c:pt idx="112">
                  <c:v>44726</c:v>
                </c:pt>
                <c:pt idx="113">
                  <c:v>44727</c:v>
                </c:pt>
                <c:pt idx="114">
                  <c:v>44728</c:v>
                </c:pt>
                <c:pt idx="115">
                  <c:v>44729</c:v>
                </c:pt>
                <c:pt idx="116">
                  <c:v>44733</c:v>
                </c:pt>
                <c:pt idx="117">
                  <c:v>44734</c:v>
                </c:pt>
                <c:pt idx="118">
                  <c:v>44735</c:v>
                </c:pt>
                <c:pt idx="119">
                  <c:v>44736</c:v>
                </c:pt>
                <c:pt idx="120">
                  <c:v>44739</c:v>
                </c:pt>
                <c:pt idx="121">
                  <c:v>44740</c:v>
                </c:pt>
                <c:pt idx="122">
                  <c:v>44741</c:v>
                </c:pt>
                <c:pt idx="123">
                  <c:v>44742</c:v>
                </c:pt>
                <c:pt idx="124">
                  <c:v>44743</c:v>
                </c:pt>
                <c:pt idx="125">
                  <c:v>44747</c:v>
                </c:pt>
                <c:pt idx="126">
                  <c:v>44748</c:v>
                </c:pt>
                <c:pt idx="127">
                  <c:v>44749</c:v>
                </c:pt>
                <c:pt idx="128">
                  <c:v>44750</c:v>
                </c:pt>
                <c:pt idx="129">
                  <c:v>44753</c:v>
                </c:pt>
                <c:pt idx="130">
                  <c:v>44754</c:v>
                </c:pt>
                <c:pt idx="131">
                  <c:v>44755</c:v>
                </c:pt>
                <c:pt idx="132">
                  <c:v>44756</c:v>
                </c:pt>
                <c:pt idx="133">
                  <c:v>44757</c:v>
                </c:pt>
                <c:pt idx="134">
                  <c:v>44760</c:v>
                </c:pt>
                <c:pt idx="135">
                  <c:v>44761</c:v>
                </c:pt>
                <c:pt idx="136">
                  <c:v>44762</c:v>
                </c:pt>
                <c:pt idx="137">
                  <c:v>44763</c:v>
                </c:pt>
                <c:pt idx="138">
                  <c:v>44764</c:v>
                </c:pt>
                <c:pt idx="139">
                  <c:v>44767</c:v>
                </c:pt>
                <c:pt idx="140">
                  <c:v>44768</c:v>
                </c:pt>
                <c:pt idx="141">
                  <c:v>44769</c:v>
                </c:pt>
                <c:pt idx="142">
                  <c:v>44770</c:v>
                </c:pt>
                <c:pt idx="143">
                  <c:v>44771</c:v>
                </c:pt>
                <c:pt idx="144">
                  <c:v>44774</c:v>
                </c:pt>
                <c:pt idx="145">
                  <c:v>44775</c:v>
                </c:pt>
                <c:pt idx="146">
                  <c:v>44776</c:v>
                </c:pt>
                <c:pt idx="147">
                  <c:v>44777</c:v>
                </c:pt>
                <c:pt idx="148">
                  <c:v>44778</c:v>
                </c:pt>
                <c:pt idx="149">
                  <c:v>44781</c:v>
                </c:pt>
                <c:pt idx="150">
                  <c:v>44782</c:v>
                </c:pt>
                <c:pt idx="151">
                  <c:v>44783</c:v>
                </c:pt>
                <c:pt idx="152">
                  <c:v>44784</c:v>
                </c:pt>
                <c:pt idx="153">
                  <c:v>44785</c:v>
                </c:pt>
                <c:pt idx="154">
                  <c:v>44788</c:v>
                </c:pt>
                <c:pt idx="155">
                  <c:v>44789</c:v>
                </c:pt>
                <c:pt idx="156">
                  <c:v>44790</c:v>
                </c:pt>
                <c:pt idx="157">
                  <c:v>44791</c:v>
                </c:pt>
                <c:pt idx="158">
                  <c:v>44792</c:v>
                </c:pt>
                <c:pt idx="159">
                  <c:v>44795</c:v>
                </c:pt>
                <c:pt idx="160">
                  <c:v>44796</c:v>
                </c:pt>
                <c:pt idx="161">
                  <c:v>44797</c:v>
                </c:pt>
                <c:pt idx="162">
                  <c:v>44798</c:v>
                </c:pt>
                <c:pt idx="163">
                  <c:v>44799</c:v>
                </c:pt>
                <c:pt idx="164">
                  <c:v>44802</c:v>
                </c:pt>
                <c:pt idx="165">
                  <c:v>44803</c:v>
                </c:pt>
                <c:pt idx="166">
                  <c:v>44804</c:v>
                </c:pt>
                <c:pt idx="167">
                  <c:v>44805</c:v>
                </c:pt>
                <c:pt idx="168">
                  <c:v>44806</c:v>
                </c:pt>
                <c:pt idx="169">
                  <c:v>44810</c:v>
                </c:pt>
                <c:pt idx="170">
                  <c:v>44811</c:v>
                </c:pt>
                <c:pt idx="171">
                  <c:v>44812</c:v>
                </c:pt>
                <c:pt idx="172">
                  <c:v>44813</c:v>
                </c:pt>
                <c:pt idx="173">
                  <c:v>44816</c:v>
                </c:pt>
                <c:pt idx="174">
                  <c:v>44817</c:v>
                </c:pt>
                <c:pt idx="175">
                  <c:v>44818</c:v>
                </c:pt>
                <c:pt idx="176">
                  <c:v>44819</c:v>
                </c:pt>
                <c:pt idx="177">
                  <c:v>44820</c:v>
                </c:pt>
                <c:pt idx="178">
                  <c:v>44823</c:v>
                </c:pt>
                <c:pt idx="179">
                  <c:v>44824</c:v>
                </c:pt>
                <c:pt idx="180">
                  <c:v>44825</c:v>
                </c:pt>
                <c:pt idx="181">
                  <c:v>44826</c:v>
                </c:pt>
                <c:pt idx="182">
                  <c:v>44827</c:v>
                </c:pt>
                <c:pt idx="183">
                  <c:v>44830</c:v>
                </c:pt>
                <c:pt idx="184">
                  <c:v>44831</c:v>
                </c:pt>
                <c:pt idx="185">
                  <c:v>44832</c:v>
                </c:pt>
                <c:pt idx="186">
                  <c:v>44833</c:v>
                </c:pt>
                <c:pt idx="187">
                  <c:v>44834</c:v>
                </c:pt>
                <c:pt idx="188">
                  <c:v>44837</c:v>
                </c:pt>
                <c:pt idx="189">
                  <c:v>44838</c:v>
                </c:pt>
                <c:pt idx="190">
                  <c:v>44839</c:v>
                </c:pt>
                <c:pt idx="191">
                  <c:v>44840</c:v>
                </c:pt>
                <c:pt idx="192">
                  <c:v>44841</c:v>
                </c:pt>
                <c:pt idx="193">
                  <c:v>44844</c:v>
                </c:pt>
                <c:pt idx="194">
                  <c:v>44845</c:v>
                </c:pt>
                <c:pt idx="195">
                  <c:v>44846</c:v>
                </c:pt>
                <c:pt idx="196">
                  <c:v>44847</c:v>
                </c:pt>
                <c:pt idx="197">
                  <c:v>44848</c:v>
                </c:pt>
                <c:pt idx="198">
                  <c:v>44851</c:v>
                </c:pt>
                <c:pt idx="199">
                  <c:v>44852</c:v>
                </c:pt>
                <c:pt idx="200">
                  <c:v>44853</c:v>
                </c:pt>
                <c:pt idx="201">
                  <c:v>44854</c:v>
                </c:pt>
                <c:pt idx="202">
                  <c:v>44855</c:v>
                </c:pt>
                <c:pt idx="203">
                  <c:v>44858</c:v>
                </c:pt>
                <c:pt idx="204">
                  <c:v>44859</c:v>
                </c:pt>
                <c:pt idx="205">
                  <c:v>44860</c:v>
                </c:pt>
                <c:pt idx="206">
                  <c:v>44861</c:v>
                </c:pt>
                <c:pt idx="207">
                  <c:v>44862</c:v>
                </c:pt>
                <c:pt idx="208">
                  <c:v>44865</c:v>
                </c:pt>
                <c:pt idx="209">
                  <c:v>44866</c:v>
                </c:pt>
                <c:pt idx="210">
                  <c:v>44867</c:v>
                </c:pt>
                <c:pt idx="211">
                  <c:v>44868</c:v>
                </c:pt>
                <c:pt idx="212">
                  <c:v>44869</c:v>
                </c:pt>
                <c:pt idx="213">
                  <c:v>44872</c:v>
                </c:pt>
                <c:pt idx="214">
                  <c:v>44873</c:v>
                </c:pt>
                <c:pt idx="215">
                  <c:v>44874</c:v>
                </c:pt>
                <c:pt idx="216">
                  <c:v>44875</c:v>
                </c:pt>
                <c:pt idx="217">
                  <c:v>44876</c:v>
                </c:pt>
                <c:pt idx="218">
                  <c:v>44879</c:v>
                </c:pt>
                <c:pt idx="219">
                  <c:v>44880</c:v>
                </c:pt>
                <c:pt idx="220">
                  <c:v>44881</c:v>
                </c:pt>
                <c:pt idx="221">
                  <c:v>44882</c:v>
                </c:pt>
                <c:pt idx="222">
                  <c:v>44883</c:v>
                </c:pt>
                <c:pt idx="223">
                  <c:v>44886</c:v>
                </c:pt>
                <c:pt idx="224">
                  <c:v>44887</c:v>
                </c:pt>
                <c:pt idx="225">
                  <c:v>44888</c:v>
                </c:pt>
                <c:pt idx="226">
                  <c:v>44890</c:v>
                </c:pt>
                <c:pt idx="227">
                  <c:v>44893</c:v>
                </c:pt>
                <c:pt idx="228">
                  <c:v>44894</c:v>
                </c:pt>
                <c:pt idx="229">
                  <c:v>44895</c:v>
                </c:pt>
                <c:pt idx="230">
                  <c:v>44896</c:v>
                </c:pt>
                <c:pt idx="231">
                  <c:v>44897</c:v>
                </c:pt>
                <c:pt idx="232">
                  <c:v>44900</c:v>
                </c:pt>
                <c:pt idx="233">
                  <c:v>44901</c:v>
                </c:pt>
                <c:pt idx="234">
                  <c:v>44902</c:v>
                </c:pt>
                <c:pt idx="235">
                  <c:v>44903</c:v>
                </c:pt>
                <c:pt idx="236">
                  <c:v>44904</c:v>
                </c:pt>
                <c:pt idx="237">
                  <c:v>44907</c:v>
                </c:pt>
                <c:pt idx="238">
                  <c:v>44908</c:v>
                </c:pt>
                <c:pt idx="239">
                  <c:v>44909</c:v>
                </c:pt>
                <c:pt idx="240">
                  <c:v>44910</c:v>
                </c:pt>
                <c:pt idx="241">
                  <c:v>44911</c:v>
                </c:pt>
                <c:pt idx="242">
                  <c:v>44914</c:v>
                </c:pt>
                <c:pt idx="243">
                  <c:v>44915</c:v>
                </c:pt>
                <c:pt idx="244">
                  <c:v>44916</c:v>
                </c:pt>
                <c:pt idx="245">
                  <c:v>44917</c:v>
                </c:pt>
                <c:pt idx="246">
                  <c:v>44918</c:v>
                </c:pt>
                <c:pt idx="247">
                  <c:v>44922</c:v>
                </c:pt>
                <c:pt idx="248">
                  <c:v>44923</c:v>
                </c:pt>
                <c:pt idx="249">
                  <c:v>44924</c:v>
                </c:pt>
                <c:pt idx="250">
                  <c:v>44925</c:v>
                </c:pt>
                <c:pt idx="251">
                  <c:v>44929</c:v>
                </c:pt>
                <c:pt idx="252">
                  <c:v>44930</c:v>
                </c:pt>
                <c:pt idx="253">
                  <c:v>44931</c:v>
                </c:pt>
                <c:pt idx="254">
                  <c:v>44932</c:v>
                </c:pt>
                <c:pt idx="255">
                  <c:v>44935</c:v>
                </c:pt>
                <c:pt idx="256">
                  <c:v>44936</c:v>
                </c:pt>
                <c:pt idx="257">
                  <c:v>44937</c:v>
                </c:pt>
                <c:pt idx="258">
                  <c:v>44938</c:v>
                </c:pt>
                <c:pt idx="259">
                  <c:v>44939</c:v>
                </c:pt>
                <c:pt idx="260">
                  <c:v>44943</c:v>
                </c:pt>
                <c:pt idx="261">
                  <c:v>44944</c:v>
                </c:pt>
                <c:pt idx="262">
                  <c:v>44945</c:v>
                </c:pt>
                <c:pt idx="263">
                  <c:v>44946</c:v>
                </c:pt>
                <c:pt idx="264">
                  <c:v>44949</c:v>
                </c:pt>
                <c:pt idx="265">
                  <c:v>44950</c:v>
                </c:pt>
                <c:pt idx="266">
                  <c:v>44951</c:v>
                </c:pt>
                <c:pt idx="267">
                  <c:v>44952</c:v>
                </c:pt>
                <c:pt idx="268">
                  <c:v>44953</c:v>
                </c:pt>
                <c:pt idx="269">
                  <c:v>44956</c:v>
                </c:pt>
                <c:pt idx="270">
                  <c:v>44957</c:v>
                </c:pt>
                <c:pt idx="271">
                  <c:v>44958</c:v>
                </c:pt>
                <c:pt idx="272">
                  <c:v>44959</c:v>
                </c:pt>
                <c:pt idx="273">
                  <c:v>44960</c:v>
                </c:pt>
                <c:pt idx="274">
                  <c:v>44963</c:v>
                </c:pt>
                <c:pt idx="275">
                  <c:v>44964</c:v>
                </c:pt>
                <c:pt idx="276">
                  <c:v>44965</c:v>
                </c:pt>
                <c:pt idx="277">
                  <c:v>44966</c:v>
                </c:pt>
                <c:pt idx="278">
                  <c:v>44967</c:v>
                </c:pt>
                <c:pt idx="279">
                  <c:v>44970</c:v>
                </c:pt>
                <c:pt idx="280">
                  <c:v>44971</c:v>
                </c:pt>
                <c:pt idx="281">
                  <c:v>44972</c:v>
                </c:pt>
                <c:pt idx="282">
                  <c:v>44973</c:v>
                </c:pt>
                <c:pt idx="283">
                  <c:v>44974</c:v>
                </c:pt>
                <c:pt idx="284">
                  <c:v>44978</c:v>
                </c:pt>
                <c:pt idx="285">
                  <c:v>44979</c:v>
                </c:pt>
                <c:pt idx="286">
                  <c:v>44980</c:v>
                </c:pt>
                <c:pt idx="287">
                  <c:v>44981</c:v>
                </c:pt>
                <c:pt idx="288">
                  <c:v>44984</c:v>
                </c:pt>
                <c:pt idx="289">
                  <c:v>44985</c:v>
                </c:pt>
                <c:pt idx="290">
                  <c:v>44986</c:v>
                </c:pt>
                <c:pt idx="291">
                  <c:v>44987</c:v>
                </c:pt>
                <c:pt idx="292">
                  <c:v>44988</c:v>
                </c:pt>
                <c:pt idx="293">
                  <c:v>44991</c:v>
                </c:pt>
                <c:pt idx="294">
                  <c:v>44992</c:v>
                </c:pt>
                <c:pt idx="295">
                  <c:v>44993</c:v>
                </c:pt>
                <c:pt idx="296">
                  <c:v>44994</c:v>
                </c:pt>
                <c:pt idx="297">
                  <c:v>44995</c:v>
                </c:pt>
                <c:pt idx="298">
                  <c:v>44998</c:v>
                </c:pt>
                <c:pt idx="299">
                  <c:v>44999</c:v>
                </c:pt>
                <c:pt idx="300">
                  <c:v>45000</c:v>
                </c:pt>
                <c:pt idx="301">
                  <c:v>45001</c:v>
                </c:pt>
                <c:pt idx="302">
                  <c:v>45002</c:v>
                </c:pt>
                <c:pt idx="303">
                  <c:v>45005</c:v>
                </c:pt>
                <c:pt idx="304">
                  <c:v>45006</c:v>
                </c:pt>
                <c:pt idx="305">
                  <c:v>45007</c:v>
                </c:pt>
                <c:pt idx="306">
                  <c:v>45008</c:v>
                </c:pt>
                <c:pt idx="307">
                  <c:v>45009</c:v>
                </c:pt>
                <c:pt idx="308">
                  <c:v>45012</c:v>
                </c:pt>
                <c:pt idx="309">
                  <c:v>45013</c:v>
                </c:pt>
                <c:pt idx="310">
                  <c:v>45014</c:v>
                </c:pt>
                <c:pt idx="311">
                  <c:v>45015</c:v>
                </c:pt>
                <c:pt idx="312">
                  <c:v>45016</c:v>
                </c:pt>
                <c:pt idx="313">
                  <c:v>45019</c:v>
                </c:pt>
                <c:pt idx="314">
                  <c:v>45020</c:v>
                </c:pt>
                <c:pt idx="315">
                  <c:v>45021</c:v>
                </c:pt>
                <c:pt idx="316">
                  <c:v>45022</c:v>
                </c:pt>
                <c:pt idx="317">
                  <c:v>45026</c:v>
                </c:pt>
                <c:pt idx="318">
                  <c:v>45027</c:v>
                </c:pt>
                <c:pt idx="319">
                  <c:v>45028</c:v>
                </c:pt>
                <c:pt idx="320">
                  <c:v>45029</c:v>
                </c:pt>
                <c:pt idx="321">
                  <c:v>45030</c:v>
                </c:pt>
                <c:pt idx="322">
                  <c:v>45033</c:v>
                </c:pt>
                <c:pt idx="323">
                  <c:v>45034</c:v>
                </c:pt>
                <c:pt idx="324">
                  <c:v>45035</c:v>
                </c:pt>
                <c:pt idx="325">
                  <c:v>45036</c:v>
                </c:pt>
                <c:pt idx="326">
                  <c:v>45037</c:v>
                </c:pt>
                <c:pt idx="327">
                  <c:v>45040</c:v>
                </c:pt>
                <c:pt idx="328">
                  <c:v>45041</c:v>
                </c:pt>
                <c:pt idx="329">
                  <c:v>45042</c:v>
                </c:pt>
                <c:pt idx="330">
                  <c:v>45043</c:v>
                </c:pt>
                <c:pt idx="331">
                  <c:v>45044</c:v>
                </c:pt>
                <c:pt idx="332">
                  <c:v>45047</c:v>
                </c:pt>
                <c:pt idx="333">
                  <c:v>45048</c:v>
                </c:pt>
                <c:pt idx="334">
                  <c:v>45049</c:v>
                </c:pt>
                <c:pt idx="335">
                  <c:v>45050</c:v>
                </c:pt>
                <c:pt idx="336">
                  <c:v>45051</c:v>
                </c:pt>
                <c:pt idx="337">
                  <c:v>45054</c:v>
                </c:pt>
                <c:pt idx="338">
                  <c:v>45055</c:v>
                </c:pt>
                <c:pt idx="339">
                  <c:v>45056</c:v>
                </c:pt>
                <c:pt idx="340">
                  <c:v>45057</c:v>
                </c:pt>
                <c:pt idx="341">
                  <c:v>45058</c:v>
                </c:pt>
                <c:pt idx="342">
                  <c:v>45061</c:v>
                </c:pt>
                <c:pt idx="343">
                  <c:v>45062</c:v>
                </c:pt>
                <c:pt idx="344">
                  <c:v>45063</c:v>
                </c:pt>
                <c:pt idx="345">
                  <c:v>45064</c:v>
                </c:pt>
                <c:pt idx="346">
                  <c:v>45065</c:v>
                </c:pt>
                <c:pt idx="347">
                  <c:v>45068</c:v>
                </c:pt>
                <c:pt idx="348">
                  <c:v>45069</c:v>
                </c:pt>
                <c:pt idx="349">
                  <c:v>45070</c:v>
                </c:pt>
                <c:pt idx="350">
                  <c:v>45071</c:v>
                </c:pt>
                <c:pt idx="351">
                  <c:v>45072</c:v>
                </c:pt>
                <c:pt idx="352">
                  <c:v>45076</c:v>
                </c:pt>
                <c:pt idx="353">
                  <c:v>45077</c:v>
                </c:pt>
                <c:pt idx="354">
                  <c:v>45078</c:v>
                </c:pt>
                <c:pt idx="355">
                  <c:v>45079</c:v>
                </c:pt>
                <c:pt idx="356">
                  <c:v>45082</c:v>
                </c:pt>
                <c:pt idx="357">
                  <c:v>45083</c:v>
                </c:pt>
                <c:pt idx="358">
                  <c:v>45084</c:v>
                </c:pt>
                <c:pt idx="359">
                  <c:v>45085</c:v>
                </c:pt>
                <c:pt idx="360">
                  <c:v>45086</c:v>
                </c:pt>
                <c:pt idx="361">
                  <c:v>45089</c:v>
                </c:pt>
                <c:pt idx="362">
                  <c:v>45090</c:v>
                </c:pt>
                <c:pt idx="363">
                  <c:v>45091</c:v>
                </c:pt>
                <c:pt idx="364">
                  <c:v>45092</c:v>
                </c:pt>
                <c:pt idx="365">
                  <c:v>45093</c:v>
                </c:pt>
                <c:pt idx="366">
                  <c:v>45097</c:v>
                </c:pt>
                <c:pt idx="367">
                  <c:v>45098</c:v>
                </c:pt>
                <c:pt idx="368">
                  <c:v>45099</c:v>
                </c:pt>
                <c:pt idx="369">
                  <c:v>45100</c:v>
                </c:pt>
                <c:pt idx="370">
                  <c:v>45103</c:v>
                </c:pt>
                <c:pt idx="371">
                  <c:v>45104</c:v>
                </c:pt>
                <c:pt idx="372">
                  <c:v>45105</c:v>
                </c:pt>
                <c:pt idx="373">
                  <c:v>45106</c:v>
                </c:pt>
                <c:pt idx="374">
                  <c:v>45107</c:v>
                </c:pt>
                <c:pt idx="375">
                  <c:v>45110</c:v>
                </c:pt>
                <c:pt idx="376">
                  <c:v>45112</c:v>
                </c:pt>
                <c:pt idx="377">
                  <c:v>45113</c:v>
                </c:pt>
                <c:pt idx="378">
                  <c:v>45114</c:v>
                </c:pt>
                <c:pt idx="379">
                  <c:v>45117</c:v>
                </c:pt>
                <c:pt idx="380">
                  <c:v>45118</c:v>
                </c:pt>
                <c:pt idx="381">
                  <c:v>45119</c:v>
                </c:pt>
                <c:pt idx="382">
                  <c:v>45120</c:v>
                </c:pt>
                <c:pt idx="383">
                  <c:v>45121</c:v>
                </c:pt>
                <c:pt idx="384">
                  <c:v>45124</c:v>
                </c:pt>
                <c:pt idx="385">
                  <c:v>45125</c:v>
                </c:pt>
                <c:pt idx="386">
                  <c:v>45126</c:v>
                </c:pt>
                <c:pt idx="387">
                  <c:v>45127</c:v>
                </c:pt>
                <c:pt idx="388">
                  <c:v>45128</c:v>
                </c:pt>
                <c:pt idx="389">
                  <c:v>45131</c:v>
                </c:pt>
                <c:pt idx="390">
                  <c:v>45132</c:v>
                </c:pt>
                <c:pt idx="391">
                  <c:v>45133</c:v>
                </c:pt>
                <c:pt idx="392">
                  <c:v>45134</c:v>
                </c:pt>
                <c:pt idx="393">
                  <c:v>45135</c:v>
                </c:pt>
                <c:pt idx="394">
                  <c:v>45138</c:v>
                </c:pt>
                <c:pt idx="395">
                  <c:v>45139</c:v>
                </c:pt>
                <c:pt idx="396">
                  <c:v>45140</c:v>
                </c:pt>
                <c:pt idx="397">
                  <c:v>45141</c:v>
                </c:pt>
                <c:pt idx="398">
                  <c:v>45142</c:v>
                </c:pt>
                <c:pt idx="399">
                  <c:v>45145</c:v>
                </c:pt>
                <c:pt idx="400">
                  <c:v>45146</c:v>
                </c:pt>
                <c:pt idx="401">
                  <c:v>45147</c:v>
                </c:pt>
                <c:pt idx="402">
                  <c:v>45148</c:v>
                </c:pt>
                <c:pt idx="403">
                  <c:v>45149</c:v>
                </c:pt>
                <c:pt idx="404">
                  <c:v>45152</c:v>
                </c:pt>
                <c:pt idx="405">
                  <c:v>45153</c:v>
                </c:pt>
                <c:pt idx="406">
                  <c:v>45154</c:v>
                </c:pt>
                <c:pt idx="407">
                  <c:v>45155</c:v>
                </c:pt>
                <c:pt idx="408">
                  <c:v>45156</c:v>
                </c:pt>
                <c:pt idx="409">
                  <c:v>45159</c:v>
                </c:pt>
                <c:pt idx="410">
                  <c:v>45160</c:v>
                </c:pt>
                <c:pt idx="411">
                  <c:v>45161</c:v>
                </c:pt>
                <c:pt idx="412">
                  <c:v>45162</c:v>
                </c:pt>
                <c:pt idx="413">
                  <c:v>45163</c:v>
                </c:pt>
                <c:pt idx="414">
                  <c:v>45166</c:v>
                </c:pt>
                <c:pt idx="415">
                  <c:v>45167</c:v>
                </c:pt>
                <c:pt idx="416">
                  <c:v>45168</c:v>
                </c:pt>
                <c:pt idx="417">
                  <c:v>45169</c:v>
                </c:pt>
                <c:pt idx="418">
                  <c:v>45170</c:v>
                </c:pt>
                <c:pt idx="419">
                  <c:v>45174</c:v>
                </c:pt>
                <c:pt idx="420">
                  <c:v>45175</c:v>
                </c:pt>
                <c:pt idx="421">
                  <c:v>45176</c:v>
                </c:pt>
                <c:pt idx="422">
                  <c:v>45177</c:v>
                </c:pt>
                <c:pt idx="423">
                  <c:v>45180</c:v>
                </c:pt>
                <c:pt idx="424">
                  <c:v>45181</c:v>
                </c:pt>
                <c:pt idx="425">
                  <c:v>45182</c:v>
                </c:pt>
                <c:pt idx="426">
                  <c:v>45183</c:v>
                </c:pt>
                <c:pt idx="427">
                  <c:v>45184</c:v>
                </c:pt>
                <c:pt idx="428">
                  <c:v>45187</c:v>
                </c:pt>
                <c:pt idx="429">
                  <c:v>45188</c:v>
                </c:pt>
                <c:pt idx="430">
                  <c:v>45189</c:v>
                </c:pt>
                <c:pt idx="431">
                  <c:v>45190</c:v>
                </c:pt>
                <c:pt idx="432">
                  <c:v>45191</c:v>
                </c:pt>
                <c:pt idx="433">
                  <c:v>45194</c:v>
                </c:pt>
                <c:pt idx="434">
                  <c:v>45195</c:v>
                </c:pt>
                <c:pt idx="435">
                  <c:v>45196</c:v>
                </c:pt>
                <c:pt idx="436">
                  <c:v>45197</c:v>
                </c:pt>
                <c:pt idx="437">
                  <c:v>45198</c:v>
                </c:pt>
                <c:pt idx="438">
                  <c:v>45201</c:v>
                </c:pt>
                <c:pt idx="439">
                  <c:v>45202</c:v>
                </c:pt>
                <c:pt idx="440">
                  <c:v>45203</c:v>
                </c:pt>
                <c:pt idx="441">
                  <c:v>45204</c:v>
                </c:pt>
                <c:pt idx="442">
                  <c:v>45205</c:v>
                </c:pt>
                <c:pt idx="443">
                  <c:v>45208</c:v>
                </c:pt>
                <c:pt idx="444">
                  <c:v>45209</c:v>
                </c:pt>
                <c:pt idx="445">
                  <c:v>45210</c:v>
                </c:pt>
                <c:pt idx="446">
                  <c:v>45211</c:v>
                </c:pt>
                <c:pt idx="447">
                  <c:v>45212</c:v>
                </c:pt>
                <c:pt idx="448">
                  <c:v>45215</c:v>
                </c:pt>
                <c:pt idx="449">
                  <c:v>45216</c:v>
                </c:pt>
                <c:pt idx="450">
                  <c:v>45217</c:v>
                </c:pt>
                <c:pt idx="451">
                  <c:v>45218</c:v>
                </c:pt>
                <c:pt idx="452">
                  <c:v>45219</c:v>
                </c:pt>
                <c:pt idx="453">
                  <c:v>45222</c:v>
                </c:pt>
                <c:pt idx="454">
                  <c:v>45223</c:v>
                </c:pt>
                <c:pt idx="455">
                  <c:v>45224</c:v>
                </c:pt>
                <c:pt idx="456">
                  <c:v>45225</c:v>
                </c:pt>
                <c:pt idx="457">
                  <c:v>45226</c:v>
                </c:pt>
                <c:pt idx="458">
                  <c:v>45229</c:v>
                </c:pt>
                <c:pt idx="459">
                  <c:v>45230</c:v>
                </c:pt>
                <c:pt idx="460">
                  <c:v>45231</c:v>
                </c:pt>
                <c:pt idx="461">
                  <c:v>45232</c:v>
                </c:pt>
                <c:pt idx="462">
                  <c:v>45233</c:v>
                </c:pt>
                <c:pt idx="463">
                  <c:v>45236</c:v>
                </c:pt>
                <c:pt idx="464">
                  <c:v>45237</c:v>
                </c:pt>
                <c:pt idx="465">
                  <c:v>45238</c:v>
                </c:pt>
                <c:pt idx="466">
                  <c:v>45239</c:v>
                </c:pt>
                <c:pt idx="467">
                  <c:v>45240</c:v>
                </c:pt>
                <c:pt idx="468">
                  <c:v>45243</c:v>
                </c:pt>
                <c:pt idx="469">
                  <c:v>45244</c:v>
                </c:pt>
                <c:pt idx="470">
                  <c:v>45245</c:v>
                </c:pt>
                <c:pt idx="471">
                  <c:v>45246</c:v>
                </c:pt>
                <c:pt idx="472">
                  <c:v>45247</c:v>
                </c:pt>
                <c:pt idx="473">
                  <c:v>45250</c:v>
                </c:pt>
                <c:pt idx="474">
                  <c:v>45251</c:v>
                </c:pt>
                <c:pt idx="475">
                  <c:v>45252</c:v>
                </c:pt>
                <c:pt idx="476">
                  <c:v>45254</c:v>
                </c:pt>
                <c:pt idx="477">
                  <c:v>45257</c:v>
                </c:pt>
                <c:pt idx="478">
                  <c:v>45258</c:v>
                </c:pt>
                <c:pt idx="479">
                  <c:v>45259</c:v>
                </c:pt>
                <c:pt idx="480">
                  <c:v>45260</c:v>
                </c:pt>
                <c:pt idx="481">
                  <c:v>45261</c:v>
                </c:pt>
                <c:pt idx="482">
                  <c:v>45264</c:v>
                </c:pt>
                <c:pt idx="483">
                  <c:v>45265</c:v>
                </c:pt>
                <c:pt idx="484">
                  <c:v>45266</c:v>
                </c:pt>
                <c:pt idx="485">
                  <c:v>45267</c:v>
                </c:pt>
                <c:pt idx="486">
                  <c:v>45268</c:v>
                </c:pt>
                <c:pt idx="487">
                  <c:v>45271</c:v>
                </c:pt>
                <c:pt idx="488">
                  <c:v>45272</c:v>
                </c:pt>
                <c:pt idx="489">
                  <c:v>45273</c:v>
                </c:pt>
                <c:pt idx="490">
                  <c:v>45274</c:v>
                </c:pt>
                <c:pt idx="491">
                  <c:v>45275</c:v>
                </c:pt>
                <c:pt idx="492">
                  <c:v>45278</c:v>
                </c:pt>
                <c:pt idx="493">
                  <c:v>45279</c:v>
                </c:pt>
                <c:pt idx="494">
                  <c:v>45280</c:v>
                </c:pt>
                <c:pt idx="495">
                  <c:v>45281</c:v>
                </c:pt>
                <c:pt idx="496">
                  <c:v>45282</c:v>
                </c:pt>
                <c:pt idx="497">
                  <c:v>45286</c:v>
                </c:pt>
                <c:pt idx="498">
                  <c:v>45287</c:v>
                </c:pt>
                <c:pt idx="499">
                  <c:v>45288</c:v>
                </c:pt>
                <c:pt idx="500">
                  <c:v>45289</c:v>
                </c:pt>
                <c:pt idx="501">
                  <c:v>45293</c:v>
                </c:pt>
                <c:pt idx="502">
                  <c:v>45294</c:v>
                </c:pt>
                <c:pt idx="503">
                  <c:v>45295</c:v>
                </c:pt>
                <c:pt idx="504">
                  <c:v>45296</c:v>
                </c:pt>
              </c:numCache>
            </c:numRef>
          </c:cat>
          <c:val>
            <c:numRef>
              <c:f>Hoja1!$B$2:$B$506</c:f>
              <c:numCache>
                <c:formatCode>General</c:formatCode>
                <c:ptCount val="505"/>
                <c:pt idx="0">
                  <c:v>589.25</c:v>
                </c:pt>
                <c:pt idx="1">
                  <c:v>609.5</c:v>
                </c:pt>
                <c:pt idx="2">
                  <c:v>602.25</c:v>
                </c:pt>
                <c:pt idx="3">
                  <c:v>603.75</c:v>
                </c:pt>
                <c:pt idx="4">
                  <c:v>606.75</c:v>
                </c:pt>
                <c:pt idx="5">
                  <c:v>599.75</c:v>
                </c:pt>
                <c:pt idx="6">
                  <c:v>601</c:v>
                </c:pt>
                <c:pt idx="7">
                  <c:v>599</c:v>
                </c:pt>
                <c:pt idx="8">
                  <c:v>587.5</c:v>
                </c:pt>
                <c:pt idx="9">
                  <c:v>596.25</c:v>
                </c:pt>
                <c:pt idx="10">
                  <c:v>599.5</c:v>
                </c:pt>
                <c:pt idx="11">
                  <c:v>610.5</c:v>
                </c:pt>
                <c:pt idx="12">
                  <c:v>611</c:v>
                </c:pt>
                <c:pt idx="13">
                  <c:v>616.25</c:v>
                </c:pt>
                <c:pt idx="14">
                  <c:v>621</c:v>
                </c:pt>
                <c:pt idx="15">
                  <c:v>620</c:v>
                </c:pt>
                <c:pt idx="16">
                  <c:v>627</c:v>
                </c:pt>
                <c:pt idx="17">
                  <c:v>625.25</c:v>
                </c:pt>
                <c:pt idx="18">
                  <c:v>636</c:v>
                </c:pt>
                <c:pt idx="19">
                  <c:v>626</c:v>
                </c:pt>
                <c:pt idx="20">
                  <c:v>634.75</c:v>
                </c:pt>
                <c:pt idx="21">
                  <c:v>622.5</c:v>
                </c:pt>
                <c:pt idx="22">
                  <c:v>616.75</c:v>
                </c:pt>
                <c:pt idx="23">
                  <c:v>620.5</c:v>
                </c:pt>
                <c:pt idx="24">
                  <c:v>635.25</c:v>
                </c:pt>
                <c:pt idx="25">
                  <c:v>632.25</c:v>
                </c:pt>
                <c:pt idx="26">
                  <c:v>646.75</c:v>
                </c:pt>
                <c:pt idx="27">
                  <c:v>641.75</c:v>
                </c:pt>
                <c:pt idx="28">
                  <c:v>651</c:v>
                </c:pt>
                <c:pt idx="29">
                  <c:v>655.75</c:v>
                </c:pt>
                <c:pt idx="30">
                  <c:v>638</c:v>
                </c:pt>
                <c:pt idx="31">
                  <c:v>647</c:v>
                </c:pt>
                <c:pt idx="32">
                  <c:v>650</c:v>
                </c:pt>
                <c:pt idx="33">
                  <c:v>654.25</c:v>
                </c:pt>
                <c:pt idx="34">
                  <c:v>674.75</c:v>
                </c:pt>
                <c:pt idx="35">
                  <c:v>683.75</c:v>
                </c:pt>
                <c:pt idx="36">
                  <c:v>695</c:v>
                </c:pt>
                <c:pt idx="37">
                  <c:v>659.5</c:v>
                </c:pt>
                <c:pt idx="38">
                  <c:v>697.5</c:v>
                </c:pt>
                <c:pt idx="39">
                  <c:v>739.75</c:v>
                </c:pt>
                <c:pt idx="40">
                  <c:v>739</c:v>
                </c:pt>
                <c:pt idx="41">
                  <c:v>751.25</c:v>
                </c:pt>
                <c:pt idx="42">
                  <c:v>756.5</c:v>
                </c:pt>
                <c:pt idx="43">
                  <c:v>749.25</c:v>
                </c:pt>
                <c:pt idx="44">
                  <c:v>754.5</c:v>
                </c:pt>
                <c:pt idx="45">
                  <c:v>735</c:v>
                </c:pt>
                <c:pt idx="46">
                  <c:v>757.75</c:v>
                </c:pt>
                <c:pt idx="47">
                  <c:v>764.5</c:v>
                </c:pt>
                <c:pt idx="48">
                  <c:v>728.25</c:v>
                </c:pt>
                <c:pt idx="49">
                  <c:v>758</c:v>
                </c:pt>
                <c:pt idx="50">
                  <c:v>730</c:v>
                </c:pt>
                <c:pt idx="51">
                  <c:v>754.5</c:v>
                </c:pt>
                <c:pt idx="52">
                  <c:v>741.75</c:v>
                </c:pt>
                <c:pt idx="53">
                  <c:v>756.25</c:v>
                </c:pt>
                <c:pt idx="54">
                  <c:v>753</c:v>
                </c:pt>
                <c:pt idx="55">
                  <c:v>757.75</c:v>
                </c:pt>
                <c:pt idx="56">
                  <c:v>748.25</c:v>
                </c:pt>
                <c:pt idx="57">
                  <c:v>754</c:v>
                </c:pt>
                <c:pt idx="58">
                  <c:v>748.5</c:v>
                </c:pt>
                <c:pt idx="59">
                  <c:v>726.25</c:v>
                </c:pt>
                <c:pt idx="60">
                  <c:v>738</c:v>
                </c:pt>
                <c:pt idx="61">
                  <c:v>748.75</c:v>
                </c:pt>
                <c:pt idx="62">
                  <c:v>735</c:v>
                </c:pt>
                <c:pt idx="63">
                  <c:v>750.5</c:v>
                </c:pt>
                <c:pt idx="64">
                  <c:v>759.75</c:v>
                </c:pt>
                <c:pt idx="65">
                  <c:v>756.5</c:v>
                </c:pt>
                <c:pt idx="66">
                  <c:v>757.75</c:v>
                </c:pt>
                <c:pt idx="67">
                  <c:v>768.75</c:v>
                </c:pt>
                <c:pt idx="68">
                  <c:v>764.5</c:v>
                </c:pt>
                <c:pt idx="69">
                  <c:v>776.25</c:v>
                </c:pt>
                <c:pt idx="70">
                  <c:v>783.5</c:v>
                </c:pt>
                <c:pt idx="71">
                  <c:v>790.25</c:v>
                </c:pt>
                <c:pt idx="72">
                  <c:v>813.25</c:v>
                </c:pt>
                <c:pt idx="73">
                  <c:v>804</c:v>
                </c:pt>
                <c:pt idx="74">
                  <c:v>815.75</c:v>
                </c:pt>
                <c:pt idx="75">
                  <c:v>799.25</c:v>
                </c:pt>
                <c:pt idx="76">
                  <c:v>793</c:v>
                </c:pt>
                <c:pt idx="77">
                  <c:v>800.25</c:v>
                </c:pt>
                <c:pt idx="78">
                  <c:v>803.25</c:v>
                </c:pt>
                <c:pt idx="79">
                  <c:v>815.5</c:v>
                </c:pt>
                <c:pt idx="80">
                  <c:v>816</c:v>
                </c:pt>
                <c:pt idx="81">
                  <c:v>818.25</c:v>
                </c:pt>
                <c:pt idx="82">
                  <c:v>813</c:v>
                </c:pt>
                <c:pt idx="83">
                  <c:v>800.75</c:v>
                </c:pt>
                <c:pt idx="84">
                  <c:v>798.5</c:v>
                </c:pt>
                <c:pt idx="85">
                  <c:v>803.75</c:v>
                </c:pt>
                <c:pt idx="86">
                  <c:v>792.25</c:v>
                </c:pt>
                <c:pt idx="87">
                  <c:v>784.5</c:v>
                </c:pt>
                <c:pt idx="88">
                  <c:v>786.5</c:v>
                </c:pt>
                <c:pt idx="89">
                  <c:v>802.25</c:v>
                </c:pt>
                <c:pt idx="90">
                  <c:v>813.5</c:v>
                </c:pt>
                <c:pt idx="91">
                  <c:v>794.5</c:v>
                </c:pt>
                <c:pt idx="92">
                  <c:v>809.5</c:v>
                </c:pt>
                <c:pt idx="93">
                  <c:v>800.75</c:v>
                </c:pt>
                <c:pt idx="94">
                  <c:v>781.5</c:v>
                </c:pt>
                <c:pt idx="95">
                  <c:v>783.25</c:v>
                </c:pt>
                <c:pt idx="96">
                  <c:v>778.75</c:v>
                </c:pt>
                <c:pt idx="97">
                  <c:v>786.25</c:v>
                </c:pt>
                <c:pt idx="98">
                  <c:v>771.75</c:v>
                </c:pt>
                <c:pt idx="99">
                  <c:v>772.25</c:v>
                </c:pt>
                <c:pt idx="100">
                  <c:v>765</c:v>
                </c:pt>
                <c:pt idx="101">
                  <c:v>777.25</c:v>
                </c:pt>
                <c:pt idx="102">
                  <c:v>753.5</c:v>
                </c:pt>
                <c:pt idx="103">
                  <c:v>731.25</c:v>
                </c:pt>
                <c:pt idx="104">
                  <c:v>730.25</c:v>
                </c:pt>
                <c:pt idx="105">
                  <c:v>727</c:v>
                </c:pt>
                <c:pt idx="106">
                  <c:v>742.5</c:v>
                </c:pt>
                <c:pt idx="107">
                  <c:v>757</c:v>
                </c:pt>
                <c:pt idx="108">
                  <c:v>764.5</c:v>
                </c:pt>
                <c:pt idx="109">
                  <c:v>773</c:v>
                </c:pt>
                <c:pt idx="110">
                  <c:v>773.25</c:v>
                </c:pt>
                <c:pt idx="111">
                  <c:v>769.25</c:v>
                </c:pt>
                <c:pt idx="112">
                  <c:v>768.25</c:v>
                </c:pt>
                <c:pt idx="113">
                  <c:v>774</c:v>
                </c:pt>
                <c:pt idx="114">
                  <c:v>788.25</c:v>
                </c:pt>
                <c:pt idx="115">
                  <c:v>784.5</c:v>
                </c:pt>
                <c:pt idx="116">
                  <c:v>760.75</c:v>
                </c:pt>
                <c:pt idx="117">
                  <c:v>768</c:v>
                </c:pt>
                <c:pt idx="118">
                  <c:v>746.75</c:v>
                </c:pt>
                <c:pt idx="119">
                  <c:v>750.25</c:v>
                </c:pt>
                <c:pt idx="120">
                  <c:v>744.25</c:v>
                </c:pt>
                <c:pt idx="121">
                  <c:v>759.5</c:v>
                </c:pt>
                <c:pt idx="122">
                  <c:v>770.25</c:v>
                </c:pt>
                <c:pt idx="123">
                  <c:v>743.75</c:v>
                </c:pt>
                <c:pt idx="124">
                  <c:v>754.5</c:v>
                </c:pt>
                <c:pt idx="125">
                  <c:v>736</c:v>
                </c:pt>
                <c:pt idx="126">
                  <c:v>744.25</c:v>
                </c:pt>
                <c:pt idx="127">
                  <c:v>747</c:v>
                </c:pt>
                <c:pt idx="128">
                  <c:v>778.25</c:v>
                </c:pt>
                <c:pt idx="129">
                  <c:v>781.25</c:v>
                </c:pt>
                <c:pt idx="130">
                  <c:v>732.75</c:v>
                </c:pt>
                <c:pt idx="131">
                  <c:v>740</c:v>
                </c:pt>
                <c:pt idx="132">
                  <c:v>695</c:v>
                </c:pt>
                <c:pt idx="133">
                  <c:v>604.25</c:v>
                </c:pt>
                <c:pt idx="134">
                  <c:v>612.25</c:v>
                </c:pt>
                <c:pt idx="135">
                  <c:v>596.75</c:v>
                </c:pt>
                <c:pt idx="136">
                  <c:v>592.25</c:v>
                </c:pt>
                <c:pt idx="137">
                  <c:v>575.75</c:v>
                </c:pt>
                <c:pt idx="138">
                  <c:v>564.25</c:v>
                </c:pt>
                <c:pt idx="139">
                  <c:v>580</c:v>
                </c:pt>
                <c:pt idx="140">
                  <c:v>597</c:v>
                </c:pt>
                <c:pt idx="141">
                  <c:v>600.25</c:v>
                </c:pt>
                <c:pt idx="142">
                  <c:v>615</c:v>
                </c:pt>
                <c:pt idx="143">
                  <c:v>616.25</c:v>
                </c:pt>
                <c:pt idx="144">
                  <c:v>607</c:v>
                </c:pt>
                <c:pt idx="145">
                  <c:v>591.25</c:v>
                </c:pt>
                <c:pt idx="146">
                  <c:v>591.5</c:v>
                </c:pt>
                <c:pt idx="147">
                  <c:v>602.25</c:v>
                </c:pt>
                <c:pt idx="148">
                  <c:v>610.25</c:v>
                </c:pt>
                <c:pt idx="149">
                  <c:v>608.5</c:v>
                </c:pt>
                <c:pt idx="150">
                  <c:v>615.5</c:v>
                </c:pt>
                <c:pt idx="151">
                  <c:v>621.25</c:v>
                </c:pt>
                <c:pt idx="152">
                  <c:v>629.25</c:v>
                </c:pt>
                <c:pt idx="153">
                  <c:v>639.75</c:v>
                </c:pt>
                <c:pt idx="154">
                  <c:v>626.75</c:v>
                </c:pt>
                <c:pt idx="155">
                  <c:v>611</c:v>
                </c:pt>
                <c:pt idx="156">
                  <c:v>615</c:v>
                </c:pt>
                <c:pt idx="157">
                  <c:v>619.75</c:v>
                </c:pt>
                <c:pt idx="158">
                  <c:v>626</c:v>
                </c:pt>
                <c:pt idx="159">
                  <c:v>633.5</c:v>
                </c:pt>
                <c:pt idx="160">
                  <c:v>660</c:v>
                </c:pt>
                <c:pt idx="161">
                  <c:v>665.75</c:v>
                </c:pt>
                <c:pt idx="162">
                  <c:v>657.5</c:v>
                </c:pt>
                <c:pt idx="163">
                  <c:v>668.75</c:v>
                </c:pt>
                <c:pt idx="164">
                  <c:v>683.75</c:v>
                </c:pt>
                <c:pt idx="165">
                  <c:v>679.75</c:v>
                </c:pt>
                <c:pt idx="166">
                  <c:v>673.75</c:v>
                </c:pt>
                <c:pt idx="167">
                  <c:v>658.25</c:v>
                </c:pt>
                <c:pt idx="168">
                  <c:v>669</c:v>
                </c:pt>
                <c:pt idx="169">
                  <c:v>680.75</c:v>
                </c:pt>
                <c:pt idx="170">
                  <c:v>676.75</c:v>
                </c:pt>
                <c:pt idx="171">
                  <c:v>674.5</c:v>
                </c:pt>
                <c:pt idx="172">
                  <c:v>698.5</c:v>
                </c:pt>
                <c:pt idx="173">
                  <c:v>712.25</c:v>
                </c:pt>
                <c:pt idx="174">
                  <c:v>709</c:v>
                </c:pt>
                <c:pt idx="175">
                  <c:v>709</c:v>
                </c:pt>
                <c:pt idx="176">
                  <c:v>677.5</c:v>
                </c:pt>
                <c:pt idx="177">
                  <c:v>677.25</c:v>
                </c:pt>
                <c:pt idx="178">
                  <c:v>678.25</c:v>
                </c:pt>
                <c:pt idx="179">
                  <c:v>692</c:v>
                </c:pt>
                <c:pt idx="180">
                  <c:v>685.5</c:v>
                </c:pt>
                <c:pt idx="181">
                  <c:v>688.25</c:v>
                </c:pt>
                <c:pt idx="182">
                  <c:v>676.75</c:v>
                </c:pt>
                <c:pt idx="183">
                  <c:v>666.25</c:v>
                </c:pt>
                <c:pt idx="184">
                  <c:v>667.5</c:v>
                </c:pt>
                <c:pt idx="185">
                  <c:v>670.5</c:v>
                </c:pt>
                <c:pt idx="186">
                  <c:v>669.5</c:v>
                </c:pt>
                <c:pt idx="187">
                  <c:v>677.5</c:v>
                </c:pt>
                <c:pt idx="188">
                  <c:v>680.75</c:v>
                </c:pt>
                <c:pt idx="189">
                  <c:v>683</c:v>
                </c:pt>
                <c:pt idx="190">
                  <c:v>684</c:v>
                </c:pt>
                <c:pt idx="191">
                  <c:v>675.5</c:v>
                </c:pt>
                <c:pt idx="192">
                  <c:v>683.25</c:v>
                </c:pt>
                <c:pt idx="193">
                  <c:v>698.25</c:v>
                </c:pt>
                <c:pt idx="194">
                  <c:v>693</c:v>
                </c:pt>
                <c:pt idx="195">
                  <c:v>693</c:v>
                </c:pt>
                <c:pt idx="196">
                  <c:v>697.75</c:v>
                </c:pt>
                <c:pt idx="197">
                  <c:v>689.75</c:v>
                </c:pt>
                <c:pt idx="198">
                  <c:v>683.5</c:v>
                </c:pt>
                <c:pt idx="199">
                  <c:v>681</c:v>
                </c:pt>
                <c:pt idx="200">
                  <c:v>678.25</c:v>
                </c:pt>
                <c:pt idx="201">
                  <c:v>684</c:v>
                </c:pt>
                <c:pt idx="202">
                  <c:v>684.25</c:v>
                </c:pt>
                <c:pt idx="203">
                  <c:v>681.5</c:v>
                </c:pt>
                <c:pt idx="204">
                  <c:v>686.25</c:v>
                </c:pt>
                <c:pt idx="205">
                  <c:v>685</c:v>
                </c:pt>
                <c:pt idx="206">
                  <c:v>682.25</c:v>
                </c:pt>
                <c:pt idx="207">
                  <c:v>680.75</c:v>
                </c:pt>
                <c:pt idx="208">
                  <c:v>691.5</c:v>
                </c:pt>
                <c:pt idx="209">
                  <c:v>697.75</c:v>
                </c:pt>
                <c:pt idx="210">
                  <c:v>687.5</c:v>
                </c:pt>
                <c:pt idx="211">
                  <c:v>679.25</c:v>
                </c:pt>
                <c:pt idx="212">
                  <c:v>681</c:v>
                </c:pt>
                <c:pt idx="213">
                  <c:v>675.75</c:v>
                </c:pt>
                <c:pt idx="214">
                  <c:v>667.5</c:v>
                </c:pt>
                <c:pt idx="215">
                  <c:v>664.5</c:v>
                </c:pt>
                <c:pt idx="216">
                  <c:v>653.25</c:v>
                </c:pt>
                <c:pt idx="217">
                  <c:v>658</c:v>
                </c:pt>
                <c:pt idx="218">
                  <c:v>657.25</c:v>
                </c:pt>
                <c:pt idx="219">
                  <c:v>666.75</c:v>
                </c:pt>
                <c:pt idx="220">
                  <c:v>665.25</c:v>
                </c:pt>
                <c:pt idx="221">
                  <c:v>667.5</c:v>
                </c:pt>
                <c:pt idx="222">
                  <c:v>667.75</c:v>
                </c:pt>
                <c:pt idx="223">
                  <c:v>659.5</c:v>
                </c:pt>
                <c:pt idx="224">
                  <c:v>656.75</c:v>
                </c:pt>
                <c:pt idx="225">
                  <c:v>663.25</c:v>
                </c:pt>
                <c:pt idx="226">
                  <c:v>668</c:v>
                </c:pt>
                <c:pt idx="227">
                  <c:v>668.75</c:v>
                </c:pt>
                <c:pt idx="228">
                  <c:v>665.75</c:v>
                </c:pt>
                <c:pt idx="229">
                  <c:v>662</c:v>
                </c:pt>
                <c:pt idx="230">
                  <c:v>650</c:v>
                </c:pt>
                <c:pt idx="231">
                  <c:v>635</c:v>
                </c:pt>
                <c:pt idx="232">
                  <c:v>628.75</c:v>
                </c:pt>
                <c:pt idx="233">
                  <c:v>625.5</c:v>
                </c:pt>
                <c:pt idx="234">
                  <c:v>627.75</c:v>
                </c:pt>
                <c:pt idx="235">
                  <c:v>632</c:v>
                </c:pt>
                <c:pt idx="236">
                  <c:v>634.75</c:v>
                </c:pt>
                <c:pt idx="237">
                  <c:v>641.25</c:v>
                </c:pt>
                <c:pt idx="238">
                  <c:v>643.75</c:v>
                </c:pt>
                <c:pt idx="239">
                  <c:v>639</c:v>
                </c:pt>
                <c:pt idx="240">
                  <c:v>653.5</c:v>
                </c:pt>
                <c:pt idx="241">
                  <c:v>653</c:v>
                </c:pt>
                <c:pt idx="242">
                  <c:v>647.25</c:v>
                </c:pt>
                <c:pt idx="243">
                  <c:v>652</c:v>
                </c:pt>
                <c:pt idx="244">
                  <c:v>662.25</c:v>
                </c:pt>
                <c:pt idx="245">
                  <c:v>660.5</c:v>
                </c:pt>
                <c:pt idx="246">
                  <c:v>666.25</c:v>
                </c:pt>
                <c:pt idx="247">
                  <c:v>674.75</c:v>
                </c:pt>
                <c:pt idx="248">
                  <c:v>682.75</c:v>
                </c:pt>
                <c:pt idx="249">
                  <c:v>679.5</c:v>
                </c:pt>
                <c:pt idx="250">
                  <c:v>678.5</c:v>
                </c:pt>
                <c:pt idx="251">
                  <c:v>670.5</c:v>
                </c:pt>
                <c:pt idx="252">
                  <c:v>653.75</c:v>
                </c:pt>
                <c:pt idx="253">
                  <c:v>652.75</c:v>
                </c:pt>
                <c:pt idx="254">
                  <c:v>654</c:v>
                </c:pt>
                <c:pt idx="255">
                  <c:v>652.75</c:v>
                </c:pt>
                <c:pt idx="256">
                  <c:v>655</c:v>
                </c:pt>
                <c:pt idx="257">
                  <c:v>656</c:v>
                </c:pt>
                <c:pt idx="258">
                  <c:v>671</c:v>
                </c:pt>
                <c:pt idx="259">
                  <c:v>675</c:v>
                </c:pt>
                <c:pt idx="260">
                  <c:v>685.25</c:v>
                </c:pt>
                <c:pt idx="261">
                  <c:v>681.25</c:v>
                </c:pt>
                <c:pt idx="262">
                  <c:v>677.25</c:v>
                </c:pt>
                <c:pt idx="263">
                  <c:v>676.25</c:v>
                </c:pt>
                <c:pt idx="264">
                  <c:v>666.25</c:v>
                </c:pt>
                <c:pt idx="265">
                  <c:v>677</c:v>
                </c:pt>
                <c:pt idx="266">
                  <c:v>674.75</c:v>
                </c:pt>
                <c:pt idx="267">
                  <c:v>682.5</c:v>
                </c:pt>
                <c:pt idx="268">
                  <c:v>683</c:v>
                </c:pt>
                <c:pt idx="269">
                  <c:v>683.75</c:v>
                </c:pt>
                <c:pt idx="270">
                  <c:v>679.75</c:v>
                </c:pt>
                <c:pt idx="271">
                  <c:v>681</c:v>
                </c:pt>
                <c:pt idx="272">
                  <c:v>675.25</c:v>
                </c:pt>
                <c:pt idx="273">
                  <c:v>677.5</c:v>
                </c:pt>
                <c:pt idx="274">
                  <c:v>679</c:v>
                </c:pt>
                <c:pt idx="275">
                  <c:v>674</c:v>
                </c:pt>
                <c:pt idx="276">
                  <c:v>678.5</c:v>
                </c:pt>
                <c:pt idx="277">
                  <c:v>670.75</c:v>
                </c:pt>
                <c:pt idx="278">
                  <c:v>680.5</c:v>
                </c:pt>
                <c:pt idx="279">
                  <c:v>685</c:v>
                </c:pt>
                <c:pt idx="280">
                  <c:v>682.25</c:v>
                </c:pt>
                <c:pt idx="281">
                  <c:v>676.25</c:v>
                </c:pt>
                <c:pt idx="282">
                  <c:v>676</c:v>
                </c:pt>
                <c:pt idx="283">
                  <c:v>677.75</c:v>
                </c:pt>
                <c:pt idx="284">
                  <c:v>680.5</c:v>
                </c:pt>
                <c:pt idx="285">
                  <c:v>674</c:v>
                </c:pt>
                <c:pt idx="286">
                  <c:v>660.25</c:v>
                </c:pt>
                <c:pt idx="287">
                  <c:v>650</c:v>
                </c:pt>
                <c:pt idx="288">
                  <c:v>642.75</c:v>
                </c:pt>
                <c:pt idx="289">
                  <c:v>629.5</c:v>
                </c:pt>
                <c:pt idx="290">
                  <c:v>640.5</c:v>
                </c:pt>
                <c:pt idx="291">
                  <c:v>637.75</c:v>
                </c:pt>
                <c:pt idx="292">
                  <c:v>645.25</c:v>
                </c:pt>
                <c:pt idx="293">
                  <c:v>644.5</c:v>
                </c:pt>
                <c:pt idx="294">
                  <c:v>642</c:v>
                </c:pt>
                <c:pt idx="295">
                  <c:v>634.5</c:v>
                </c:pt>
                <c:pt idx="296">
                  <c:v>618.5</c:v>
                </c:pt>
                <c:pt idx="297">
                  <c:v>624.25</c:v>
                </c:pt>
                <c:pt idx="298">
                  <c:v>624.5</c:v>
                </c:pt>
                <c:pt idx="299">
                  <c:v>627.5</c:v>
                </c:pt>
                <c:pt idx="300">
                  <c:v>626.5</c:v>
                </c:pt>
                <c:pt idx="301">
                  <c:v>632.75</c:v>
                </c:pt>
                <c:pt idx="302">
                  <c:v>634.25</c:v>
                </c:pt>
                <c:pt idx="303">
                  <c:v>633</c:v>
                </c:pt>
                <c:pt idx="304">
                  <c:v>630</c:v>
                </c:pt>
                <c:pt idx="305">
                  <c:v>633.5</c:v>
                </c:pt>
                <c:pt idx="306">
                  <c:v>631.75</c:v>
                </c:pt>
                <c:pt idx="307">
                  <c:v>643</c:v>
                </c:pt>
                <c:pt idx="308">
                  <c:v>648.25</c:v>
                </c:pt>
                <c:pt idx="309">
                  <c:v>647.25</c:v>
                </c:pt>
                <c:pt idx="310">
                  <c:v>650.5</c:v>
                </c:pt>
                <c:pt idx="311">
                  <c:v>649.5</c:v>
                </c:pt>
                <c:pt idx="312">
                  <c:v>660.5</c:v>
                </c:pt>
                <c:pt idx="313">
                  <c:v>657.75</c:v>
                </c:pt>
                <c:pt idx="314">
                  <c:v>653.75</c:v>
                </c:pt>
                <c:pt idx="315">
                  <c:v>652.75</c:v>
                </c:pt>
                <c:pt idx="316">
                  <c:v>643.5</c:v>
                </c:pt>
                <c:pt idx="317">
                  <c:v>654</c:v>
                </c:pt>
                <c:pt idx="318">
                  <c:v>651</c:v>
                </c:pt>
                <c:pt idx="319">
                  <c:v>656</c:v>
                </c:pt>
                <c:pt idx="320">
                  <c:v>652.25</c:v>
                </c:pt>
                <c:pt idx="321">
                  <c:v>666.25</c:v>
                </c:pt>
                <c:pt idx="322">
                  <c:v>676.5</c:v>
                </c:pt>
                <c:pt idx="323">
                  <c:v>677.5</c:v>
                </c:pt>
                <c:pt idx="324">
                  <c:v>672.25</c:v>
                </c:pt>
                <c:pt idx="325">
                  <c:v>663.75</c:v>
                </c:pt>
                <c:pt idx="326">
                  <c:v>663.25</c:v>
                </c:pt>
                <c:pt idx="327">
                  <c:v>651.25</c:v>
                </c:pt>
                <c:pt idx="328">
                  <c:v>646.5</c:v>
                </c:pt>
                <c:pt idx="329">
                  <c:v>641.5</c:v>
                </c:pt>
                <c:pt idx="330">
                  <c:v>627</c:v>
                </c:pt>
                <c:pt idx="331">
                  <c:v>636</c:v>
                </c:pt>
                <c:pt idx="332">
                  <c:v>639.5</c:v>
                </c:pt>
                <c:pt idx="333">
                  <c:v>638</c:v>
                </c:pt>
                <c:pt idx="334">
                  <c:v>645.25</c:v>
                </c:pt>
                <c:pt idx="335">
                  <c:v>646.5</c:v>
                </c:pt>
                <c:pt idx="336">
                  <c:v>653.25</c:v>
                </c:pt>
                <c:pt idx="337">
                  <c:v>656.5</c:v>
                </c:pt>
                <c:pt idx="338">
                  <c:v>642.25</c:v>
                </c:pt>
                <c:pt idx="339">
                  <c:v>645.5</c:v>
                </c:pt>
                <c:pt idx="340">
                  <c:v>632.5</c:v>
                </c:pt>
                <c:pt idx="341">
                  <c:v>633.25</c:v>
                </c:pt>
                <c:pt idx="342">
                  <c:v>592.5</c:v>
                </c:pt>
                <c:pt idx="343">
                  <c:v>581.25</c:v>
                </c:pt>
                <c:pt idx="344">
                  <c:v>561.5</c:v>
                </c:pt>
                <c:pt idx="345">
                  <c:v>555.25</c:v>
                </c:pt>
                <c:pt idx="346">
                  <c:v>554.5</c:v>
                </c:pt>
                <c:pt idx="347">
                  <c:v>571</c:v>
                </c:pt>
                <c:pt idx="348">
                  <c:v>577.5</c:v>
                </c:pt>
                <c:pt idx="349">
                  <c:v>587.25</c:v>
                </c:pt>
                <c:pt idx="350">
                  <c:v>590.75</c:v>
                </c:pt>
                <c:pt idx="351">
                  <c:v>604</c:v>
                </c:pt>
                <c:pt idx="352">
                  <c:v>594</c:v>
                </c:pt>
                <c:pt idx="353">
                  <c:v>594</c:v>
                </c:pt>
                <c:pt idx="354">
                  <c:v>592.5</c:v>
                </c:pt>
                <c:pt idx="355">
                  <c:v>609</c:v>
                </c:pt>
                <c:pt idx="356">
                  <c:v>597.5</c:v>
                </c:pt>
                <c:pt idx="357">
                  <c:v>608</c:v>
                </c:pt>
                <c:pt idx="358">
                  <c:v>604.25</c:v>
                </c:pt>
                <c:pt idx="359">
                  <c:v>610.25</c:v>
                </c:pt>
                <c:pt idx="360">
                  <c:v>604.25</c:v>
                </c:pt>
                <c:pt idx="361">
                  <c:v>617.25</c:v>
                </c:pt>
                <c:pt idx="362">
                  <c:v>612.5</c:v>
                </c:pt>
                <c:pt idx="363">
                  <c:v>607.75</c:v>
                </c:pt>
                <c:pt idx="364">
                  <c:v>623.25</c:v>
                </c:pt>
                <c:pt idx="365">
                  <c:v>640.25</c:v>
                </c:pt>
                <c:pt idx="366">
                  <c:v>643.75</c:v>
                </c:pt>
                <c:pt idx="367">
                  <c:v>671</c:v>
                </c:pt>
                <c:pt idx="368">
                  <c:v>660.5</c:v>
                </c:pt>
                <c:pt idx="369">
                  <c:v>630.75</c:v>
                </c:pt>
                <c:pt idx="370">
                  <c:v>637.25</c:v>
                </c:pt>
                <c:pt idx="371">
                  <c:v>623</c:v>
                </c:pt>
                <c:pt idx="372">
                  <c:v>590</c:v>
                </c:pt>
                <c:pt idx="373">
                  <c:v>581</c:v>
                </c:pt>
                <c:pt idx="374">
                  <c:v>554.5</c:v>
                </c:pt>
                <c:pt idx="375">
                  <c:v>557.25</c:v>
                </c:pt>
                <c:pt idx="376">
                  <c:v>548.25</c:v>
                </c:pt>
                <c:pt idx="377">
                  <c:v>566.75</c:v>
                </c:pt>
                <c:pt idx="378">
                  <c:v>560.5</c:v>
                </c:pt>
                <c:pt idx="379">
                  <c:v>570.75</c:v>
                </c:pt>
                <c:pt idx="380">
                  <c:v>571.75</c:v>
                </c:pt>
                <c:pt idx="381">
                  <c:v>549.75</c:v>
                </c:pt>
                <c:pt idx="382">
                  <c:v>593.5</c:v>
                </c:pt>
                <c:pt idx="383">
                  <c:v>599.75</c:v>
                </c:pt>
                <c:pt idx="384">
                  <c:v>499.25</c:v>
                </c:pt>
                <c:pt idx="385">
                  <c:v>528.75</c:v>
                </c:pt>
                <c:pt idx="386">
                  <c:v>545.5</c:v>
                </c:pt>
                <c:pt idx="387">
                  <c:v>537.25</c:v>
                </c:pt>
                <c:pt idx="388">
                  <c:v>527</c:v>
                </c:pt>
                <c:pt idx="389">
                  <c:v>560.5</c:v>
                </c:pt>
                <c:pt idx="390">
                  <c:v>557.5</c:v>
                </c:pt>
                <c:pt idx="391">
                  <c:v>540.25</c:v>
                </c:pt>
                <c:pt idx="392">
                  <c:v>533.25</c:v>
                </c:pt>
                <c:pt idx="393">
                  <c:v>521</c:v>
                </c:pt>
                <c:pt idx="394">
                  <c:v>504</c:v>
                </c:pt>
                <c:pt idx="395">
                  <c:v>497</c:v>
                </c:pt>
                <c:pt idx="396">
                  <c:v>488.25</c:v>
                </c:pt>
                <c:pt idx="397">
                  <c:v>480.75</c:v>
                </c:pt>
                <c:pt idx="398">
                  <c:v>484.25</c:v>
                </c:pt>
                <c:pt idx="399">
                  <c:v>482.25</c:v>
                </c:pt>
                <c:pt idx="400">
                  <c:v>485.75</c:v>
                </c:pt>
                <c:pt idx="401">
                  <c:v>481</c:v>
                </c:pt>
                <c:pt idx="402">
                  <c:v>483.25</c:v>
                </c:pt>
                <c:pt idx="403">
                  <c:v>474.5</c:v>
                </c:pt>
                <c:pt idx="404">
                  <c:v>475.75</c:v>
                </c:pt>
                <c:pt idx="405">
                  <c:v>464</c:v>
                </c:pt>
                <c:pt idx="406">
                  <c:v>469.5</c:v>
                </c:pt>
                <c:pt idx="407">
                  <c:v>473</c:v>
                </c:pt>
                <c:pt idx="408">
                  <c:v>479.5</c:v>
                </c:pt>
                <c:pt idx="409">
                  <c:v>469.25</c:v>
                </c:pt>
                <c:pt idx="410">
                  <c:v>466.5</c:v>
                </c:pt>
                <c:pt idx="411">
                  <c:v>476.25</c:v>
                </c:pt>
                <c:pt idx="412">
                  <c:v>472.25</c:v>
                </c:pt>
                <c:pt idx="413">
                  <c:v>470.75</c:v>
                </c:pt>
                <c:pt idx="414">
                  <c:v>478.5</c:v>
                </c:pt>
                <c:pt idx="415">
                  <c:v>469.5</c:v>
                </c:pt>
                <c:pt idx="416">
                  <c:v>461.75</c:v>
                </c:pt>
                <c:pt idx="417">
                  <c:v>461</c:v>
                </c:pt>
                <c:pt idx="418">
                  <c:v>464.75</c:v>
                </c:pt>
                <c:pt idx="419">
                  <c:v>471</c:v>
                </c:pt>
                <c:pt idx="420">
                  <c:v>471.5</c:v>
                </c:pt>
                <c:pt idx="421">
                  <c:v>470.75</c:v>
                </c:pt>
                <c:pt idx="422">
                  <c:v>468.5</c:v>
                </c:pt>
                <c:pt idx="423">
                  <c:v>471.25</c:v>
                </c:pt>
                <c:pt idx="424">
                  <c:v>463.25</c:v>
                </c:pt>
                <c:pt idx="425">
                  <c:v>464</c:v>
                </c:pt>
                <c:pt idx="426">
                  <c:v>462.5</c:v>
                </c:pt>
                <c:pt idx="427">
                  <c:v>476.25</c:v>
                </c:pt>
                <c:pt idx="428">
                  <c:v>471.5</c:v>
                </c:pt>
                <c:pt idx="429">
                  <c:v>476.25</c:v>
                </c:pt>
                <c:pt idx="430">
                  <c:v>482.25</c:v>
                </c:pt>
                <c:pt idx="431">
                  <c:v>475.25</c:v>
                </c:pt>
                <c:pt idx="432">
                  <c:v>477.25</c:v>
                </c:pt>
                <c:pt idx="433">
                  <c:v>481.25</c:v>
                </c:pt>
                <c:pt idx="434">
                  <c:v>479.75</c:v>
                </c:pt>
                <c:pt idx="435">
                  <c:v>483.25</c:v>
                </c:pt>
                <c:pt idx="436">
                  <c:v>488.5</c:v>
                </c:pt>
                <c:pt idx="437">
                  <c:v>476.75</c:v>
                </c:pt>
                <c:pt idx="438">
                  <c:v>488.75</c:v>
                </c:pt>
                <c:pt idx="439">
                  <c:v>487.5</c:v>
                </c:pt>
                <c:pt idx="440">
                  <c:v>486</c:v>
                </c:pt>
                <c:pt idx="441">
                  <c:v>497.5</c:v>
                </c:pt>
                <c:pt idx="442">
                  <c:v>492</c:v>
                </c:pt>
                <c:pt idx="443">
                  <c:v>488.25</c:v>
                </c:pt>
                <c:pt idx="444">
                  <c:v>485.5</c:v>
                </c:pt>
                <c:pt idx="445">
                  <c:v>488</c:v>
                </c:pt>
                <c:pt idx="446">
                  <c:v>496</c:v>
                </c:pt>
                <c:pt idx="447">
                  <c:v>493.25</c:v>
                </c:pt>
                <c:pt idx="448">
                  <c:v>490</c:v>
                </c:pt>
                <c:pt idx="449">
                  <c:v>489</c:v>
                </c:pt>
                <c:pt idx="450">
                  <c:v>492</c:v>
                </c:pt>
                <c:pt idx="451">
                  <c:v>505</c:v>
                </c:pt>
                <c:pt idx="452">
                  <c:v>495.5</c:v>
                </c:pt>
                <c:pt idx="453">
                  <c:v>490.25</c:v>
                </c:pt>
                <c:pt idx="454">
                  <c:v>484</c:v>
                </c:pt>
                <c:pt idx="455">
                  <c:v>480</c:v>
                </c:pt>
                <c:pt idx="456">
                  <c:v>479.25</c:v>
                </c:pt>
                <c:pt idx="457">
                  <c:v>480.75</c:v>
                </c:pt>
                <c:pt idx="458">
                  <c:v>478.25</c:v>
                </c:pt>
                <c:pt idx="459">
                  <c:v>478.75</c:v>
                </c:pt>
                <c:pt idx="460">
                  <c:v>475</c:v>
                </c:pt>
                <c:pt idx="461">
                  <c:v>470</c:v>
                </c:pt>
                <c:pt idx="462">
                  <c:v>477.25</c:v>
                </c:pt>
                <c:pt idx="463">
                  <c:v>477.25</c:v>
                </c:pt>
                <c:pt idx="464">
                  <c:v>468.5</c:v>
                </c:pt>
                <c:pt idx="465">
                  <c:v>476</c:v>
                </c:pt>
                <c:pt idx="466">
                  <c:v>468</c:v>
                </c:pt>
                <c:pt idx="467">
                  <c:v>464</c:v>
                </c:pt>
                <c:pt idx="468">
                  <c:v>477.25</c:v>
                </c:pt>
                <c:pt idx="469">
                  <c:v>478.25</c:v>
                </c:pt>
                <c:pt idx="470">
                  <c:v>470.75</c:v>
                </c:pt>
                <c:pt idx="471">
                  <c:v>474.75</c:v>
                </c:pt>
                <c:pt idx="472">
                  <c:v>467</c:v>
                </c:pt>
                <c:pt idx="473">
                  <c:v>469.5</c:v>
                </c:pt>
                <c:pt idx="474">
                  <c:v>470</c:v>
                </c:pt>
                <c:pt idx="475">
                  <c:v>468.75</c:v>
                </c:pt>
                <c:pt idx="476">
                  <c:v>463.25</c:v>
                </c:pt>
                <c:pt idx="477">
                  <c:v>455.5</c:v>
                </c:pt>
                <c:pt idx="478">
                  <c:v>451.5</c:v>
                </c:pt>
                <c:pt idx="479">
                  <c:v>449.75</c:v>
                </c:pt>
                <c:pt idx="480">
                  <c:v>461.75</c:v>
                </c:pt>
                <c:pt idx="481">
                  <c:v>464.5</c:v>
                </c:pt>
                <c:pt idx="482">
                  <c:v>460.25</c:v>
                </c:pt>
                <c:pt idx="483">
                  <c:v>468.5</c:v>
                </c:pt>
                <c:pt idx="484">
                  <c:v>464.75</c:v>
                </c:pt>
                <c:pt idx="485">
                  <c:v>468.25</c:v>
                </c:pt>
                <c:pt idx="486">
                  <c:v>465.75</c:v>
                </c:pt>
                <c:pt idx="487">
                  <c:v>460.5</c:v>
                </c:pt>
                <c:pt idx="488">
                  <c:v>462.5</c:v>
                </c:pt>
                <c:pt idx="489">
                  <c:v>456.75</c:v>
                </c:pt>
                <c:pt idx="490">
                  <c:v>456.75</c:v>
                </c:pt>
                <c:pt idx="491">
                  <c:v>483</c:v>
                </c:pt>
                <c:pt idx="492">
                  <c:v>477</c:v>
                </c:pt>
                <c:pt idx="493">
                  <c:v>472.75</c:v>
                </c:pt>
                <c:pt idx="494">
                  <c:v>469.75</c:v>
                </c:pt>
                <c:pt idx="495">
                  <c:v>472.5</c:v>
                </c:pt>
                <c:pt idx="496">
                  <c:v>473</c:v>
                </c:pt>
                <c:pt idx="497">
                  <c:v>480.25</c:v>
                </c:pt>
                <c:pt idx="498">
                  <c:v>476.5</c:v>
                </c:pt>
                <c:pt idx="499">
                  <c:v>474.25</c:v>
                </c:pt>
                <c:pt idx="500">
                  <c:v>471.25</c:v>
                </c:pt>
                <c:pt idx="501">
                  <c:v>463.75</c:v>
                </c:pt>
                <c:pt idx="502">
                  <c:v>465.25</c:v>
                </c:pt>
                <c:pt idx="503">
                  <c:v>466.5</c:v>
                </c:pt>
                <c:pt idx="504">
                  <c:v>460.75</c:v>
                </c:pt>
              </c:numCache>
            </c:numRef>
          </c:val>
          <c:smooth val="0"/>
          <c:extLst>
            <c:ext xmlns:c16="http://schemas.microsoft.com/office/drawing/2014/chart" uri="{C3380CC4-5D6E-409C-BE32-E72D297353CC}">
              <c16:uniqueId val="{00000003-CC0E-439D-9880-896D3FFC2A28}"/>
            </c:ext>
          </c:extLst>
        </c:ser>
        <c:ser>
          <c:idx val="1"/>
          <c:order val="1"/>
          <c:tx>
            <c:strRef>
              <c:f>Hoja1!$C$1</c:f>
              <c:strCache>
                <c:ptCount val="1"/>
                <c:pt idx="0">
                  <c:v>Trigo</c:v>
                </c:pt>
              </c:strCache>
            </c:strRef>
          </c:tx>
          <c:spPr>
            <a:ln w="15875" cap="rnd">
              <a:solidFill>
                <a:schemeClr val="accent1">
                  <a:lumMod val="50000"/>
                </a:schemeClr>
              </a:solidFill>
              <a:round/>
            </a:ln>
            <a:effectLst/>
          </c:spPr>
          <c:marker>
            <c:symbol val="none"/>
          </c:marker>
          <c:dLbls>
            <c:dLbl>
              <c:idx val="500"/>
              <c:layout>
                <c:manualLayout>
                  <c:x val="-7.1301247771837313E-3"/>
                  <c:y val="-9.2592592592592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C0E-439D-9880-896D3FFC2A2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Hoja1!$A$2:$A$506</c:f>
              <c:numCache>
                <c:formatCode>m/d/yyyy</c:formatCode>
                <c:ptCount val="505"/>
                <c:pt idx="0">
                  <c:v>44564</c:v>
                </c:pt>
                <c:pt idx="1">
                  <c:v>44565</c:v>
                </c:pt>
                <c:pt idx="2">
                  <c:v>44566</c:v>
                </c:pt>
                <c:pt idx="3">
                  <c:v>44567</c:v>
                </c:pt>
                <c:pt idx="4">
                  <c:v>44568</c:v>
                </c:pt>
                <c:pt idx="5">
                  <c:v>44571</c:v>
                </c:pt>
                <c:pt idx="6">
                  <c:v>44572</c:v>
                </c:pt>
                <c:pt idx="7">
                  <c:v>44573</c:v>
                </c:pt>
                <c:pt idx="8">
                  <c:v>44574</c:v>
                </c:pt>
                <c:pt idx="9">
                  <c:v>44575</c:v>
                </c:pt>
                <c:pt idx="10">
                  <c:v>44579</c:v>
                </c:pt>
                <c:pt idx="11">
                  <c:v>44580</c:v>
                </c:pt>
                <c:pt idx="12">
                  <c:v>44581</c:v>
                </c:pt>
                <c:pt idx="13">
                  <c:v>44582</c:v>
                </c:pt>
                <c:pt idx="14">
                  <c:v>44585</c:v>
                </c:pt>
                <c:pt idx="15">
                  <c:v>44586</c:v>
                </c:pt>
                <c:pt idx="16">
                  <c:v>44587</c:v>
                </c:pt>
                <c:pt idx="17">
                  <c:v>44588</c:v>
                </c:pt>
                <c:pt idx="18">
                  <c:v>44589</c:v>
                </c:pt>
                <c:pt idx="19">
                  <c:v>44592</c:v>
                </c:pt>
                <c:pt idx="20">
                  <c:v>44593</c:v>
                </c:pt>
                <c:pt idx="21">
                  <c:v>44594</c:v>
                </c:pt>
                <c:pt idx="22">
                  <c:v>44595</c:v>
                </c:pt>
                <c:pt idx="23">
                  <c:v>44596</c:v>
                </c:pt>
                <c:pt idx="24">
                  <c:v>44599</c:v>
                </c:pt>
                <c:pt idx="25">
                  <c:v>44600</c:v>
                </c:pt>
                <c:pt idx="26">
                  <c:v>44601</c:v>
                </c:pt>
                <c:pt idx="27">
                  <c:v>44602</c:v>
                </c:pt>
                <c:pt idx="28">
                  <c:v>44603</c:v>
                </c:pt>
                <c:pt idx="29">
                  <c:v>44606</c:v>
                </c:pt>
                <c:pt idx="30">
                  <c:v>44607</c:v>
                </c:pt>
                <c:pt idx="31">
                  <c:v>44608</c:v>
                </c:pt>
                <c:pt idx="32">
                  <c:v>44609</c:v>
                </c:pt>
                <c:pt idx="33">
                  <c:v>44610</c:v>
                </c:pt>
                <c:pt idx="34">
                  <c:v>44614</c:v>
                </c:pt>
                <c:pt idx="35">
                  <c:v>44615</c:v>
                </c:pt>
                <c:pt idx="36">
                  <c:v>44616</c:v>
                </c:pt>
                <c:pt idx="37">
                  <c:v>44617</c:v>
                </c:pt>
                <c:pt idx="38">
                  <c:v>44620</c:v>
                </c:pt>
                <c:pt idx="39">
                  <c:v>44621</c:v>
                </c:pt>
                <c:pt idx="40">
                  <c:v>44622</c:v>
                </c:pt>
                <c:pt idx="41">
                  <c:v>44623</c:v>
                </c:pt>
                <c:pt idx="42">
                  <c:v>44624</c:v>
                </c:pt>
                <c:pt idx="43">
                  <c:v>44627</c:v>
                </c:pt>
                <c:pt idx="44">
                  <c:v>44628</c:v>
                </c:pt>
                <c:pt idx="45">
                  <c:v>44629</c:v>
                </c:pt>
                <c:pt idx="46">
                  <c:v>44630</c:v>
                </c:pt>
                <c:pt idx="47">
                  <c:v>44631</c:v>
                </c:pt>
                <c:pt idx="48">
                  <c:v>44634</c:v>
                </c:pt>
                <c:pt idx="49">
                  <c:v>44635</c:v>
                </c:pt>
                <c:pt idx="50">
                  <c:v>44636</c:v>
                </c:pt>
                <c:pt idx="51">
                  <c:v>44637</c:v>
                </c:pt>
                <c:pt idx="52">
                  <c:v>44638</c:v>
                </c:pt>
                <c:pt idx="53">
                  <c:v>44641</c:v>
                </c:pt>
                <c:pt idx="54">
                  <c:v>44642</c:v>
                </c:pt>
                <c:pt idx="55">
                  <c:v>44643</c:v>
                </c:pt>
                <c:pt idx="56">
                  <c:v>44644</c:v>
                </c:pt>
                <c:pt idx="57">
                  <c:v>44645</c:v>
                </c:pt>
                <c:pt idx="58">
                  <c:v>44648</c:v>
                </c:pt>
                <c:pt idx="59">
                  <c:v>44649</c:v>
                </c:pt>
                <c:pt idx="60">
                  <c:v>44650</c:v>
                </c:pt>
                <c:pt idx="61">
                  <c:v>44651</c:v>
                </c:pt>
                <c:pt idx="62">
                  <c:v>44652</c:v>
                </c:pt>
                <c:pt idx="63">
                  <c:v>44655</c:v>
                </c:pt>
                <c:pt idx="64">
                  <c:v>44656</c:v>
                </c:pt>
                <c:pt idx="65">
                  <c:v>44657</c:v>
                </c:pt>
                <c:pt idx="66">
                  <c:v>44658</c:v>
                </c:pt>
                <c:pt idx="67">
                  <c:v>44659</c:v>
                </c:pt>
                <c:pt idx="68">
                  <c:v>44662</c:v>
                </c:pt>
                <c:pt idx="69">
                  <c:v>44663</c:v>
                </c:pt>
                <c:pt idx="70">
                  <c:v>44664</c:v>
                </c:pt>
                <c:pt idx="71">
                  <c:v>44665</c:v>
                </c:pt>
                <c:pt idx="72">
                  <c:v>44669</c:v>
                </c:pt>
                <c:pt idx="73">
                  <c:v>44670</c:v>
                </c:pt>
                <c:pt idx="74">
                  <c:v>44671</c:v>
                </c:pt>
                <c:pt idx="75">
                  <c:v>44672</c:v>
                </c:pt>
                <c:pt idx="76">
                  <c:v>44673</c:v>
                </c:pt>
                <c:pt idx="77">
                  <c:v>44676</c:v>
                </c:pt>
                <c:pt idx="78">
                  <c:v>44677</c:v>
                </c:pt>
                <c:pt idx="79">
                  <c:v>44678</c:v>
                </c:pt>
                <c:pt idx="80">
                  <c:v>44679</c:v>
                </c:pt>
                <c:pt idx="81">
                  <c:v>44680</c:v>
                </c:pt>
                <c:pt idx="82">
                  <c:v>44683</c:v>
                </c:pt>
                <c:pt idx="83">
                  <c:v>44684</c:v>
                </c:pt>
                <c:pt idx="84">
                  <c:v>44685</c:v>
                </c:pt>
                <c:pt idx="85">
                  <c:v>44686</c:v>
                </c:pt>
                <c:pt idx="86">
                  <c:v>44687</c:v>
                </c:pt>
                <c:pt idx="87">
                  <c:v>44690</c:v>
                </c:pt>
                <c:pt idx="88">
                  <c:v>44691</c:v>
                </c:pt>
                <c:pt idx="89">
                  <c:v>44692</c:v>
                </c:pt>
                <c:pt idx="90">
                  <c:v>44693</c:v>
                </c:pt>
                <c:pt idx="91">
                  <c:v>44694</c:v>
                </c:pt>
                <c:pt idx="92">
                  <c:v>44697</c:v>
                </c:pt>
                <c:pt idx="93">
                  <c:v>44698</c:v>
                </c:pt>
                <c:pt idx="94">
                  <c:v>44699</c:v>
                </c:pt>
                <c:pt idx="95">
                  <c:v>44700</c:v>
                </c:pt>
                <c:pt idx="96">
                  <c:v>44701</c:v>
                </c:pt>
                <c:pt idx="97">
                  <c:v>44704</c:v>
                </c:pt>
                <c:pt idx="98">
                  <c:v>44705</c:v>
                </c:pt>
                <c:pt idx="99">
                  <c:v>44706</c:v>
                </c:pt>
                <c:pt idx="100">
                  <c:v>44707</c:v>
                </c:pt>
                <c:pt idx="101">
                  <c:v>44708</c:v>
                </c:pt>
                <c:pt idx="102">
                  <c:v>44712</c:v>
                </c:pt>
                <c:pt idx="103">
                  <c:v>44713</c:v>
                </c:pt>
                <c:pt idx="104">
                  <c:v>44714</c:v>
                </c:pt>
                <c:pt idx="105">
                  <c:v>44715</c:v>
                </c:pt>
                <c:pt idx="106">
                  <c:v>44718</c:v>
                </c:pt>
                <c:pt idx="107">
                  <c:v>44719</c:v>
                </c:pt>
                <c:pt idx="108">
                  <c:v>44720</c:v>
                </c:pt>
                <c:pt idx="109">
                  <c:v>44721</c:v>
                </c:pt>
                <c:pt idx="110">
                  <c:v>44722</c:v>
                </c:pt>
                <c:pt idx="111">
                  <c:v>44725</c:v>
                </c:pt>
                <c:pt idx="112">
                  <c:v>44726</c:v>
                </c:pt>
                <c:pt idx="113">
                  <c:v>44727</c:v>
                </c:pt>
                <c:pt idx="114">
                  <c:v>44728</c:v>
                </c:pt>
                <c:pt idx="115">
                  <c:v>44729</c:v>
                </c:pt>
                <c:pt idx="116">
                  <c:v>44733</c:v>
                </c:pt>
                <c:pt idx="117">
                  <c:v>44734</c:v>
                </c:pt>
                <c:pt idx="118">
                  <c:v>44735</c:v>
                </c:pt>
                <c:pt idx="119">
                  <c:v>44736</c:v>
                </c:pt>
                <c:pt idx="120">
                  <c:v>44739</c:v>
                </c:pt>
                <c:pt idx="121">
                  <c:v>44740</c:v>
                </c:pt>
                <c:pt idx="122">
                  <c:v>44741</c:v>
                </c:pt>
                <c:pt idx="123">
                  <c:v>44742</c:v>
                </c:pt>
                <c:pt idx="124">
                  <c:v>44743</c:v>
                </c:pt>
                <c:pt idx="125">
                  <c:v>44747</c:v>
                </c:pt>
                <c:pt idx="126">
                  <c:v>44748</c:v>
                </c:pt>
                <c:pt idx="127">
                  <c:v>44749</c:v>
                </c:pt>
                <c:pt idx="128">
                  <c:v>44750</c:v>
                </c:pt>
                <c:pt idx="129">
                  <c:v>44753</c:v>
                </c:pt>
                <c:pt idx="130">
                  <c:v>44754</c:v>
                </c:pt>
                <c:pt idx="131">
                  <c:v>44755</c:v>
                </c:pt>
                <c:pt idx="132">
                  <c:v>44756</c:v>
                </c:pt>
                <c:pt idx="133">
                  <c:v>44757</c:v>
                </c:pt>
                <c:pt idx="134">
                  <c:v>44760</c:v>
                </c:pt>
                <c:pt idx="135">
                  <c:v>44761</c:v>
                </c:pt>
                <c:pt idx="136">
                  <c:v>44762</c:v>
                </c:pt>
                <c:pt idx="137">
                  <c:v>44763</c:v>
                </c:pt>
                <c:pt idx="138">
                  <c:v>44764</c:v>
                </c:pt>
                <c:pt idx="139">
                  <c:v>44767</c:v>
                </c:pt>
                <c:pt idx="140">
                  <c:v>44768</c:v>
                </c:pt>
                <c:pt idx="141">
                  <c:v>44769</c:v>
                </c:pt>
                <c:pt idx="142">
                  <c:v>44770</c:v>
                </c:pt>
                <c:pt idx="143">
                  <c:v>44771</c:v>
                </c:pt>
                <c:pt idx="144">
                  <c:v>44774</c:v>
                </c:pt>
                <c:pt idx="145">
                  <c:v>44775</c:v>
                </c:pt>
                <c:pt idx="146">
                  <c:v>44776</c:v>
                </c:pt>
                <c:pt idx="147">
                  <c:v>44777</c:v>
                </c:pt>
                <c:pt idx="148">
                  <c:v>44778</c:v>
                </c:pt>
                <c:pt idx="149">
                  <c:v>44781</c:v>
                </c:pt>
                <c:pt idx="150">
                  <c:v>44782</c:v>
                </c:pt>
                <c:pt idx="151">
                  <c:v>44783</c:v>
                </c:pt>
                <c:pt idx="152">
                  <c:v>44784</c:v>
                </c:pt>
                <c:pt idx="153">
                  <c:v>44785</c:v>
                </c:pt>
                <c:pt idx="154">
                  <c:v>44788</c:v>
                </c:pt>
                <c:pt idx="155">
                  <c:v>44789</c:v>
                </c:pt>
                <c:pt idx="156">
                  <c:v>44790</c:v>
                </c:pt>
                <c:pt idx="157">
                  <c:v>44791</c:v>
                </c:pt>
                <c:pt idx="158">
                  <c:v>44792</c:v>
                </c:pt>
                <c:pt idx="159">
                  <c:v>44795</c:v>
                </c:pt>
                <c:pt idx="160">
                  <c:v>44796</c:v>
                </c:pt>
                <c:pt idx="161">
                  <c:v>44797</c:v>
                </c:pt>
                <c:pt idx="162">
                  <c:v>44798</c:v>
                </c:pt>
                <c:pt idx="163">
                  <c:v>44799</c:v>
                </c:pt>
                <c:pt idx="164">
                  <c:v>44802</c:v>
                </c:pt>
                <c:pt idx="165">
                  <c:v>44803</c:v>
                </c:pt>
                <c:pt idx="166">
                  <c:v>44804</c:v>
                </c:pt>
                <c:pt idx="167">
                  <c:v>44805</c:v>
                </c:pt>
                <c:pt idx="168">
                  <c:v>44806</c:v>
                </c:pt>
                <c:pt idx="169">
                  <c:v>44810</c:v>
                </c:pt>
                <c:pt idx="170">
                  <c:v>44811</c:v>
                </c:pt>
                <c:pt idx="171">
                  <c:v>44812</c:v>
                </c:pt>
                <c:pt idx="172">
                  <c:v>44813</c:v>
                </c:pt>
                <c:pt idx="173">
                  <c:v>44816</c:v>
                </c:pt>
                <c:pt idx="174">
                  <c:v>44817</c:v>
                </c:pt>
                <c:pt idx="175">
                  <c:v>44818</c:v>
                </c:pt>
                <c:pt idx="176">
                  <c:v>44819</c:v>
                </c:pt>
                <c:pt idx="177">
                  <c:v>44820</c:v>
                </c:pt>
                <c:pt idx="178">
                  <c:v>44823</c:v>
                </c:pt>
                <c:pt idx="179">
                  <c:v>44824</c:v>
                </c:pt>
                <c:pt idx="180">
                  <c:v>44825</c:v>
                </c:pt>
                <c:pt idx="181">
                  <c:v>44826</c:v>
                </c:pt>
                <c:pt idx="182">
                  <c:v>44827</c:v>
                </c:pt>
                <c:pt idx="183">
                  <c:v>44830</c:v>
                </c:pt>
                <c:pt idx="184">
                  <c:v>44831</c:v>
                </c:pt>
                <c:pt idx="185">
                  <c:v>44832</c:v>
                </c:pt>
                <c:pt idx="186">
                  <c:v>44833</c:v>
                </c:pt>
                <c:pt idx="187">
                  <c:v>44834</c:v>
                </c:pt>
                <c:pt idx="188">
                  <c:v>44837</c:v>
                </c:pt>
                <c:pt idx="189">
                  <c:v>44838</c:v>
                </c:pt>
                <c:pt idx="190">
                  <c:v>44839</c:v>
                </c:pt>
                <c:pt idx="191">
                  <c:v>44840</c:v>
                </c:pt>
                <c:pt idx="192">
                  <c:v>44841</c:v>
                </c:pt>
                <c:pt idx="193">
                  <c:v>44844</c:v>
                </c:pt>
                <c:pt idx="194">
                  <c:v>44845</c:v>
                </c:pt>
                <c:pt idx="195">
                  <c:v>44846</c:v>
                </c:pt>
                <c:pt idx="196">
                  <c:v>44847</c:v>
                </c:pt>
                <c:pt idx="197">
                  <c:v>44848</c:v>
                </c:pt>
                <c:pt idx="198">
                  <c:v>44851</c:v>
                </c:pt>
                <c:pt idx="199">
                  <c:v>44852</c:v>
                </c:pt>
                <c:pt idx="200">
                  <c:v>44853</c:v>
                </c:pt>
                <c:pt idx="201">
                  <c:v>44854</c:v>
                </c:pt>
                <c:pt idx="202">
                  <c:v>44855</c:v>
                </c:pt>
                <c:pt idx="203">
                  <c:v>44858</c:v>
                </c:pt>
                <c:pt idx="204">
                  <c:v>44859</c:v>
                </c:pt>
                <c:pt idx="205">
                  <c:v>44860</c:v>
                </c:pt>
                <c:pt idx="206">
                  <c:v>44861</c:v>
                </c:pt>
                <c:pt idx="207">
                  <c:v>44862</c:v>
                </c:pt>
                <c:pt idx="208">
                  <c:v>44865</c:v>
                </c:pt>
                <c:pt idx="209">
                  <c:v>44866</c:v>
                </c:pt>
                <c:pt idx="210">
                  <c:v>44867</c:v>
                </c:pt>
                <c:pt idx="211">
                  <c:v>44868</c:v>
                </c:pt>
                <c:pt idx="212">
                  <c:v>44869</c:v>
                </c:pt>
                <c:pt idx="213">
                  <c:v>44872</c:v>
                </c:pt>
                <c:pt idx="214">
                  <c:v>44873</c:v>
                </c:pt>
                <c:pt idx="215">
                  <c:v>44874</c:v>
                </c:pt>
                <c:pt idx="216">
                  <c:v>44875</c:v>
                </c:pt>
                <c:pt idx="217">
                  <c:v>44876</c:v>
                </c:pt>
                <c:pt idx="218">
                  <c:v>44879</c:v>
                </c:pt>
                <c:pt idx="219">
                  <c:v>44880</c:v>
                </c:pt>
                <c:pt idx="220">
                  <c:v>44881</c:v>
                </c:pt>
                <c:pt idx="221">
                  <c:v>44882</c:v>
                </c:pt>
                <c:pt idx="222">
                  <c:v>44883</c:v>
                </c:pt>
                <c:pt idx="223">
                  <c:v>44886</c:v>
                </c:pt>
                <c:pt idx="224">
                  <c:v>44887</c:v>
                </c:pt>
                <c:pt idx="225">
                  <c:v>44888</c:v>
                </c:pt>
                <c:pt idx="226">
                  <c:v>44890</c:v>
                </c:pt>
                <c:pt idx="227">
                  <c:v>44893</c:v>
                </c:pt>
                <c:pt idx="228">
                  <c:v>44894</c:v>
                </c:pt>
                <c:pt idx="229">
                  <c:v>44895</c:v>
                </c:pt>
                <c:pt idx="230">
                  <c:v>44896</c:v>
                </c:pt>
                <c:pt idx="231">
                  <c:v>44897</c:v>
                </c:pt>
                <c:pt idx="232">
                  <c:v>44900</c:v>
                </c:pt>
                <c:pt idx="233">
                  <c:v>44901</c:v>
                </c:pt>
                <c:pt idx="234">
                  <c:v>44902</c:v>
                </c:pt>
                <c:pt idx="235">
                  <c:v>44903</c:v>
                </c:pt>
                <c:pt idx="236">
                  <c:v>44904</c:v>
                </c:pt>
                <c:pt idx="237">
                  <c:v>44907</c:v>
                </c:pt>
                <c:pt idx="238">
                  <c:v>44908</c:v>
                </c:pt>
                <c:pt idx="239">
                  <c:v>44909</c:v>
                </c:pt>
                <c:pt idx="240">
                  <c:v>44910</c:v>
                </c:pt>
                <c:pt idx="241">
                  <c:v>44911</c:v>
                </c:pt>
                <c:pt idx="242">
                  <c:v>44914</c:v>
                </c:pt>
                <c:pt idx="243">
                  <c:v>44915</c:v>
                </c:pt>
                <c:pt idx="244">
                  <c:v>44916</c:v>
                </c:pt>
                <c:pt idx="245">
                  <c:v>44917</c:v>
                </c:pt>
                <c:pt idx="246">
                  <c:v>44918</c:v>
                </c:pt>
                <c:pt idx="247">
                  <c:v>44922</c:v>
                </c:pt>
                <c:pt idx="248">
                  <c:v>44923</c:v>
                </c:pt>
                <c:pt idx="249">
                  <c:v>44924</c:v>
                </c:pt>
                <c:pt idx="250">
                  <c:v>44925</c:v>
                </c:pt>
                <c:pt idx="251">
                  <c:v>44929</c:v>
                </c:pt>
                <c:pt idx="252">
                  <c:v>44930</c:v>
                </c:pt>
                <c:pt idx="253">
                  <c:v>44931</c:v>
                </c:pt>
                <c:pt idx="254">
                  <c:v>44932</c:v>
                </c:pt>
                <c:pt idx="255">
                  <c:v>44935</c:v>
                </c:pt>
                <c:pt idx="256">
                  <c:v>44936</c:v>
                </c:pt>
                <c:pt idx="257">
                  <c:v>44937</c:v>
                </c:pt>
                <c:pt idx="258">
                  <c:v>44938</c:v>
                </c:pt>
                <c:pt idx="259">
                  <c:v>44939</c:v>
                </c:pt>
                <c:pt idx="260">
                  <c:v>44943</c:v>
                </c:pt>
                <c:pt idx="261">
                  <c:v>44944</c:v>
                </c:pt>
                <c:pt idx="262">
                  <c:v>44945</c:v>
                </c:pt>
                <c:pt idx="263">
                  <c:v>44946</c:v>
                </c:pt>
                <c:pt idx="264">
                  <c:v>44949</c:v>
                </c:pt>
                <c:pt idx="265">
                  <c:v>44950</c:v>
                </c:pt>
                <c:pt idx="266">
                  <c:v>44951</c:v>
                </c:pt>
                <c:pt idx="267">
                  <c:v>44952</c:v>
                </c:pt>
                <c:pt idx="268">
                  <c:v>44953</c:v>
                </c:pt>
                <c:pt idx="269">
                  <c:v>44956</c:v>
                </c:pt>
                <c:pt idx="270">
                  <c:v>44957</c:v>
                </c:pt>
                <c:pt idx="271">
                  <c:v>44958</c:v>
                </c:pt>
                <c:pt idx="272">
                  <c:v>44959</c:v>
                </c:pt>
                <c:pt idx="273">
                  <c:v>44960</c:v>
                </c:pt>
                <c:pt idx="274">
                  <c:v>44963</c:v>
                </c:pt>
                <c:pt idx="275">
                  <c:v>44964</c:v>
                </c:pt>
                <c:pt idx="276">
                  <c:v>44965</c:v>
                </c:pt>
                <c:pt idx="277">
                  <c:v>44966</c:v>
                </c:pt>
                <c:pt idx="278">
                  <c:v>44967</c:v>
                </c:pt>
                <c:pt idx="279">
                  <c:v>44970</c:v>
                </c:pt>
                <c:pt idx="280">
                  <c:v>44971</c:v>
                </c:pt>
                <c:pt idx="281">
                  <c:v>44972</c:v>
                </c:pt>
                <c:pt idx="282">
                  <c:v>44973</c:v>
                </c:pt>
                <c:pt idx="283">
                  <c:v>44974</c:v>
                </c:pt>
                <c:pt idx="284">
                  <c:v>44978</c:v>
                </c:pt>
                <c:pt idx="285">
                  <c:v>44979</c:v>
                </c:pt>
                <c:pt idx="286">
                  <c:v>44980</c:v>
                </c:pt>
                <c:pt idx="287">
                  <c:v>44981</c:v>
                </c:pt>
                <c:pt idx="288">
                  <c:v>44984</c:v>
                </c:pt>
                <c:pt idx="289">
                  <c:v>44985</c:v>
                </c:pt>
                <c:pt idx="290">
                  <c:v>44986</c:v>
                </c:pt>
                <c:pt idx="291">
                  <c:v>44987</c:v>
                </c:pt>
                <c:pt idx="292">
                  <c:v>44988</c:v>
                </c:pt>
                <c:pt idx="293">
                  <c:v>44991</c:v>
                </c:pt>
                <c:pt idx="294">
                  <c:v>44992</c:v>
                </c:pt>
                <c:pt idx="295">
                  <c:v>44993</c:v>
                </c:pt>
                <c:pt idx="296">
                  <c:v>44994</c:v>
                </c:pt>
                <c:pt idx="297">
                  <c:v>44995</c:v>
                </c:pt>
                <c:pt idx="298">
                  <c:v>44998</c:v>
                </c:pt>
                <c:pt idx="299">
                  <c:v>44999</c:v>
                </c:pt>
                <c:pt idx="300">
                  <c:v>45000</c:v>
                </c:pt>
                <c:pt idx="301">
                  <c:v>45001</c:v>
                </c:pt>
                <c:pt idx="302">
                  <c:v>45002</c:v>
                </c:pt>
                <c:pt idx="303">
                  <c:v>45005</c:v>
                </c:pt>
                <c:pt idx="304">
                  <c:v>45006</c:v>
                </c:pt>
                <c:pt idx="305">
                  <c:v>45007</c:v>
                </c:pt>
                <c:pt idx="306">
                  <c:v>45008</c:v>
                </c:pt>
                <c:pt idx="307">
                  <c:v>45009</c:v>
                </c:pt>
                <c:pt idx="308">
                  <c:v>45012</c:v>
                </c:pt>
                <c:pt idx="309">
                  <c:v>45013</c:v>
                </c:pt>
                <c:pt idx="310">
                  <c:v>45014</c:v>
                </c:pt>
                <c:pt idx="311">
                  <c:v>45015</c:v>
                </c:pt>
                <c:pt idx="312">
                  <c:v>45016</c:v>
                </c:pt>
                <c:pt idx="313">
                  <c:v>45019</c:v>
                </c:pt>
                <c:pt idx="314">
                  <c:v>45020</c:v>
                </c:pt>
                <c:pt idx="315">
                  <c:v>45021</c:v>
                </c:pt>
                <c:pt idx="316">
                  <c:v>45022</c:v>
                </c:pt>
                <c:pt idx="317">
                  <c:v>45026</c:v>
                </c:pt>
                <c:pt idx="318">
                  <c:v>45027</c:v>
                </c:pt>
                <c:pt idx="319">
                  <c:v>45028</c:v>
                </c:pt>
                <c:pt idx="320">
                  <c:v>45029</c:v>
                </c:pt>
                <c:pt idx="321">
                  <c:v>45030</c:v>
                </c:pt>
                <c:pt idx="322">
                  <c:v>45033</c:v>
                </c:pt>
                <c:pt idx="323">
                  <c:v>45034</c:v>
                </c:pt>
                <c:pt idx="324">
                  <c:v>45035</c:v>
                </c:pt>
                <c:pt idx="325">
                  <c:v>45036</c:v>
                </c:pt>
                <c:pt idx="326">
                  <c:v>45037</c:v>
                </c:pt>
                <c:pt idx="327">
                  <c:v>45040</c:v>
                </c:pt>
                <c:pt idx="328">
                  <c:v>45041</c:v>
                </c:pt>
                <c:pt idx="329">
                  <c:v>45042</c:v>
                </c:pt>
                <c:pt idx="330">
                  <c:v>45043</c:v>
                </c:pt>
                <c:pt idx="331">
                  <c:v>45044</c:v>
                </c:pt>
                <c:pt idx="332">
                  <c:v>45047</c:v>
                </c:pt>
                <c:pt idx="333">
                  <c:v>45048</c:v>
                </c:pt>
                <c:pt idx="334">
                  <c:v>45049</c:v>
                </c:pt>
                <c:pt idx="335">
                  <c:v>45050</c:v>
                </c:pt>
                <c:pt idx="336">
                  <c:v>45051</c:v>
                </c:pt>
                <c:pt idx="337">
                  <c:v>45054</c:v>
                </c:pt>
                <c:pt idx="338">
                  <c:v>45055</c:v>
                </c:pt>
                <c:pt idx="339">
                  <c:v>45056</c:v>
                </c:pt>
                <c:pt idx="340">
                  <c:v>45057</c:v>
                </c:pt>
                <c:pt idx="341">
                  <c:v>45058</c:v>
                </c:pt>
                <c:pt idx="342">
                  <c:v>45061</c:v>
                </c:pt>
                <c:pt idx="343">
                  <c:v>45062</c:v>
                </c:pt>
                <c:pt idx="344">
                  <c:v>45063</c:v>
                </c:pt>
                <c:pt idx="345">
                  <c:v>45064</c:v>
                </c:pt>
                <c:pt idx="346">
                  <c:v>45065</c:v>
                </c:pt>
                <c:pt idx="347">
                  <c:v>45068</c:v>
                </c:pt>
                <c:pt idx="348">
                  <c:v>45069</c:v>
                </c:pt>
                <c:pt idx="349">
                  <c:v>45070</c:v>
                </c:pt>
                <c:pt idx="350">
                  <c:v>45071</c:v>
                </c:pt>
                <c:pt idx="351">
                  <c:v>45072</c:v>
                </c:pt>
                <c:pt idx="352">
                  <c:v>45076</c:v>
                </c:pt>
                <c:pt idx="353">
                  <c:v>45077</c:v>
                </c:pt>
                <c:pt idx="354">
                  <c:v>45078</c:v>
                </c:pt>
                <c:pt idx="355">
                  <c:v>45079</c:v>
                </c:pt>
                <c:pt idx="356">
                  <c:v>45082</c:v>
                </c:pt>
                <c:pt idx="357">
                  <c:v>45083</c:v>
                </c:pt>
                <c:pt idx="358">
                  <c:v>45084</c:v>
                </c:pt>
                <c:pt idx="359">
                  <c:v>45085</c:v>
                </c:pt>
                <c:pt idx="360">
                  <c:v>45086</c:v>
                </c:pt>
                <c:pt idx="361">
                  <c:v>45089</c:v>
                </c:pt>
                <c:pt idx="362">
                  <c:v>45090</c:v>
                </c:pt>
                <c:pt idx="363">
                  <c:v>45091</c:v>
                </c:pt>
                <c:pt idx="364">
                  <c:v>45092</c:v>
                </c:pt>
                <c:pt idx="365">
                  <c:v>45093</c:v>
                </c:pt>
                <c:pt idx="366">
                  <c:v>45097</c:v>
                </c:pt>
                <c:pt idx="367">
                  <c:v>45098</c:v>
                </c:pt>
                <c:pt idx="368">
                  <c:v>45099</c:v>
                </c:pt>
                <c:pt idx="369">
                  <c:v>45100</c:v>
                </c:pt>
                <c:pt idx="370">
                  <c:v>45103</c:v>
                </c:pt>
                <c:pt idx="371">
                  <c:v>45104</c:v>
                </c:pt>
                <c:pt idx="372">
                  <c:v>45105</c:v>
                </c:pt>
                <c:pt idx="373">
                  <c:v>45106</c:v>
                </c:pt>
                <c:pt idx="374">
                  <c:v>45107</c:v>
                </c:pt>
                <c:pt idx="375">
                  <c:v>45110</c:v>
                </c:pt>
                <c:pt idx="376">
                  <c:v>45112</c:v>
                </c:pt>
                <c:pt idx="377">
                  <c:v>45113</c:v>
                </c:pt>
                <c:pt idx="378">
                  <c:v>45114</c:v>
                </c:pt>
                <c:pt idx="379">
                  <c:v>45117</c:v>
                </c:pt>
                <c:pt idx="380">
                  <c:v>45118</c:v>
                </c:pt>
                <c:pt idx="381">
                  <c:v>45119</c:v>
                </c:pt>
                <c:pt idx="382">
                  <c:v>45120</c:v>
                </c:pt>
                <c:pt idx="383">
                  <c:v>45121</c:v>
                </c:pt>
                <c:pt idx="384">
                  <c:v>45124</c:v>
                </c:pt>
                <c:pt idx="385">
                  <c:v>45125</c:v>
                </c:pt>
                <c:pt idx="386">
                  <c:v>45126</c:v>
                </c:pt>
                <c:pt idx="387">
                  <c:v>45127</c:v>
                </c:pt>
                <c:pt idx="388">
                  <c:v>45128</c:v>
                </c:pt>
                <c:pt idx="389">
                  <c:v>45131</c:v>
                </c:pt>
                <c:pt idx="390">
                  <c:v>45132</c:v>
                </c:pt>
                <c:pt idx="391">
                  <c:v>45133</c:v>
                </c:pt>
                <c:pt idx="392">
                  <c:v>45134</c:v>
                </c:pt>
                <c:pt idx="393">
                  <c:v>45135</c:v>
                </c:pt>
                <c:pt idx="394">
                  <c:v>45138</c:v>
                </c:pt>
                <c:pt idx="395">
                  <c:v>45139</c:v>
                </c:pt>
                <c:pt idx="396">
                  <c:v>45140</c:v>
                </c:pt>
                <c:pt idx="397">
                  <c:v>45141</c:v>
                </c:pt>
                <c:pt idx="398">
                  <c:v>45142</c:v>
                </c:pt>
                <c:pt idx="399">
                  <c:v>45145</c:v>
                </c:pt>
                <c:pt idx="400">
                  <c:v>45146</c:v>
                </c:pt>
                <c:pt idx="401">
                  <c:v>45147</c:v>
                </c:pt>
                <c:pt idx="402">
                  <c:v>45148</c:v>
                </c:pt>
                <c:pt idx="403">
                  <c:v>45149</c:v>
                </c:pt>
                <c:pt idx="404">
                  <c:v>45152</c:v>
                </c:pt>
                <c:pt idx="405">
                  <c:v>45153</c:v>
                </c:pt>
                <c:pt idx="406">
                  <c:v>45154</c:v>
                </c:pt>
                <c:pt idx="407">
                  <c:v>45155</c:v>
                </c:pt>
                <c:pt idx="408">
                  <c:v>45156</c:v>
                </c:pt>
                <c:pt idx="409">
                  <c:v>45159</c:v>
                </c:pt>
                <c:pt idx="410">
                  <c:v>45160</c:v>
                </c:pt>
                <c:pt idx="411">
                  <c:v>45161</c:v>
                </c:pt>
                <c:pt idx="412">
                  <c:v>45162</c:v>
                </c:pt>
                <c:pt idx="413">
                  <c:v>45163</c:v>
                </c:pt>
                <c:pt idx="414">
                  <c:v>45166</c:v>
                </c:pt>
                <c:pt idx="415">
                  <c:v>45167</c:v>
                </c:pt>
                <c:pt idx="416">
                  <c:v>45168</c:v>
                </c:pt>
                <c:pt idx="417">
                  <c:v>45169</c:v>
                </c:pt>
                <c:pt idx="418">
                  <c:v>45170</c:v>
                </c:pt>
                <c:pt idx="419">
                  <c:v>45174</c:v>
                </c:pt>
                <c:pt idx="420">
                  <c:v>45175</c:v>
                </c:pt>
                <c:pt idx="421">
                  <c:v>45176</c:v>
                </c:pt>
                <c:pt idx="422">
                  <c:v>45177</c:v>
                </c:pt>
                <c:pt idx="423">
                  <c:v>45180</c:v>
                </c:pt>
                <c:pt idx="424">
                  <c:v>45181</c:v>
                </c:pt>
                <c:pt idx="425">
                  <c:v>45182</c:v>
                </c:pt>
                <c:pt idx="426">
                  <c:v>45183</c:v>
                </c:pt>
                <c:pt idx="427">
                  <c:v>45184</c:v>
                </c:pt>
                <c:pt idx="428">
                  <c:v>45187</c:v>
                </c:pt>
                <c:pt idx="429">
                  <c:v>45188</c:v>
                </c:pt>
                <c:pt idx="430">
                  <c:v>45189</c:v>
                </c:pt>
                <c:pt idx="431">
                  <c:v>45190</c:v>
                </c:pt>
                <c:pt idx="432">
                  <c:v>45191</c:v>
                </c:pt>
                <c:pt idx="433">
                  <c:v>45194</c:v>
                </c:pt>
                <c:pt idx="434">
                  <c:v>45195</c:v>
                </c:pt>
                <c:pt idx="435">
                  <c:v>45196</c:v>
                </c:pt>
                <c:pt idx="436">
                  <c:v>45197</c:v>
                </c:pt>
                <c:pt idx="437">
                  <c:v>45198</c:v>
                </c:pt>
                <c:pt idx="438">
                  <c:v>45201</c:v>
                </c:pt>
                <c:pt idx="439">
                  <c:v>45202</c:v>
                </c:pt>
                <c:pt idx="440">
                  <c:v>45203</c:v>
                </c:pt>
                <c:pt idx="441">
                  <c:v>45204</c:v>
                </c:pt>
                <c:pt idx="442">
                  <c:v>45205</c:v>
                </c:pt>
                <c:pt idx="443">
                  <c:v>45208</c:v>
                </c:pt>
                <c:pt idx="444">
                  <c:v>45209</c:v>
                </c:pt>
                <c:pt idx="445">
                  <c:v>45210</c:v>
                </c:pt>
                <c:pt idx="446">
                  <c:v>45211</c:v>
                </c:pt>
                <c:pt idx="447">
                  <c:v>45212</c:v>
                </c:pt>
                <c:pt idx="448">
                  <c:v>45215</c:v>
                </c:pt>
                <c:pt idx="449">
                  <c:v>45216</c:v>
                </c:pt>
                <c:pt idx="450">
                  <c:v>45217</c:v>
                </c:pt>
                <c:pt idx="451">
                  <c:v>45218</c:v>
                </c:pt>
                <c:pt idx="452">
                  <c:v>45219</c:v>
                </c:pt>
                <c:pt idx="453">
                  <c:v>45222</c:v>
                </c:pt>
                <c:pt idx="454">
                  <c:v>45223</c:v>
                </c:pt>
                <c:pt idx="455">
                  <c:v>45224</c:v>
                </c:pt>
                <c:pt idx="456">
                  <c:v>45225</c:v>
                </c:pt>
                <c:pt idx="457">
                  <c:v>45226</c:v>
                </c:pt>
                <c:pt idx="458">
                  <c:v>45229</c:v>
                </c:pt>
                <c:pt idx="459">
                  <c:v>45230</c:v>
                </c:pt>
                <c:pt idx="460">
                  <c:v>45231</c:v>
                </c:pt>
                <c:pt idx="461">
                  <c:v>45232</c:v>
                </c:pt>
                <c:pt idx="462">
                  <c:v>45233</c:v>
                </c:pt>
                <c:pt idx="463">
                  <c:v>45236</c:v>
                </c:pt>
                <c:pt idx="464">
                  <c:v>45237</c:v>
                </c:pt>
                <c:pt idx="465">
                  <c:v>45238</c:v>
                </c:pt>
                <c:pt idx="466">
                  <c:v>45239</c:v>
                </c:pt>
                <c:pt idx="467">
                  <c:v>45240</c:v>
                </c:pt>
                <c:pt idx="468">
                  <c:v>45243</c:v>
                </c:pt>
                <c:pt idx="469">
                  <c:v>45244</c:v>
                </c:pt>
                <c:pt idx="470">
                  <c:v>45245</c:v>
                </c:pt>
                <c:pt idx="471">
                  <c:v>45246</c:v>
                </c:pt>
                <c:pt idx="472">
                  <c:v>45247</c:v>
                </c:pt>
                <c:pt idx="473">
                  <c:v>45250</c:v>
                </c:pt>
                <c:pt idx="474">
                  <c:v>45251</c:v>
                </c:pt>
                <c:pt idx="475">
                  <c:v>45252</c:v>
                </c:pt>
                <c:pt idx="476">
                  <c:v>45254</c:v>
                </c:pt>
                <c:pt idx="477">
                  <c:v>45257</c:v>
                </c:pt>
                <c:pt idx="478">
                  <c:v>45258</c:v>
                </c:pt>
                <c:pt idx="479">
                  <c:v>45259</c:v>
                </c:pt>
                <c:pt idx="480">
                  <c:v>45260</c:v>
                </c:pt>
                <c:pt idx="481">
                  <c:v>45261</c:v>
                </c:pt>
                <c:pt idx="482">
                  <c:v>45264</c:v>
                </c:pt>
                <c:pt idx="483">
                  <c:v>45265</c:v>
                </c:pt>
                <c:pt idx="484">
                  <c:v>45266</c:v>
                </c:pt>
                <c:pt idx="485">
                  <c:v>45267</c:v>
                </c:pt>
                <c:pt idx="486">
                  <c:v>45268</c:v>
                </c:pt>
                <c:pt idx="487">
                  <c:v>45271</c:v>
                </c:pt>
                <c:pt idx="488">
                  <c:v>45272</c:v>
                </c:pt>
                <c:pt idx="489">
                  <c:v>45273</c:v>
                </c:pt>
                <c:pt idx="490">
                  <c:v>45274</c:v>
                </c:pt>
                <c:pt idx="491">
                  <c:v>45275</c:v>
                </c:pt>
                <c:pt idx="492">
                  <c:v>45278</c:v>
                </c:pt>
                <c:pt idx="493">
                  <c:v>45279</c:v>
                </c:pt>
                <c:pt idx="494">
                  <c:v>45280</c:v>
                </c:pt>
                <c:pt idx="495">
                  <c:v>45281</c:v>
                </c:pt>
                <c:pt idx="496">
                  <c:v>45282</c:v>
                </c:pt>
                <c:pt idx="497">
                  <c:v>45286</c:v>
                </c:pt>
                <c:pt idx="498">
                  <c:v>45287</c:v>
                </c:pt>
                <c:pt idx="499">
                  <c:v>45288</c:v>
                </c:pt>
                <c:pt idx="500">
                  <c:v>45289</c:v>
                </c:pt>
                <c:pt idx="501">
                  <c:v>45293</c:v>
                </c:pt>
                <c:pt idx="502">
                  <c:v>45294</c:v>
                </c:pt>
                <c:pt idx="503">
                  <c:v>45295</c:v>
                </c:pt>
                <c:pt idx="504">
                  <c:v>45296</c:v>
                </c:pt>
              </c:numCache>
            </c:numRef>
          </c:cat>
          <c:val>
            <c:numRef>
              <c:f>Hoja1!$C$2:$C$506</c:f>
              <c:numCache>
                <c:formatCode>_-* #,##0.0_-;\-* #,##0.0_-;_-* "-"??_-;_-@_-</c:formatCode>
                <c:ptCount val="505"/>
                <c:pt idx="0">
                  <c:v>758</c:v>
                </c:pt>
                <c:pt idx="1">
                  <c:v>770</c:v>
                </c:pt>
                <c:pt idx="2">
                  <c:v>760.75</c:v>
                </c:pt>
                <c:pt idx="3">
                  <c:v>746</c:v>
                </c:pt>
                <c:pt idx="4">
                  <c:v>758.5</c:v>
                </c:pt>
                <c:pt idx="5">
                  <c:v>762</c:v>
                </c:pt>
                <c:pt idx="6">
                  <c:v>770.25</c:v>
                </c:pt>
                <c:pt idx="7">
                  <c:v>757.75</c:v>
                </c:pt>
                <c:pt idx="8">
                  <c:v>746.75</c:v>
                </c:pt>
                <c:pt idx="9">
                  <c:v>741.5</c:v>
                </c:pt>
                <c:pt idx="10">
                  <c:v>769</c:v>
                </c:pt>
                <c:pt idx="11">
                  <c:v>796.5</c:v>
                </c:pt>
                <c:pt idx="12">
                  <c:v>790.25</c:v>
                </c:pt>
                <c:pt idx="13">
                  <c:v>780</c:v>
                </c:pt>
                <c:pt idx="14">
                  <c:v>800.5</c:v>
                </c:pt>
                <c:pt idx="15">
                  <c:v>818</c:v>
                </c:pt>
                <c:pt idx="16">
                  <c:v>795</c:v>
                </c:pt>
                <c:pt idx="17">
                  <c:v>777</c:v>
                </c:pt>
                <c:pt idx="18">
                  <c:v>786.25</c:v>
                </c:pt>
                <c:pt idx="19">
                  <c:v>761.25</c:v>
                </c:pt>
                <c:pt idx="20">
                  <c:v>769</c:v>
                </c:pt>
                <c:pt idx="21">
                  <c:v>755</c:v>
                </c:pt>
                <c:pt idx="22">
                  <c:v>751.75</c:v>
                </c:pt>
                <c:pt idx="23">
                  <c:v>763.25</c:v>
                </c:pt>
                <c:pt idx="24">
                  <c:v>768.75</c:v>
                </c:pt>
                <c:pt idx="25">
                  <c:v>778.75</c:v>
                </c:pt>
                <c:pt idx="26">
                  <c:v>785</c:v>
                </c:pt>
                <c:pt idx="27">
                  <c:v>771.5</c:v>
                </c:pt>
                <c:pt idx="28">
                  <c:v>797.75</c:v>
                </c:pt>
                <c:pt idx="29">
                  <c:v>799.25</c:v>
                </c:pt>
                <c:pt idx="30">
                  <c:v>779.75</c:v>
                </c:pt>
                <c:pt idx="31">
                  <c:v>780.5</c:v>
                </c:pt>
                <c:pt idx="32">
                  <c:v>798</c:v>
                </c:pt>
                <c:pt idx="33">
                  <c:v>797</c:v>
                </c:pt>
                <c:pt idx="34">
                  <c:v>844.25</c:v>
                </c:pt>
                <c:pt idx="35">
                  <c:v>876</c:v>
                </c:pt>
                <c:pt idx="36">
                  <c:v>926</c:v>
                </c:pt>
                <c:pt idx="37">
                  <c:v>843</c:v>
                </c:pt>
                <c:pt idx="38">
                  <c:v>928</c:v>
                </c:pt>
                <c:pt idx="39">
                  <c:v>1001.75</c:v>
                </c:pt>
                <c:pt idx="40">
                  <c:v>1058.5</c:v>
                </c:pt>
                <c:pt idx="41">
                  <c:v>1289</c:v>
                </c:pt>
                <c:pt idx="42">
                  <c:v>1348</c:v>
                </c:pt>
                <c:pt idx="43">
                  <c:v>1425.25</c:v>
                </c:pt>
                <c:pt idx="44">
                  <c:v>1273</c:v>
                </c:pt>
                <c:pt idx="45">
                  <c:v>1199.5</c:v>
                </c:pt>
                <c:pt idx="46">
                  <c:v>1073.75</c:v>
                </c:pt>
                <c:pt idx="47">
                  <c:v>1090</c:v>
                </c:pt>
                <c:pt idx="48">
                  <c:v>1090</c:v>
                </c:pt>
                <c:pt idx="49">
                  <c:v>1154.25</c:v>
                </c:pt>
                <c:pt idx="50">
                  <c:v>1069.25</c:v>
                </c:pt>
                <c:pt idx="51">
                  <c:v>1098</c:v>
                </c:pt>
                <c:pt idx="52">
                  <c:v>1063.75</c:v>
                </c:pt>
                <c:pt idx="53">
                  <c:v>1119.25</c:v>
                </c:pt>
                <c:pt idx="54">
                  <c:v>1118.25</c:v>
                </c:pt>
                <c:pt idx="55">
                  <c:v>1105.75</c:v>
                </c:pt>
                <c:pt idx="56">
                  <c:v>1085.75</c:v>
                </c:pt>
                <c:pt idx="57">
                  <c:v>1102.25</c:v>
                </c:pt>
                <c:pt idx="58">
                  <c:v>1057</c:v>
                </c:pt>
                <c:pt idx="59">
                  <c:v>1014.25</c:v>
                </c:pt>
                <c:pt idx="60">
                  <c:v>1027.25</c:v>
                </c:pt>
                <c:pt idx="61">
                  <c:v>1006</c:v>
                </c:pt>
                <c:pt idx="62">
                  <c:v>984.5</c:v>
                </c:pt>
                <c:pt idx="63">
                  <c:v>1010.25</c:v>
                </c:pt>
                <c:pt idx="64">
                  <c:v>1045.25</c:v>
                </c:pt>
                <c:pt idx="65">
                  <c:v>1038.25</c:v>
                </c:pt>
                <c:pt idx="66">
                  <c:v>1020</c:v>
                </c:pt>
                <c:pt idx="67">
                  <c:v>1051.5</c:v>
                </c:pt>
                <c:pt idx="68">
                  <c:v>1081.25</c:v>
                </c:pt>
                <c:pt idx="69">
                  <c:v>1103.75</c:v>
                </c:pt>
                <c:pt idx="70">
                  <c:v>1113.5</c:v>
                </c:pt>
                <c:pt idx="71">
                  <c:v>1096.5</c:v>
                </c:pt>
                <c:pt idx="72">
                  <c:v>1120.5</c:v>
                </c:pt>
                <c:pt idx="73">
                  <c:v>1099</c:v>
                </c:pt>
                <c:pt idx="74">
                  <c:v>1088</c:v>
                </c:pt>
                <c:pt idx="75">
                  <c:v>1068</c:v>
                </c:pt>
                <c:pt idx="76">
                  <c:v>1065.5</c:v>
                </c:pt>
                <c:pt idx="77">
                  <c:v>1062</c:v>
                </c:pt>
                <c:pt idx="78">
                  <c:v>1083.25</c:v>
                </c:pt>
                <c:pt idx="79">
                  <c:v>1080</c:v>
                </c:pt>
                <c:pt idx="80">
                  <c:v>1074</c:v>
                </c:pt>
                <c:pt idx="81">
                  <c:v>1043.75</c:v>
                </c:pt>
                <c:pt idx="82">
                  <c:v>1043.5</c:v>
                </c:pt>
                <c:pt idx="83">
                  <c:v>1033.75</c:v>
                </c:pt>
                <c:pt idx="84">
                  <c:v>1066</c:v>
                </c:pt>
                <c:pt idx="85">
                  <c:v>1096</c:v>
                </c:pt>
                <c:pt idx="86">
                  <c:v>1097</c:v>
                </c:pt>
                <c:pt idx="87">
                  <c:v>1083.25</c:v>
                </c:pt>
                <c:pt idx="88">
                  <c:v>1083.25</c:v>
                </c:pt>
                <c:pt idx="89">
                  <c:v>1108.75</c:v>
                </c:pt>
                <c:pt idx="90">
                  <c:v>1174.5</c:v>
                </c:pt>
                <c:pt idx="91">
                  <c:v>1167.25</c:v>
                </c:pt>
                <c:pt idx="92">
                  <c:v>1247.5</c:v>
                </c:pt>
                <c:pt idx="93">
                  <c:v>1277.5</c:v>
                </c:pt>
                <c:pt idx="94">
                  <c:v>1230.75</c:v>
                </c:pt>
                <c:pt idx="95">
                  <c:v>1200.5</c:v>
                </c:pt>
                <c:pt idx="96">
                  <c:v>1168.75</c:v>
                </c:pt>
                <c:pt idx="97">
                  <c:v>1190</c:v>
                </c:pt>
                <c:pt idx="98">
                  <c:v>1154.75</c:v>
                </c:pt>
                <c:pt idx="99">
                  <c:v>1148.25</c:v>
                </c:pt>
                <c:pt idx="100">
                  <c:v>1143.25</c:v>
                </c:pt>
                <c:pt idx="101">
                  <c:v>1157.5</c:v>
                </c:pt>
                <c:pt idx="102">
                  <c:v>1087.5</c:v>
                </c:pt>
                <c:pt idx="103">
                  <c:v>1041.25</c:v>
                </c:pt>
                <c:pt idx="104">
                  <c:v>1058.25</c:v>
                </c:pt>
                <c:pt idx="105">
                  <c:v>1040</c:v>
                </c:pt>
                <c:pt idx="106">
                  <c:v>1093</c:v>
                </c:pt>
                <c:pt idx="107">
                  <c:v>1071.75</c:v>
                </c:pt>
                <c:pt idx="108">
                  <c:v>1074.75</c:v>
                </c:pt>
                <c:pt idx="109">
                  <c:v>1071.25</c:v>
                </c:pt>
                <c:pt idx="110">
                  <c:v>1070.75</c:v>
                </c:pt>
                <c:pt idx="111">
                  <c:v>1071</c:v>
                </c:pt>
                <c:pt idx="112">
                  <c:v>1050.25</c:v>
                </c:pt>
                <c:pt idx="113">
                  <c:v>1050</c:v>
                </c:pt>
                <c:pt idx="114">
                  <c:v>1078.25</c:v>
                </c:pt>
                <c:pt idx="115">
                  <c:v>1034.25</c:v>
                </c:pt>
                <c:pt idx="116">
                  <c:v>975.25</c:v>
                </c:pt>
                <c:pt idx="117">
                  <c:v>976.5</c:v>
                </c:pt>
                <c:pt idx="118">
                  <c:v>937.25</c:v>
                </c:pt>
                <c:pt idx="119">
                  <c:v>923.75</c:v>
                </c:pt>
                <c:pt idx="120">
                  <c:v>904</c:v>
                </c:pt>
                <c:pt idx="121">
                  <c:v>921.25</c:v>
                </c:pt>
                <c:pt idx="122">
                  <c:v>915.5</c:v>
                </c:pt>
                <c:pt idx="123">
                  <c:v>868.75</c:v>
                </c:pt>
                <c:pt idx="124">
                  <c:v>831.25</c:v>
                </c:pt>
                <c:pt idx="125">
                  <c:v>793.75</c:v>
                </c:pt>
                <c:pt idx="126">
                  <c:v>792.25</c:v>
                </c:pt>
                <c:pt idx="127">
                  <c:v>824.5</c:v>
                </c:pt>
                <c:pt idx="128">
                  <c:v>879.25</c:v>
                </c:pt>
                <c:pt idx="129">
                  <c:v>843.75</c:v>
                </c:pt>
                <c:pt idx="130">
                  <c:v>801.5</c:v>
                </c:pt>
                <c:pt idx="131">
                  <c:v>798.25</c:v>
                </c:pt>
                <c:pt idx="132">
                  <c:v>794.25</c:v>
                </c:pt>
                <c:pt idx="133">
                  <c:v>776.75</c:v>
                </c:pt>
                <c:pt idx="134">
                  <c:v>812.75</c:v>
                </c:pt>
                <c:pt idx="135">
                  <c:v>812.25</c:v>
                </c:pt>
                <c:pt idx="136">
                  <c:v>819.5</c:v>
                </c:pt>
                <c:pt idx="137">
                  <c:v>806.25</c:v>
                </c:pt>
                <c:pt idx="138">
                  <c:v>759</c:v>
                </c:pt>
                <c:pt idx="139">
                  <c:v>770</c:v>
                </c:pt>
                <c:pt idx="140">
                  <c:v>803.75</c:v>
                </c:pt>
                <c:pt idx="141">
                  <c:v>790.25</c:v>
                </c:pt>
                <c:pt idx="142">
                  <c:v>817</c:v>
                </c:pt>
                <c:pt idx="143">
                  <c:v>807.75</c:v>
                </c:pt>
                <c:pt idx="144">
                  <c:v>800.25</c:v>
                </c:pt>
                <c:pt idx="145">
                  <c:v>774.75</c:v>
                </c:pt>
                <c:pt idx="146">
                  <c:v>763.75</c:v>
                </c:pt>
                <c:pt idx="147">
                  <c:v>782.5</c:v>
                </c:pt>
                <c:pt idx="148">
                  <c:v>775.75</c:v>
                </c:pt>
                <c:pt idx="149">
                  <c:v>779.75</c:v>
                </c:pt>
                <c:pt idx="150">
                  <c:v>781.5</c:v>
                </c:pt>
                <c:pt idx="151">
                  <c:v>799.75</c:v>
                </c:pt>
                <c:pt idx="152">
                  <c:v>810.75</c:v>
                </c:pt>
                <c:pt idx="153">
                  <c:v>806</c:v>
                </c:pt>
                <c:pt idx="154">
                  <c:v>800.75</c:v>
                </c:pt>
                <c:pt idx="155">
                  <c:v>786</c:v>
                </c:pt>
                <c:pt idx="156">
                  <c:v>763.25</c:v>
                </c:pt>
                <c:pt idx="157">
                  <c:v>731.5</c:v>
                </c:pt>
                <c:pt idx="158">
                  <c:v>753.25</c:v>
                </c:pt>
                <c:pt idx="159">
                  <c:v>770.5</c:v>
                </c:pt>
                <c:pt idx="160">
                  <c:v>782.75</c:v>
                </c:pt>
                <c:pt idx="161">
                  <c:v>795</c:v>
                </c:pt>
                <c:pt idx="162">
                  <c:v>769.75</c:v>
                </c:pt>
                <c:pt idx="163">
                  <c:v>784.75</c:v>
                </c:pt>
                <c:pt idx="164">
                  <c:v>820</c:v>
                </c:pt>
                <c:pt idx="165">
                  <c:v>798.25</c:v>
                </c:pt>
                <c:pt idx="166">
                  <c:v>809</c:v>
                </c:pt>
                <c:pt idx="167">
                  <c:v>775.5</c:v>
                </c:pt>
                <c:pt idx="168">
                  <c:v>793</c:v>
                </c:pt>
                <c:pt idx="169">
                  <c:v>800</c:v>
                </c:pt>
                <c:pt idx="170">
                  <c:v>826.5</c:v>
                </c:pt>
                <c:pt idx="171">
                  <c:v>810.5</c:v>
                </c:pt>
                <c:pt idx="172">
                  <c:v>853.25</c:v>
                </c:pt>
                <c:pt idx="173">
                  <c:v>841.25</c:v>
                </c:pt>
                <c:pt idx="174">
                  <c:v>842.75</c:v>
                </c:pt>
                <c:pt idx="175">
                  <c:v>853.75</c:v>
                </c:pt>
                <c:pt idx="176">
                  <c:v>845</c:v>
                </c:pt>
                <c:pt idx="177">
                  <c:v>859.75</c:v>
                </c:pt>
                <c:pt idx="178">
                  <c:v>830.5</c:v>
                </c:pt>
                <c:pt idx="179">
                  <c:v>893.75</c:v>
                </c:pt>
                <c:pt idx="180">
                  <c:v>903.75</c:v>
                </c:pt>
                <c:pt idx="181">
                  <c:v>910.75</c:v>
                </c:pt>
                <c:pt idx="182">
                  <c:v>880.5</c:v>
                </c:pt>
                <c:pt idx="183">
                  <c:v>858</c:v>
                </c:pt>
                <c:pt idx="184">
                  <c:v>871.5</c:v>
                </c:pt>
                <c:pt idx="185">
                  <c:v>903.25</c:v>
                </c:pt>
                <c:pt idx="186">
                  <c:v>896.25</c:v>
                </c:pt>
                <c:pt idx="187">
                  <c:v>921.5</c:v>
                </c:pt>
                <c:pt idx="188">
                  <c:v>912</c:v>
                </c:pt>
                <c:pt idx="189">
                  <c:v>903</c:v>
                </c:pt>
                <c:pt idx="190">
                  <c:v>902</c:v>
                </c:pt>
                <c:pt idx="191">
                  <c:v>879</c:v>
                </c:pt>
                <c:pt idx="192">
                  <c:v>880.25</c:v>
                </c:pt>
                <c:pt idx="193">
                  <c:v>938</c:v>
                </c:pt>
                <c:pt idx="194">
                  <c:v>901</c:v>
                </c:pt>
                <c:pt idx="195">
                  <c:v>882.25</c:v>
                </c:pt>
                <c:pt idx="196">
                  <c:v>892.25</c:v>
                </c:pt>
                <c:pt idx="197">
                  <c:v>859.75</c:v>
                </c:pt>
                <c:pt idx="198">
                  <c:v>861</c:v>
                </c:pt>
                <c:pt idx="199">
                  <c:v>849.5</c:v>
                </c:pt>
                <c:pt idx="200">
                  <c:v>841.25</c:v>
                </c:pt>
                <c:pt idx="201">
                  <c:v>849.25</c:v>
                </c:pt>
                <c:pt idx="202">
                  <c:v>850.75</c:v>
                </c:pt>
                <c:pt idx="203">
                  <c:v>838.75</c:v>
                </c:pt>
                <c:pt idx="204">
                  <c:v>834.75</c:v>
                </c:pt>
                <c:pt idx="205">
                  <c:v>840.5</c:v>
                </c:pt>
                <c:pt idx="206">
                  <c:v>838.5</c:v>
                </c:pt>
                <c:pt idx="207">
                  <c:v>829.25</c:v>
                </c:pt>
                <c:pt idx="208">
                  <c:v>882.25</c:v>
                </c:pt>
                <c:pt idx="209">
                  <c:v>902.5</c:v>
                </c:pt>
                <c:pt idx="210">
                  <c:v>846</c:v>
                </c:pt>
                <c:pt idx="211">
                  <c:v>840.5</c:v>
                </c:pt>
                <c:pt idx="212">
                  <c:v>847.75</c:v>
                </c:pt>
                <c:pt idx="213">
                  <c:v>845.75</c:v>
                </c:pt>
                <c:pt idx="214">
                  <c:v>827.75</c:v>
                </c:pt>
                <c:pt idx="215">
                  <c:v>806.5</c:v>
                </c:pt>
                <c:pt idx="216">
                  <c:v>803.5</c:v>
                </c:pt>
                <c:pt idx="217">
                  <c:v>813.75</c:v>
                </c:pt>
                <c:pt idx="218">
                  <c:v>818.5</c:v>
                </c:pt>
                <c:pt idx="219">
                  <c:v>828.25</c:v>
                </c:pt>
                <c:pt idx="220">
                  <c:v>817.5</c:v>
                </c:pt>
                <c:pt idx="221">
                  <c:v>806.75</c:v>
                </c:pt>
                <c:pt idx="222">
                  <c:v>803.25</c:v>
                </c:pt>
                <c:pt idx="223">
                  <c:v>799.25</c:v>
                </c:pt>
                <c:pt idx="224">
                  <c:v>791.5</c:v>
                </c:pt>
                <c:pt idx="225">
                  <c:v>793.5</c:v>
                </c:pt>
                <c:pt idx="226">
                  <c:v>775.5</c:v>
                </c:pt>
                <c:pt idx="227">
                  <c:v>756.75</c:v>
                </c:pt>
                <c:pt idx="228">
                  <c:v>757.75</c:v>
                </c:pt>
                <c:pt idx="229">
                  <c:v>771.5</c:v>
                </c:pt>
                <c:pt idx="230">
                  <c:v>758.75</c:v>
                </c:pt>
                <c:pt idx="231">
                  <c:v>737.25</c:v>
                </c:pt>
                <c:pt idx="232">
                  <c:v>715.5</c:v>
                </c:pt>
                <c:pt idx="233">
                  <c:v>705.5</c:v>
                </c:pt>
                <c:pt idx="234">
                  <c:v>727</c:v>
                </c:pt>
                <c:pt idx="235">
                  <c:v>724.25</c:v>
                </c:pt>
                <c:pt idx="236">
                  <c:v>712.75</c:v>
                </c:pt>
                <c:pt idx="237">
                  <c:v>733</c:v>
                </c:pt>
                <c:pt idx="238">
                  <c:v>728.75</c:v>
                </c:pt>
                <c:pt idx="239">
                  <c:v>728.25</c:v>
                </c:pt>
                <c:pt idx="240">
                  <c:v>757.25</c:v>
                </c:pt>
                <c:pt idx="241">
                  <c:v>753.5</c:v>
                </c:pt>
                <c:pt idx="242">
                  <c:v>748.5</c:v>
                </c:pt>
                <c:pt idx="243">
                  <c:v>750.5</c:v>
                </c:pt>
                <c:pt idx="244">
                  <c:v>767.75</c:v>
                </c:pt>
                <c:pt idx="245">
                  <c:v>762.25</c:v>
                </c:pt>
                <c:pt idx="246">
                  <c:v>776</c:v>
                </c:pt>
                <c:pt idx="247">
                  <c:v>774.5</c:v>
                </c:pt>
                <c:pt idx="248">
                  <c:v>785.5</c:v>
                </c:pt>
                <c:pt idx="249">
                  <c:v>774</c:v>
                </c:pt>
                <c:pt idx="250">
                  <c:v>792</c:v>
                </c:pt>
                <c:pt idx="251">
                  <c:v>775.5</c:v>
                </c:pt>
                <c:pt idx="252">
                  <c:v>745.5</c:v>
                </c:pt>
                <c:pt idx="253">
                  <c:v>746.75</c:v>
                </c:pt>
                <c:pt idx="254">
                  <c:v>743.5</c:v>
                </c:pt>
                <c:pt idx="255">
                  <c:v>741.5</c:v>
                </c:pt>
                <c:pt idx="256">
                  <c:v>731</c:v>
                </c:pt>
                <c:pt idx="257">
                  <c:v>740</c:v>
                </c:pt>
                <c:pt idx="258">
                  <c:v>742.75</c:v>
                </c:pt>
                <c:pt idx="259">
                  <c:v>743.75</c:v>
                </c:pt>
                <c:pt idx="260">
                  <c:v>751.75</c:v>
                </c:pt>
                <c:pt idx="261">
                  <c:v>742.5</c:v>
                </c:pt>
                <c:pt idx="262">
                  <c:v>734.5</c:v>
                </c:pt>
                <c:pt idx="263">
                  <c:v>741.5</c:v>
                </c:pt>
                <c:pt idx="264">
                  <c:v>720</c:v>
                </c:pt>
                <c:pt idx="265">
                  <c:v>734.5</c:v>
                </c:pt>
                <c:pt idx="266">
                  <c:v>741.25</c:v>
                </c:pt>
                <c:pt idx="267">
                  <c:v>752.5</c:v>
                </c:pt>
                <c:pt idx="268">
                  <c:v>750</c:v>
                </c:pt>
                <c:pt idx="269">
                  <c:v>752.5</c:v>
                </c:pt>
                <c:pt idx="270">
                  <c:v>761.25</c:v>
                </c:pt>
                <c:pt idx="271">
                  <c:v>759.75</c:v>
                </c:pt>
                <c:pt idx="272">
                  <c:v>761</c:v>
                </c:pt>
                <c:pt idx="273">
                  <c:v>756.75</c:v>
                </c:pt>
                <c:pt idx="274">
                  <c:v>750.25</c:v>
                </c:pt>
                <c:pt idx="275">
                  <c:v>749.75</c:v>
                </c:pt>
                <c:pt idx="276">
                  <c:v>764.75</c:v>
                </c:pt>
                <c:pt idx="277">
                  <c:v>757.25</c:v>
                </c:pt>
                <c:pt idx="278">
                  <c:v>786</c:v>
                </c:pt>
                <c:pt idx="279">
                  <c:v>792</c:v>
                </c:pt>
                <c:pt idx="280">
                  <c:v>786</c:v>
                </c:pt>
                <c:pt idx="281">
                  <c:v>769.25</c:v>
                </c:pt>
                <c:pt idx="282">
                  <c:v>765</c:v>
                </c:pt>
                <c:pt idx="283">
                  <c:v>765.5</c:v>
                </c:pt>
                <c:pt idx="284">
                  <c:v>750.5</c:v>
                </c:pt>
                <c:pt idx="285">
                  <c:v>736.5</c:v>
                </c:pt>
                <c:pt idx="286">
                  <c:v>738.25</c:v>
                </c:pt>
                <c:pt idx="287">
                  <c:v>708.25</c:v>
                </c:pt>
                <c:pt idx="288">
                  <c:v>696</c:v>
                </c:pt>
                <c:pt idx="289">
                  <c:v>691.5</c:v>
                </c:pt>
                <c:pt idx="290">
                  <c:v>697</c:v>
                </c:pt>
                <c:pt idx="291">
                  <c:v>701.25</c:v>
                </c:pt>
                <c:pt idx="292">
                  <c:v>695.75</c:v>
                </c:pt>
                <c:pt idx="293">
                  <c:v>682.5</c:v>
                </c:pt>
                <c:pt idx="294">
                  <c:v>684.75</c:v>
                </c:pt>
                <c:pt idx="295">
                  <c:v>674.5</c:v>
                </c:pt>
                <c:pt idx="296">
                  <c:v>653.5</c:v>
                </c:pt>
                <c:pt idx="297">
                  <c:v>666.75</c:v>
                </c:pt>
                <c:pt idx="298">
                  <c:v>672.25</c:v>
                </c:pt>
                <c:pt idx="299">
                  <c:v>686.5</c:v>
                </c:pt>
                <c:pt idx="300">
                  <c:v>702.75</c:v>
                </c:pt>
                <c:pt idx="301">
                  <c:v>699</c:v>
                </c:pt>
                <c:pt idx="302">
                  <c:v>710.5</c:v>
                </c:pt>
                <c:pt idx="303">
                  <c:v>700.75</c:v>
                </c:pt>
                <c:pt idx="304">
                  <c:v>683.25</c:v>
                </c:pt>
                <c:pt idx="305">
                  <c:v>663.5</c:v>
                </c:pt>
                <c:pt idx="306">
                  <c:v>662</c:v>
                </c:pt>
                <c:pt idx="307">
                  <c:v>688.5</c:v>
                </c:pt>
                <c:pt idx="308">
                  <c:v>698</c:v>
                </c:pt>
                <c:pt idx="309">
                  <c:v>699.75</c:v>
                </c:pt>
                <c:pt idx="310">
                  <c:v>704.75</c:v>
                </c:pt>
                <c:pt idx="311">
                  <c:v>692.25</c:v>
                </c:pt>
                <c:pt idx="312">
                  <c:v>692.25</c:v>
                </c:pt>
                <c:pt idx="313">
                  <c:v>693.5</c:v>
                </c:pt>
                <c:pt idx="314">
                  <c:v>691.5</c:v>
                </c:pt>
                <c:pt idx="315">
                  <c:v>682</c:v>
                </c:pt>
                <c:pt idx="316">
                  <c:v>675.5</c:v>
                </c:pt>
                <c:pt idx="317">
                  <c:v>678.5</c:v>
                </c:pt>
                <c:pt idx="318">
                  <c:v>674</c:v>
                </c:pt>
                <c:pt idx="319">
                  <c:v>679.5</c:v>
                </c:pt>
                <c:pt idx="320">
                  <c:v>667</c:v>
                </c:pt>
                <c:pt idx="321">
                  <c:v>682.5</c:v>
                </c:pt>
                <c:pt idx="322">
                  <c:v>696.5</c:v>
                </c:pt>
                <c:pt idx="323">
                  <c:v>698</c:v>
                </c:pt>
                <c:pt idx="324">
                  <c:v>681.75</c:v>
                </c:pt>
                <c:pt idx="325">
                  <c:v>667.75</c:v>
                </c:pt>
                <c:pt idx="326">
                  <c:v>661.75</c:v>
                </c:pt>
                <c:pt idx="327">
                  <c:v>643.5</c:v>
                </c:pt>
                <c:pt idx="328">
                  <c:v>638.75</c:v>
                </c:pt>
                <c:pt idx="329">
                  <c:v>627.25</c:v>
                </c:pt>
                <c:pt idx="330">
                  <c:v>614.75</c:v>
                </c:pt>
                <c:pt idx="331">
                  <c:v>619.75</c:v>
                </c:pt>
                <c:pt idx="332">
                  <c:v>603.75</c:v>
                </c:pt>
                <c:pt idx="333">
                  <c:v>595.5</c:v>
                </c:pt>
                <c:pt idx="334">
                  <c:v>626.25</c:v>
                </c:pt>
                <c:pt idx="335">
                  <c:v>631.5</c:v>
                </c:pt>
                <c:pt idx="336">
                  <c:v>647</c:v>
                </c:pt>
                <c:pt idx="337">
                  <c:v>641</c:v>
                </c:pt>
                <c:pt idx="338">
                  <c:v>630.5</c:v>
                </c:pt>
                <c:pt idx="339">
                  <c:v>628.25</c:v>
                </c:pt>
                <c:pt idx="340">
                  <c:v>614.25</c:v>
                </c:pt>
                <c:pt idx="341">
                  <c:v>624.5</c:v>
                </c:pt>
                <c:pt idx="342">
                  <c:v>660.75</c:v>
                </c:pt>
                <c:pt idx="343">
                  <c:v>647.5</c:v>
                </c:pt>
                <c:pt idx="344">
                  <c:v>625.5</c:v>
                </c:pt>
                <c:pt idx="345">
                  <c:v>611.75</c:v>
                </c:pt>
                <c:pt idx="346">
                  <c:v>605</c:v>
                </c:pt>
                <c:pt idx="347">
                  <c:v>606.25</c:v>
                </c:pt>
                <c:pt idx="348">
                  <c:v>622.25</c:v>
                </c:pt>
                <c:pt idx="349">
                  <c:v>606.25</c:v>
                </c:pt>
                <c:pt idx="350">
                  <c:v>604.25</c:v>
                </c:pt>
                <c:pt idx="351">
                  <c:v>616</c:v>
                </c:pt>
                <c:pt idx="352">
                  <c:v>591</c:v>
                </c:pt>
                <c:pt idx="353">
                  <c:v>594.25</c:v>
                </c:pt>
                <c:pt idx="354">
                  <c:v>610.75</c:v>
                </c:pt>
                <c:pt idx="355">
                  <c:v>619</c:v>
                </c:pt>
                <c:pt idx="356">
                  <c:v>624</c:v>
                </c:pt>
                <c:pt idx="357">
                  <c:v>627.75</c:v>
                </c:pt>
                <c:pt idx="358">
                  <c:v>616.75</c:v>
                </c:pt>
                <c:pt idx="359">
                  <c:v>626.25</c:v>
                </c:pt>
                <c:pt idx="360">
                  <c:v>630.25</c:v>
                </c:pt>
                <c:pt idx="361">
                  <c:v>633.75</c:v>
                </c:pt>
                <c:pt idx="362">
                  <c:v>636.25</c:v>
                </c:pt>
                <c:pt idx="363">
                  <c:v>630.25</c:v>
                </c:pt>
                <c:pt idx="364">
                  <c:v>661.5</c:v>
                </c:pt>
                <c:pt idx="365">
                  <c:v>688</c:v>
                </c:pt>
                <c:pt idx="366">
                  <c:v>695.75</c:v>
                </c:pt>
                <c:pt idx="367">
                  <c:v>734.5</c:v>
                </c:pt>
                <c:pt idx="368">
                  <c:v>739</c:v>
                </c:pt>
                <c:pt idx="369">
                  <c:v>733.25</c:v>
                </c:pt>
                <c:pt idx="370">
                  <c:v>724.25</c:v>
                </c:pt>
                <c:pt idx="371">
                  <c:v>685</c:v>
                </c:pt>
                <c:pt idx="372">
                  <c:v>655.75</c:v>
                </c:pt>
                <c:pt idx="373">
                  <c:v>653</c:v>
                </c:pt>
                <c:pt idx="374">
                  <c:v>636.25</c:v>
                </c:pt>
                <c:pt idx="375">
                  <c:v>628.5</c:v>
                </c:pt>
                <c:pt idx="376">
                  <c:v>662</c:v>
                </c:pt>
                <c:pt idx="377">
                  <c:v>647</c:v>
                </c:pt>
                <c:pt idx="378">
                  <c:v>639.5</c:v>
                </c:pt>
                <c:pt idx="379">
                  <c:v>636.25</c:v>
                </c:pt>
                <c:pt idx="380">
                  <c:v>649.5</c:v>
                </c:pt>
                <c:pt idx="381">
                  <c:v>621.25</c:v>
                </c:pt>
                <c:pt idx="382">
                  <c:v>627.5</c:v>
                </c:pt>
                <c:pt idx="383">
                  <c:v>641.5</c:v>
                </c:pt>
                <c:pt idx="384">
                  <c:v>653.75</c:v>
                </c:pt>
                <c:pt idx="385">
                  <c:v>670.75</c:v>
                </c:pt>
                <c:pt idx="386">
                  <c:v>727.75</c:v>
                </c:pt>
                <c:pt idx="387">
                  <c:v>727</c:v>
                </c:pt>
                <c:pt idx="388">
                  <c:v>697.5</c:v>
                </c:pt>
                <c:pt idx="389">
                  <c:v>757.5</c:v>
                </c:pt>
                <c:pt idx="390">
                  <c:v>760.25</c:v>
                </c:pt>
                <c:pt idx="391">
                  <c:v>720</c:v>
                </c:pt>
                <c:pt idx="392">
                  <c:v>712.75</c:v>
                </c:pt>
                <c:pt idx="393">
                  <c:v>704.25</c:v>
                </c:pt>
                <c:pt idx="394">
                  <c:v>665.75</c:v>
                </c:pt>
                <c:pt idx="395">
                  <c:v>652.25</c:v>
                </c:pt>
                <c:pt idx="396">
                  <c:v>640</c:v>
                </c:pt>
                <c:pt idx="397">
                  <c:v>627</c:v>
                </c:pt>
                <c:pt idx="398">
                  <c:v>633</c:v>
                </c:pt>
                <c:pt idx="399">
                  <c:v>657.5</c:v>
                </c:pt>
                <c:pt idx="400">
                  <c:v>656.25</c:v>
                </c:pt>
                <c:pt idx="401">
                  <c:v>635</c:v>
                </c:pt>
                <c:pt idx="402">
                  <c:v>637.75</c:v>
                </c:pt>
                <c:pt idx="403">
                  <c:v>626.75</c:v>
                </c:pt>
                <c:pt idx="404">
                  <c:v>616</c:v>
                </c:pt>
                <c:pt idx="405">
                  <c:v>598.5</c:v>
                </c:pt>
                <c:pt idx="406">
                  <c:v>597.75</c:v>
                </c:pt>
                <c:pt idx="407">
                  <c:v>589.5</c:v>
                </c:pt>
                <c:pt idx="408">
                  <c:v>613.25</c:v>
                </c:pt>
                <c:pt idx="409">
                  <c:v>599.25</c:v>
                </c:pt>
                <c:pt idx="410">
                  <c:v>601.75</c:v>
                </c:pt>
                <c:pt idx="411">
                  <c:v>612.5</c:v>
                </c:pt>
                <c:pt idx="412">
                  <c:v>604</c:v>
                </c:pt>
                <c:pt idx="413">
                  <c:v>593.25</c:v>
                </c:pt>
                <c:pt idx="414">
                  <c:v>588</c:v>
                </c:pt>
                <c:pt idx="415">
                  <c:v>569.75</c:v>
                </c:pt>
                <c:pt idx="416">
                  <c:v>576.75</c:v>
                </c:pt>
                <c:pt idx="417">
                  <c:v>573</c:v>
                </c:pt>
                <c:pt idx="418">
                  <c:v>567.5</c:v>
                </c:pt>
                <c:pt idx="419">
                  <c:v>572.5</c:v>
                </c:pt>
                <c:pt idx="420">
                  <c:v>581</c:v>
                </c:pt>
                <c:pt idx="421">
                  <c:v>571.5</c:v>
                </c:pt>
                <c:pt idx="422">
                  <c:v>567.25</c:v>
                </c:pt>
                <c:pt idx="423">
                  <c:v>556</c:v>
                </c:pt>
                <c:pt idx="424">
                  <c:v>560.25</c:v>
                </c:pt>
                <c:pt idx="425">
                  <c:v>569</c:v>
                </c:pt>
                <c:pt idx="426">
                  <c:v>567.5</c:v>
                </c:pt>
                <c:pt idx="427">
                  <c:v>604.25</c:v>
                </c:pt>
                <c:pt idx="428">
                  <c:v>591.25</c:v>
                </c:pt>
                <c:pt idx="429">
                  <c:v>584</c:v>
                </c:pt>
                <c:pt idx="430">
                  <c:v>588.75</c:v>
                </c:pt>
                <c:pt idx="431">
                  <c:v>575.75</c:v>
                </c:pt>
                <c:pt idx="432">
                  <c:v>579.5</c:v>
                </c:pt>
                <c:pt idx="433">
                  <c:v>589</c:v>
                </c:pt>
                <c:pt idx="434">
                  <c:v>589</c:v>
                </c:pt>
                <c:pt idx="435">
                  <c:v>579.5</c:v>
                </c:pt>
                <c:pt idx="436">
                  <c:v>578.75</c:v>
                </c:pt>
                <c:pt idx="437">
                  <c:v>541.5</c:v>
                </c:pt>
                <c:pt idx="438">
                  <c:v>564.75</c:v>
                </c:pt>
                <c:pt idx="439">
                  <c:v>568.5</c:v>
                </c:pt>
                <c:pt idx="440">
                  <c:v>560</c:v>
                </c:pt>
                <c:pt idx="441">
                  <c:v>578.25</c:v>
                </c:pt>
                <c:pt idx="442">
                  <c:v>568.25</c:v>
                </c:pt>
                <c:pt idx="443">
                  <c:v>572.75</c:v>
                </c:pt>
                <c:pt idx="444">
                  <c:v>558.5</c:v>
                </c:pt>
                <c:pt idx="445">
                  <c:v>556</c:v>
                </c:pt>
                <c:pt idx="446">
                  <c:v>571.5</c:v>
                </c:pt>
                <c:pt idx="447">
                  <c:v>579.75</c:v>
                </c:pt>
                <c:pt idx="448">
                  <c:v>577.25</c:v>
                </c:pt>
                <c:pt idx="449">
                  <c:v>570.5</c:v>
                </c:pt>
                <c:pt idx="450">
                  <c:v>580.25</c:v>
                </c:pt>
                <c:pt idx="451">
                  <c:v>594</c:v>
                </c:pt>
                <c:pt idx="452">
                  <c:v>586</c:v>
                </c:pt>
                <c:pt idx="453">
                  <c:v>587.25</c:v>
                </c:pt>
                <c:pt idx="454">
                  <c:v>580.5</c:v>
                </c:pt>
                <c:pt idx="455">
                  <c:v>568.5</c:v>
                </c:pt>
                <c:pt idx="456">
                  <c:v>579.5</c:v>
                </c:pt>
                <c:pt idx="457">
                  <c:v>575.5</c:v>
                </c:pt>
                <c:pt idx="458">
                  <c:v>566</c:v>
                </c:pt>
                <c:pt idx="459">
                  <c:v>556.25</c:v>
                </c:pt>
                <c:pt idx="460">
                  <c:v>561.75</c:v>
                </c:pt>
                <c:pt idx="461">
                  <c:v>565.5</c:v>
                </c:pt>
                <c:pt idx="462">
                  <c:v>572.5</c:v>
                </c:pt>
                <c:pt idx="463">
                  <c:v>575.75</c:v>
                </c:pt>
                <c:pt idx="464">
                  <c:v>570.25</c:v>
                </c:pt>
                <c:pt idx="465">
                  <c:v>592.25</c:v>
                </c:pt>
                <c:pt idx="466">
                  <c:v>580.75</c:v>
                </c:pt>
                <c:pt idx="467">
                  <c:v>575.25</c:v>
                </c:pt>
                <c:pt idx="468">
                  <c:v>579</c:v>
                </c:pt>
                <c:pt idx="469">
                  <c:v>572</c:v>
                </c:pt>
                <c:pt idx="470">
                  <c:v>560.5</c:v>
                </c:pt>
                <c:pt idx="471">
                  <c:v>553.5</c:v>
                </c:pt>
                <c:pt idx="472">
                  <c:v>550.75</c:v>
                </c:pt>
                <c:pt idx="473">
                  <c:v>543.5</c:v>
                </c:pt>
                <c:pt idx="474">
                  <c:v>555</c:v>
                </c:pt>
                <c:pt idx="475">
                  <c:v>555.75</c:v>
                </c:pt>
                <c:pt idx="476">
                  <c:v>548.75</c:v>
                </c:pt>
                <c:pt idx="477">
                  <c:v>534.25</c:v>
                </c:pt>
                <c:pt idx="478">
                  <c:v>543.75</c:v>
                </c:pt>
                <c:pt idx="479">
                  <c:v>556</c:v>
                </c:pt>
                <c:pt idx="480">
                  <c:v>570.25</c:v>
                </c:pt>
                <c:pt idx="481">
                  <c:v>577</c:v>
                </c:pt>
                <c:pt idx="482">
                  <c:v>595.75</c:v>
                </c:pt>
                <c:pt idx="483">
                  <c:v>620.75</c:v>
                </c:pt>
                <c:pt idx="484">
                  <c:v>615.75</c:v>
                </c:pt>
                <c:pt idx="485">
                  <c:v>626</c:v>
                </c:pt>
                <c:pt idx="486">
                  <c:v>615</c:v>
                </c:pt>
                <c:pt idx="487">
                  <c:v>591.25</c:v>
                </c:pt>
                <c:pt idx="488">
                  <c:v>607</c:v>
                </c:pt>
                <c:pt idx="489">
                  <c:v>585.25</c:v>
                </c:pt>
                <c:pt idx="490">
                  <c:v>594</c:v>
                </c:pt>
                <c:pt idx="491">
                  <c:v>629.25</c:v>
                </c:pt>
                <c:pt idx="492">
                  <c:v>617</c:v>
                </c:pt>
                <c:pt idx="493">
                  <c:v>622.75</c:v>
                </c:pt>
                <c:pt idx="494">
                  <c:v>610</c:v>
                </c:pt>
                <c:pt idx="495">
                  <c:v>612.5</c:v>
                </c:pt>
                <c:pt idx="496">
                  <c:v>616.25</c:v>
                </c:pt>
                <c:pt idx="497">
                  <c:v>636.25</c:v>
                </c:pt>
                <c:pt idx="498">
                  <c:v>623</c:v>
                </c:pt>
                <c:pt idx="499">
                  <c:v>631.5</c:v>
                </c:pt>
                <c:pt idx="500">
                  <c:v>628</c:v>
                </c:pt>
                <c:pt idx="501">
                  <c:v>606.75</c:v>
                </c:pt>
                <c:pt idx="502">
                  <c:v>600.25</c:v>
                </c:pt>
                <c:pt idx="503">
                  <c:v>613.5</c:v>
                </c:pt>
                <c:pt idx="504">
                  <c:v>616</c:v>
                </c:pt>
              </c:numCache>
            </c:numRef>
          </c:val>
          <c:smooth val="0"/>
          <c:extLst>
            <c:ext xmlns:c16="http://schemas.microsoft.com/office/drawing/2014/chart" uri="{C3380CC4-5D6E-409C-BE32-E72D297353CC}">
              <c16:uniqueId val="{00000005-CC0E-439D-9880-896D3FFC2A28}"/>
            </c:ext>
          </c:extLst>
        </c:ser>
        <c:dLbls>
          <c:showLegendKey val="0"/>
          <c:showVal val="0"/>
          <c:showCatName val="0"/>
          <c:showSerName val="0"/>
          <c:showPercent val="0"/>
          <c:showBubbleSize val="0"/>
        </c:dLbls>
        <c:smooth val="0"/>
        <c:axId val="1923708544"/>
        <c:axId val="1923691072"/>
      </c:lineChart>
      <c:dateAx>
        <c:axId val="1923708544"/>
        <c:scaling>
          <c:orientation val="minMax"/>
          <c:max val="45291"/>
          <c:min val="44654"/>
        </c:scaling>
        <c:delete val="0"/>
        <c:axPos val="b"/>
        <c:numFmt formatCode="mmm\-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923691072"/>
        <c:crosses val="autoZero"/>
        <c:auto val="1"/>
        <c:lblOffset val="100"/>
        <c:baseTimeUnit val="days"/>
      </c:dateAx>
      <c:valAx>
        <c:axId val="1923691072"/>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900" b="1" i="0" baseline="0">
                    <a:effectLst/>
                    <a:latin typeface="Times New Roman" panose="02020603050405020304" pitchFamily="18" charset="0"/>
                    <a:cs typeface="Times New Roman" panose="02020603050405020304" pitchFamily="18" charset="0"/>
                  </a:rPr>
                  <a:t>$cts/bushel</a:t>
                </a:r>
              </a:p>
            </c:rich>
          </c:tx>
          <c:layout>
            <c:manualLayout>
              <c:xMode val="edge"/>
              <c:yMode val="edge"/>
              <c:x val="0"/>
              <c:y val="0.25516003606770155"/>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923708544"/>
        <c:crosses val="autoZero"/>
        <c:crossBetween val="between"/>
      </c:valAx>
      <c:spPr>
        <a:noFill/>
        <a:ln>
          <a:noFill/>
        </a:ln>
        <a:effectLst/>
      </c:spPr>
    </c:plotArea>
    <c:legend>
      <c:legendPos val="t"/>
      <c:layout>
        <c:manualLayout>
          <c:xMode val="edge"/>
          <c:yMode val="edge"/>
          <c:x val="0.21249007355409597"/>
          <c:y val="0"/>
          <c:w val="0.6103035929682562"/>
          <c:h val="9.329817307091244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185114487015415"/>
          <c:y val="5.4353662199576373E-2"/>
          <c:w val="0.77817075288748672"/>
          <c:h val="0.77615278787209108"/>
        </c:manualLayout>
      </c:layout>
      <c:barChart>
        <c:barDir val="col"/>
        <c:grouping val="clustered"/>
        <c:varyColors val="0"/>
        <c:ser>
          <c:idx val="1"/>
          <c:order val="0"/>
          <c:tx>
            <c:strRef>
              <c:f>'Gráficos SR'!$AL$2</c:f>
              <c:strCache>
                <c:ptCount val="1"/>
                <c:pt idx="0">
                  <c:v>Demanda energía</c:v>
                </c:pt>
              </c:strCache>
            </c:strRef>
          </c:tx>
          <c:spPr>
            <a:solidFill>
              <a:schemeClr val="accent5">
                <a:lumMod val="60000"/>
                <a:lumOff val="40000"/>
              </a:schemeClr>
            </a:solidFill>
            <a:ln>
              <a:solidFill>
                <a:schemeClr val="tx2"/>
              </a:solidFill>
            </a:ln>
            <a:effectLst/>
          </c:spPr>
          <c:invertIfNegative val="0"/>
          <c:cat>
            <c:numRef>
              <c:f>'Gráficos SR'!$AC$25:$AC$61</c:f>
              <c:numCache>
                <c:formatCode>mmm\-yy</c:formatCode>
                <c:ptCount val="37"/>
                <c:pt idx="0">
                  <c:v>44136</c:v>
                </c:pt>
                <c:pt idx="1">
                  <c:v>44166</c:v>
                </c:pt>
                <c:pt idx="2">
                  <c:v>44197</c:v>
                </c:pt>
                <c:pt idx="3">
                  <c:v>44228</c:v>
                </c:pt>
                <c:pt idx="4">
                  <c:v>44256</c:v>
                </c:pt>
                <c:pt idx="5">
                  <c:v>44287</c:v>
                </c:pt>
                <c:pt idx="6">
                  <c:v>44317</c:v>
                </c:pt>
                <c:pt idx="7">
                  <c:v>44348</c:v>
                </c:pt>
                <c:pt idx="8">
                  <c:v>44378</c:v>
                </c:pt>
                <c:pt idx="9">
                  <c:v>44409</c:v>
                </c:pt>
                <c:pt idx="10">
                  <c:v>44440</c:v>
                </c:pt>
                <c:pt idx="11">
                  <c:v>44470</c:v>
                </c:pt>
                <c:pt idx="12">
                  <c:v>44501</c:v>
                </c:pt>
                <c:pt idx="13">
                  <c:v>44531</c:v>
                </c:pt>
                <c:pt idx="14">
                  <c:v>44562</c:v>
                </c:pt>
                <c:pt idx="15">
                  <c:v>44593</c:v>
                </c:pt>
                <c:pt idx="16">
                  <c:v>44621</c:v>
                </c:pt>
                <c:pt idx="17">
                  <c:v>44652</c:v>
                </c:pt>
                <c:pt idx="18">
                  <c:v>44682</c:v>
                </c:pt>
                <c:pt idx="19">
                  <c:v>44713</c:v>
                </c:pt>
                <c:pt idx="20">
                  <c:v>44743</c:v>
                </c:pt>
                <c:pt idx="21">
                  <c:v>44774</c:v>
                </c:pt>
                <c:pt idx="22">
                  <c:v>44805</c:v>
                </c:pt>
                <c:pt idx="23">
                  <c:v>44835</c:v>
                </c:pt>
                <c:pt idx="24">
                  <c:v>44866</c:v>
                </c:pt>
                <c:pt idx="25">
                  <c:v>44896</c:v>
                </c:pt>
                <c:pt idx="26">
                  <c:v>44927</c:v>
                </c:pt>
                <c:pt idx="27">
                  <c:v>44958</c:v>
                </c:pt>
                <c:pt idx="28">
                  <c:v>44986</c:v>
                </c:pt>
                <c:pt idx="29">
                  <c:v>45017</c:v>
                </c:pt>
                <c:pt idx="30">
                  <c:v>45047</c:v>
                </c:pt>
                <c:pt idx="31">
                  <c:v>45078</c:v>
                </c:pt>
                <c:pt idx="32">
                  <c:v>45108</c:v>
                </c:pt>
                <c:pt idx="33">
                  <c:v>45139</c:v>
                </c:pt>
                <c:pt idx="34">
                  <c:v>45170</c:v>
                </c:pt>
                <c:pt idx="35">
                  <c:v>45200</c:v>
                </c:pt>
                <c:pt idx="36">
                  <c:v>45231</c:v>
                </c:pt>
              </c:numCache>
            </c:numRef>
          </c:cat>
          <c:val>
            <c:numRef>
              <c:f>'Gráficos SR'!$AL$25:$AL$61</c:f>
              <c:numCache>
                <c:formatCode>_(* #,##0.00_);_(* \(#,##0.00\);_(* "-"??_);_(@_)</c:formatCode>
                <c:ptCount val="37"/>
                <c:pt idx="0">
                  <c:v>0.74879629895585254</c:v>
                </c:pt>
                <c:pt idx="1">
                  <c:v>4.0153467698231964</c:v>
                </c:pt>
                <c:pt idx="2">
                  <c:v>1.6264522897930078</c:v>
                </c:pt>
                <c:pt idx="3">
                  <c:v>3.7977630332107992E-2</c:v>
                </c:pt>
                <c:pt idx="4">
                  <c:v>9.9989280182727782</c:v>
                </c:pt>
                <c:pt idx="5">
                  <c:v>16.783544985357651</c:v>
                </c:pt>
                <c:pt idx="6">
                  <c:v>15.107494149237482</c:v>
                </c:pt>
                <c:pt idx="7">
                  <c:v>14.058376996435967</c:v>
                </c:pt>
                <c:pt idx="8">
                  <c:v>11.402435034602505</c:v>
                </c:pt>
                <c:pt idx="9">
                  <c:v>6.4118808179984228</c:v>
                </c:pt>
                <c:pt idx="10">
                  <c:v>5.4685145663296026</c:v>
                </c:pt>
                <c:pt idx="11">
                  <c:v>5.9111835835836075</c:v>
                </c:pt>
                <c:pt idx="12">
                  <c:v>6.0828040604288418</c:v>
                </c:pt>
                <c:pt idx="13">
                  <c:v>7.2029499331808893</c:v>
                </c:pt>
                <c:pt idx="14">
                  <c:v>5.1659014884169068</c:v>
                </c:pt>
                <c:pt idx="15">
                  <c:v>2.7291211073793136</c:v>
                </c:pt>
                <c:pt idx="16">
                  <c:v>4.4919112266312595</c:v>
                </c:pt>
                <c:pt idx="17">
                  <c:v>3.7872253799389597</c:v>
                </c:pt>
                <c:pt idx="18">
                  <c:v>5.6956100629244446</c:v>
                </c:pt>
                <c:pt idx="19">
                  <c:v>1.5416402737009349</c:v>
                </c:pt>
                <c:pt idx="20">
                  <c:v>1.555324150256439</c:v>
                </c:pt>
                <c:pt idx="21">
                  <c:v>4.3057402497026089</c:v>
                </c:pt>
                <c:pt idx="22">
                  <c:v>2.7769991351872534</c:v>
                </c:pt>
                <c:pt idx="23">
                  <c:v>1.0850780392868558</c:v>
                </c:pt>
                <c:pt idx="24">
                  <c:v>5.0346621758384345</c:v>
                </c:pt>
                <c:pt idx="25">
                  <c:v>0.86501379886460938</c:v>
                </c:pt>
                <c:pt idx="26">
                  <c:v>3.1426132229566974</c:v>
                </c:pt>
                <c:pt idx="27">
                  <c:v>3.6826920095363533</c:v>
                </c:pt>
                <c:pt idx="28">
                  <c:v>4.5981535941836</c:v>
                </c:pt>
                <c:pt idx="29">
                  <c:v>3.3237074188051707</c:v>
                </c:pt>
                <c:pt idx="30">
                  <c:v>7.2274218571193103</c:v>
                </c:pt>
                <c:pt idx="31">
                  <c:v>10.101996739603436</c:v>
                </c:pt>
                <c:pt idx="32">
                  <c:v>6.9111761523968482</c:v>
                </c:pt>
                <c:pt idx="33">
                  <c:v>7.8440334400335274</c:v>
                </c:pt>
                <c:pt idx="34">
                  <c:v>8.0869621889773953</c:v>
                </c:pt>
                <c:pt idx="35">
                  <c:v>4.4367671689814188</c:v>
                </c:pt>
                <c:pt idx="36">
                  <c:v>5.4655611341184454</c:v>
                </c:pt>
              </c:numCache>
            </c:numRef>
          </c:val>
          <c:extLst>
            <c:ext xmlns:c16="http://schemas.microsoft.com/office/drawing/2014/chart" uri="{C3380CC4-5D6E-409C-BE32-E72D297353CC}">
              <c16:uniqueId val="{00000000-BB2D-44E8-9EB2-56516B6DEB7A}"/>
            </c:ext>
          </c:extLst>
        </c:ser>
        <c:dLbls>
          <c:showLegendKey val="0"/>
          <c:showVal val="0"/>
          <c:showCatName val="0"/>
          <c:showSerName val="0"/>
          <c:showPercent val="0"/>
          <c:showBubbleSize val="0"/>
        </c:dLbls>
        <c:gapWidth val="150"/>
        <c:axId val="817510143"/>
        <c:axId val="817513887"/>
      </c:barChart>
      <c:lineChart>
        <c:grouping val="standard"/>
        <c:varyColors val="0"/>
        <c:ser>
          <c:idx val="0"/>
          <c:order val="1"/>
          <c:tx>
            <c:strRef>
              <c:f>'Gráficos SR'!$L$46</c:f>
              <c:strCache>
                <c:ptCount val="1"/>
                <c:pt idx="0">
                  <c:v>IMAE</c:v>
                </c:pt>
              </c:strCache>
            </c:strRef>
          </c:tx>
          <c:spPr>
            <a:ln w="28575" cap="rnd">
              <a:solidFill>
                <a:srgbClr val="002060"/>
              </a:solidFill>
              <a:round/>
            </a:ln>
            <a:effectLst/>
          </c:spPr>
          <c:marker>
            <c:symbol val="none"/>
          </c:marker>
          <c:val>
            <c:numRef>
              <c:f>'Gráficos SR'!$AD$25:$AD$61</c:f>
              <c:numCache>
                <c:formatCode>_(* #,##0.00_);_(* \(#,##0.00\);_(* "-"??_);_(@_)</c:formatCode>
                <c:ptCount val="37"/>
                <c:pt idx="0">
                  <c:v>1.0616746054615191</c:v>
                </c:pt>
                <c:pt idx="1">
                  <c:v>3.8176422211667216</c:v>
                </c:pt>
                <c:pt idx="2">
                  <c:v>1.3061146809668571</c:v>
                </c:pt>
                <c:pt idx="3">
                  <c:v>2.4148125183054248</c:v>
                </c:pt>
                <c:pt idx="4">
                  <c:v>9.9494395478343876</c:v>
                </c:pt>
                <c:pt idx="5">
                  <c:v>15.430372642582512</c:v>
                </c:pt>
                <c:pt idx="6" formatCode="_-* #,##0.0_-;\-* #,##0.0_-;_-* &quot;-&quot;??_-;_-@_-">
                  <c:v>16.519496496679793</c:v>
                </c:pt>
                <c:pt idx="7" formatCode="_-* #,##0.0_-;\-* #,##0.0_-;_-* &quot;-&quot;??_-;_-@_-">
                  <c:v>14.244536132233733</c:v>
                </c:pt>
                <c:pt idx="8" formatCode="_-* #,##0.0_-;\-* #,##0.0_-;_-* &quot;-&quot;??_-;_-@_-">
                  <c:v>10.820559870779761</c:v>
                </c:pt>
                <c:pt idx="9" formatCode="_-* #,##0.0_-;\-* #,##0.0_-;_-* &quot;-&quot;??_-;_-@_-">
                  <c:v>7.835958559727203</c:v>
                </c:pt>
                <c:pt idx="10" formatCode="_-* #,##0.0_-;\-* #,##0.0_-;_-* &quot;-&quot;??_-;_-@_-">
                  <c:v>5.9508828114259984</c:v>
                </c:pt>
                <c:pt idx="11" formatCode="_-* #,##0.0_-;\-* #,##0.0_-;_-* &quot;-&quot;??_-;_-@_-">
                  <c:v>4.4035130966208413</c:v>
                </c:pt>
                <c:pt idx="12" formatCode="_-* #,##0.0_-;\-* #,##0.0_-;_-* &quot;-&quot;??_-;_-@_-">
                  <c:v>6.0118198653779302</c:v>
                </c:pt>
                <c:pt idx="13" formatCode="_-* #,##0.0_-;\-* #,##0.0_-;_-* &quot;-&quot;??_-;_-@_-">
                  <c:v>4.1978700629341574</c:v>
                </c:pt>
                <c:pt idx="14" formatCode="_-* #,##0.0_-;\-* #,##0.0_-;_-* &quot;-&quot;??_-;_-@_-">
                  <c:v>4.8897724668046862</c:v>
                </c:pt>
                <c:pt idx="15" formatCode="_-* #,##0.0_-;\-* #,##0.0_-;_-* &quot;-&quot;??_-;_-@_-">
                  <c:v>4.7250084153093894</c:v>
                </c:pt>
                <c:pt idx="16" formatCode="_-* #,##0.0_-;\-* #,##0.0_-;_-* &quot;-&quot;??_-;_-@_-">
                  <c:v>4.6832332988349066</c:v>
                </c:pt>
                <c:pt idx="17" formatCode="_-* #,##0.0_-;\-* #,##0.0_-;_-* &quot;-&quot;??_-;_-@_-">
                  <c:v>4.6101448622449084</c:v>
                </c:pt>
                <c:pt idx="18" formatCode="_-* #,##0.0_-;\-* #,##0.0_-;_-* &quot;-&quot;??_-;_-@_-">
                  <c:v>4.720840266067853</c:v>
                </c:pt>
                <c:pt idx="19" formatCode="_-* #,##0.0_-;\-* #,##0.0_-;_-* &quot;-&quot;??_-;_-@_-">
                  <c:v>4.0311303609734921</c:v>
                </c:pt>
                <c:pt idx="20" formatCode="_-* #,##0.0_-;\-* #,##0.0_-;_-* &quot;-&quot;??_-;_-@_-">
                  <c:v>3.1358234605689717</c:v>
                </c:pt>
                <c:pt idx="21" formatCode="_-* #,##0.0_-;\-* #,##0.0_-;_-* &quot;-&quot;??_-;_-@_-">
                  <c:v>4.3854703272010624</c:v>
                </c:pt>
                <c:pt idx="22" formatCode="_-* #,##0.0_-;\-* #,##0.0_-;_-* &quot;-&quot;??_-;_-@_-">
                  <c:v>3.8257943845575682</c:v>
                </c:pt>
                <c:pt idx="23" formatCode="_-* #,##0.0_-;\-* #,##0.0_-;_-* &quot;-&quot;??_-;_-@_-">
                  <c:v>3.6698034159214927</c:v>
                </c:pt>
                <c:pt idx="24" formatCode="_-* #,##0.0_-;\-* #,##0.0_-;_-* &quot;-&quot;??_-;_-@_-">
                  <c:v>3.494754817963269</c:v>
                </c:pt>
                <c:pt idx="25" formatCode="_-* #,##0.0_-;\-* #,##0.0_-;_-* &quot;-&quot;??_-;_-@_-">
                  <c:v>3.3553626759601087</c:v>
                </c:pt>
                <c:pt idx="26" formatCode="_-* #,##0.0_-;\-* #,##0.0_-;_-* &quot;-&quot;??_-;_-@_-">
                  <c:v>3.2273650061450496</c:v>
                </c:pt>
                <c:pt idx="27" formatCode="_-* #,##0.0_-;\-* #,##0.0_-;_-* &quot;-&quot;??_-;_-@_-">
                  <c:v>4.3805724154476451</c:v>
                </c:pt>
                <c:pt idx="28" formatCode="_-* #,##0.0_-;\-* #,##0.0_-;_-* &quot;-&quot;??_-;_-@_-">
                  <c:v>3.6154060940900763</c:v>
                </c:pt>
                <c:pt idx="29" formatCode="_-* #,##0.0_-;\-* #,##0.0_-;_-* &quot;-&quot;??_-;_-@_-">
                  <c:v>3.3297675957569339</c:v>
                </c:pt>
                <c:pt idx="30" formatCode="_-* #,##0.0_-;\-* #,##0.0_-;_-* &quot;-&quot;??_-;_-@_-">
                  <c:v>3.5754973328551358</c:v>
                </c:pt>
                <c:pt idx="31" formatCode="_-* #,##0.0_-;\-* #,##0.0_-;_-* &quot;-&quot;??_-;_-@_-">
                  <c:v>4.6523946150377924</c:v>
                </c:pt>
                <c:pt idx="32" formatCode="_-* #,##0.0_-;\-* #,##0.0_-;_-* &quot;-&quot;??_-;_-@_-">
                  <c:v>4.4811325919107645</c:v>
                </c:pt>
                <c:pt idx="33" formatCode="_-* #,##0.0_-;\-* #,##0.0_-;_-* &quot;-&quot;??_-;_-@_-">
                  <c:v>3.0225215136396457</c:v>
                </c:pt>
                <c:pt idx="34" formatCode="_-* #,##0.0_-;\-* #,##0.0_-;_-* &quot;-&quot;??_-;_-@_-">
                  <c:v>3.1719474868394002</c:v>
                </c:pt>
                <c:pt idx="35" formatCode="_-* #,##0.0_-;\-* #,##0.0_-;_-* &quot;-&quot;??_-;_-@_-">
                  <c:v>1.5832503598854402</c:v>
                </c:pt>
                <c:pt idx="36" formatCode="_-* #,##0.0_-;\-* #,##0.0_-;_-* &quot;-&quot;??_-;_-@_-">
                  <c:v>2.8372047443876198</c:v>
                </c:pt>
              </c:numCache>
            </c:numRef>
          </c:val>
          <c:smooth val="0"/>
          <c:extLst>
            <c:ext xmlns:c16="http://schemas.microsoft.com/office/drawing/2014/chart" uri="{C3380CC4-5D6E-409C-BE32-E72D297353CC}">
              <c16:uniqueId val="{00000001-BB2D-44E8-9EB2-56516B6DEB7A}"/>
            </c:ext>
          </c:extLst>
        </c:ser>
        <c:dLbls>
          <c:showLegendKey val="0"/>
          <c:showVal val="0"/>
          <c:showCatName val="0"/>
          <c:showSerName val="0"/>
          <c:showPercent val="0"/>
          <c:showBubbleSize val="0"/>
        </c:dLbls>
        <c:marker val="1"/>
        <c:smooth val="0"/>
        <c:axId val="817510143"/>
        <c:axId val="817513887"/>
      </c:lineChart>
      <c:catAx>
        <c:axId val="817510143"/>
        <c:scaling>
          <c:orientation val="minMax"/>
        </c:scaling>
        <c:delete val="0"/>
        <c:axPos val="b"/>
        <c:numFmt formatCode="mmm\-yy"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817513887"/>
        <c:crosses val="autoZero"/>
        <c:auto val="1"/>
        <c:lblAlgn val="ctr"/>
        <c:lblOffset val="100"/>
        <c:noMultiLvlLbl val="0"/>
      </c:catAx>
      <c:valAx>
        <c:axId val="81751388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latin typeface="Times New Roman" panose="02020603050405020304" pitchFamily="18" charset="0"/>
                    <a:cs typeface="Times New Roman" panose="02020603050405020304" pitchFamily="18" charset="0"/>
                  </a:rPr>
                  <a:t>Variación interanual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817510143"/>
        <c:crosses val="autoZero"/>
        <c:crossBetween val="between"/>
      </c:valAx>
      <c:spPr>
        <a:noFill/>
        <a:ln>
          <a:noFill/>
        </a:ln>
        <a:effectLst/>
      </c:spPr>
    </c:plotArea>
    <c:legend>
      <c:legendPos val="r"/>
      <c:layout>
        <c:manualLayout>
          <c:xMode val="edge"/>
          <c:yMode val="edge"/>
          <c:x val="0.36890318325846"/>
          <c:y val="5.7522009239590784E-2"/>
          <c:w val="0.58075318361862049"/>
          <c:h val="9.2649455062710953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4">
    <c:autoUpdate val="0"/>
  </c:externalData>
  <c:userShapes r:id="rId5"/>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67442391056354E-2"/>
          <c:y val="0.10110627653810626"/>
          <c:w val="0.88113164499201457"/>
          <c:h val="0.72347669181546304"/>
        </c:manualLayout>
      </c:layout>
      <c:lineChart>
        <c:grouping val="standard"/>
        <c:varyColors val="0"/>
        <c:ser>
          <c:idx val="0"/>
          <c:order val="0"/>
          <c:tx>
            <c:strRef>
              <c:f>Sheet1!$B$1</c:f>
              <c:strCache>
                <c:ptCount val="1"/>
                <c:pt idx="0">
                  <c:v>Inflacion</c:v>
                </c:pt>
              </c:strCache>
            </c:strRef>
          </c:tx>
          <c:spPr>
            <a:ln w="15875">
              <a:solidFill>
                <a:srgbClr val="222A3F"/>
              </a:solidFill>
              <a:prstDash val="solid"/>
            </a:ln>
          </c:spPr>
          <c:marker>
            <c:symbol val="none"/>
          </c:marker>
          <c:dLbls>
            <c:dLbl>
              <c:idx val="59"/>
              <c:layout>
                <c:manualLayout>
                  <c:x val="0"/>
                  <c:y val="3.2299741602067299E-2"/>
                </c:manualLayout>
              </c:layout>
              <c:tx>
                <c:rich>
                  <a:bodyPr/>
                  <a:lstStyle/>
                  <a:p>
                    <a:r>
                      <a:rPr lang="en-US"/>
                      <a:t>4.2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E0F-4F91-87BA-D00EA80FD43E}"/>
                </c:ext>
              </c:extLst>
            </c:dLbl>
            <c:spPr>
              <a:noFill/>
              <a:ln>
                <a:noFill/>
              </a:ln>
              <a:effectLst/>
            </c:spPr>
            <c:txPr>
              <a:bodyPr/>
              <a:lstStyle/>
              <a:p>
                <a:pPr>
                  <a:defRPr sz="800" b="1">
                    <a:solidFill>
                      <a:srgbClr val="222A3F"/>
                    </a:solidFill>
                    <a:latin typeface="Times New Roman" panose="02020603050405020304" pitchFamily="18" charset="0"/>
                    <a:cs typeface="Times New Roman" panose="02020603050405020304" pitchFamily="18" charset="0"/>
                  </a:defRPr>
                </a:pPr>
                <a:endParaRPr lang="es-GT"/>
              </a:p>
            </c:txPr>
            <c:dLblPos val="r"/>
            <c:showLegendKey val="0"/>
            <c:showVal val="0"/>
            <c:showCatName val="0"/>
            <c:showSerName val="0"/>
            <c:showPercent val="0"/>
            <c:showBubbleSize val="0"/>
            <c:extLst>
              <c:ext xmlns:c15="http://schemas.microsoft.com/office/drawing/2012/chart" uri="{CE6537A1-D6FC-4f65-9D91-7224C49458BB}">
                <c15:showLeaderLines val="0"/>
              </c:ext>
            </c:extLst>
          </c:dLbls>
          <c:cat>
            <c:numRef>
              <c:f>Sheet1!$A$2:$A$61</c:f>
              <c:numCache>
                <c:formatCode>yyyy\-mm\-dd</c:formatCode>
                <c:ptCount val="60"/>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pt idx="30">
                  <c:v>44378</c:v>
                </c:pt>
                <c:pt idx="31">
                  <c:v>44409</c:v>
                </c:pt>
                <c:pt idx="32">
                  <c:v>44440</c:v>
                </c:pt>
                <c:pt idx="33">
                  <c:v>44470</c:v>
                </c:pt>
                <c:pt idx="34">
                  <c:v>44501</c:v>
                </c:pt>
                <c:pt idx="35">
                  <c:v>44531</c:v>
                </c:pt>
                <c:pt idx="36">
                  <c:v>44562</c:v>
                </c:pt>
                <c:pt idx="37">
                  <c:v>44593</c:v>
                </c:pt>
                <c:pt idx="38">
                  <c:v>44621</c:v>
                </c:pt>
                <c:pt idx="39">
                  <c:v>44652</c:v>
                </c:pt>
                <c:pt idx="40">
                  <c:v>44682</c:v>
                </c:pt>
                <c:pt idx="41">
                  <c:v>44713</c:v>
                </c:pt>
                <c:pt idx="42">
                  <c:v>44743</c:v>
                </c:pt>
                <c:pt idx="43">
                  <c:v>44774</c:v>
                </c:pt>
                <c:pt idx="44">
                  <c:v>44805</c:v>
                </c:pt>
                <c:pt idx="45">
                  <c:v>44835</c:v>
                </c:pt>
                <c:pt idx="46">
                  <c:v>44866</c:v>
                </c:pt>
                <c:pt idx="47">
                  <c:v>44896</c:v>
                </c:pt>
                <c:pt idx="48">
                  <c:v>44927</c:v>
                </c:pt>
                <c:pt idx="49">
                  <c:v>44958</c:v>
                </c:pt>
                <c:pt idx="50">
                  <c:v>44986</c:v>
                </c:pt>
                <c:pt idx="51">
                  <c:v>45017</c:v>
                </c:pt>
                <c:pt idx="52">
                  <c:v>45047</c:v>
                </c:pt>
                <c:pt idx="53">
                  <c:v>45078</c:v>
                </c:pt>
                <c:pt idx="54">
                  <c:v>45108</c:v>
                </c:pt>
                <c:pt idx="55">
                  <c:v>45139</c:v>
                </c:pt>
                <c:pt idx="56">
                  <c:v>45170</c:v>
                </c:pt>
                <c:pt idx="57">
                  <c:v>45200</c:v>
                </c:pt>
                <c:pt idx="58">
                  <c:v>45231</c:v>
                </c:pt>
                <c:pt idx="59">
                  <c:v>45261</c:v>
                </c:pt>
              </c:numCache>
            </c:numRef>
          </c:cat>
          <c:val>
            <c:numRef>
              <c:f>Sheet1!$B$2:$B$61</c:f>
              <c:numCache>
                <c:formatCode>General</c:formatCode>
                <c:ptCount val="60"/>
                <c:pt idx="0">
                  <c:v>4.0999999999999996</c:v>
                </c:pt>
                <c:pt idx="1">
                  <c:v>4.46</c:v>
                </c:pt>
                <c:pt idx="2">
                  <c:v>4.17</c:v>
                </c:pt>
                <c:pt idx="3">
                  <c:v>4.75</c:v>
                </c:pt>
                <c:pt idx="4">
                  <c:v>4.54</c:v>
                </c:pt>
                <c:pt idx="5">
                  <c:v>4.8</c:v>
                </c:pt>
                <c:pt idx="6">
                  <c:v>4.37</c:v>
                </c:pt>
                <c:pt idx="7">
                  <c:v>3.01</c:v>
                </c:pt>
                <c:pt idx="8">
                  <c:v>1.8</c:v>
                </c:pt>
                <c:pt idx="9">
                  <c:v>2.17</c:v>
                </c:pt>
                <c:pt idx="10">
                  <c:v>2.92</c:v>
                </c:pt>
                <c:pt idx="11">
                  <c:v>3.41</c:v>
                </c:pt>
                <c:pt idx="12">
                  <c:v>1.78</c:v>
                </c:pt>
                <c:pt idx="13">
                  <c:v>1.24</c:v>
                </c:pt>
                <c:pt idx="14">
                  <c:v>1.77</c:v>
                </c:pt>
                <c:pt idx="15">
                  <c:v>1.88</c:v>
                </c:pt>
                <c:pt idx="16">
                  <c:v>1.8</c:v>
                </c:pt>
                <c:pt idx="17">
                  <c:v>2.39</c:v>
                </c:pt>
                <c:pt idx="18">
                  <c:v>2.88</c:v>
                </c:pt>
                <c:pt idx="19">
                  <c:v>4.1900000000000004</c:v>
                </c:pt>
                <c:pt idx="20">
                  <c:v>4.97</c:v>
                </c:pt>
                <c:pt idx="21">
                  <c:v>5.34</c:v>
                </c:pt>
                <c:pt idx="22">
                  <c:v>5.46</c:v>
                </c:pt>
                <c:pt idx="23">
                  <c:v>4.82</c:v>
                </c:pt>
                <c:pt idx="24">
                  <c:v>5.24</c:v>
                </c:pt>
                <c:pt idx="25">
                  <c:v>6</c:v>
                </c:pt>
                <c:pt idx="26">
                  <c:v>5.84</c:v>
                </c:pt>
                <c:pt idx="27">
                  <c:v>5.2</c:v>
                </c:pt>
                <c:pt idx="28">
                  <c:v>5.17</c:v>
                </c:pt>
                <c:pt idx="29">
                  <c:v>3.91</c:v>
                </c:pt>
                <c:pt idx="30">
                  <c:v>3.82</c:v>
                </c:pt>
                <c:pt idx="31">
                  <c:v>3.62</c:v>
                </c:pt>
                <c:pt idx="32">
                  <c:v>3.67</c:v>
                </c:pt>
                <c:pt idx="33">
                  <c:v>2.96</c:v>
                </c:pt>
                <c:pt idx="34">
                  <c:v>2.89</c:v>
                </c:pt>
                <c:pt idx="35">
                  <c:v>3.07</c:v>
                </c:pt>
                <c:pt idx="36">
                  <c:v>2.87</c:v>
                </c:pt>
                <c:pt idx="37">
                  <c:v>2.98</c:v>
                </c:pt>
                <c:pt idx="38">
                  <c:v>4.17</c:v>
                </c:pt>
                <c:pt idx="39">
                  <c:v>4.62</c:v>
                </c:pt>
                <c:pt idx="40">
                  <c:v>5.82</c:v>
                </c:pt>
                <c:pt idx="41">
                  <c:v>7.55</c:v>
                </c:pt>
                <c:pt idx="42">
                  <c:v>8.36</c:v>
                </c:pt>
                <c:pt idx="43">
                  <c:v>8.8699999999999992</c:v>
                </c:pt>
                <c:pt idx="44">
                  <c:v>9.0299999999999994</c:v>
                </c:pt>
                <c:pt idx="45">
                  <c:v>9.6999999999999993</c:v>
                </c:pt>
                <c:pt idx="46">
                  <c:v>9.17</c:v>
                </c:pt>
                <c:pt idx="47">
                  <c:v>9.24</c:v>
                </c:pt>
                <c:pt idx="48">
                  <c:v>9.69</c:v>
                </c:pt>
                <c:pt idx="49">
                  <c:v>9.92</c:v>
                </c:pt>
                <c:pt idx="50">
                  <c:v>8.7100000000000009</c:v>
                </c:pt>
                <c:pt idx="51">
                  <c:v>8.32</c:v>
                </c:pt>
                <c:pt idx="52">
                  <c:v>6.54</c:v>
                </c:pt>
                <c:pt idx="53">
                  <c:v>4.93</c:v>
                </c:pt>
                <c:pt idx="54">
                  <c:v>4.53</c:v>
                </c:pt>
                <c:pt idx="55">
                  <c:v>4.47</c:v>
                </c:pt>
                <c:pt idx="56">
                  <c:v>4.6900000000000004</c:v>
                </c:pt>
                <c:pt idx="57">
                  <c:v>4.9800000000000004</c:v>
                </c:pt>
                <c:pt idx="58">
                  <c:v>4.3</c:v>
                </c:pt>
                <c:pt idx="59">
                  <c:v>4.18</c:v>
                </c:pt>
              </c:numCache>
            </c:numRef>
          </c:val>
          <c:smooth val="1"/>
          <c:extLst>
            <c:ext xmlns:c16="http://schemas.microsoft.com/office/drawing/2014/chart" uri="{C3380CC4-5D6E-409C-BE32-E72D297353CC}">
              <c16:uniqueId val="{00000001-DE0F-4F91-87BA-D00EA80FD43E}"/>
            </c:ext>
          </c:extLst>
        </c:ser>
        <c:ser>
          <c:idx val="1"/>
          <c:order val="1"/>
          <c:tx>
            <c:strRef>
              <c:f>Sheet1!$C$1</c:f>
              <c:strCache>
                <c:ptCount val="1"/>
                <c:pt idx="0">
                  <c:v>li</c:v>
                </c:pt>
              </c:strCache>
            </c:strRef>
          </c:tx>
          <c:spPr>
            <a:ln w="12700">
              <a:solidFill>
                <a:srgbClr val="5B9BD5"/>
              </a:solidFill>
              <a:prstDash val="lgDash"/>
            </a:ln>
          </c:spPr>
          <c:marker>
            <c:symbol val="none"/>
          </c:marker>
          <c:dLbls>
            <c:dLbl>
              <c:idx val="59"/>
              <c:layout>
                <c:manualLayout>
                  <c:x val="0"/>
                  <c:y val="3.55297157622739E-2"/>
                </c:manualLayout>
              </c:layout>
              <c:tx>
                <c:rich>
                  <a:bodyPr/>
                  <a:lstStyle/>
                  <a:p>
                    <a:r>
                      <a:rPr lang="en-US"/>
                      <a:t>3.0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E0F-4F91-87BA-D00EA80FD43E}"/>
                </c:ext>
              </c:extLst>
            </c:dLbl>
            <c:spPr>
              <a:noFill/>
              <a:ln>
                <a:noFill/>
              </a:ln>
              <a:effectLst/>
            </c:spPr>
            <c:txPr>
              <a:bodyPr/>
              <a:lstStyle/>
              <a:p>
                <a:pPr>
                  <a:defRPr sz="800" b="1">
                    <a:solidFill>
                      <a:srgbClr val="5B9BD5"/>
                    </a:solidFill>
                    <a:latin typeface="Times New Roman" panose="02020603050405020304" pitchFamily="18" charset="0"/>
                    <a:cs typeface="Times New Roman" panose="02020603050405020304" pitchFamily="18" charset="0"/>
                  </a:defRPr>
                </a:pPr>
                <a:endParaRPr lang="es-GT"/>
              </a:p>
            </c:txPr>
            <c:dLblPos val="r"/>
            <c:showLegendKey val="0"/>
            <c:showVal val="0"/>
            <c:showCatName val="0"/>
            <c:showSerName val="0"/>
            <c:showPercent val="0"/>
            <c:showBubbleSize val="0"/>
            <c:extLst>
              <c:ext xmlns:c15="http://schemas.microsoft.com/office/drawing/2012/chart" uri="{CE6537A1-D6FC-4f65-9D91-7224C49458BB}">
                <c15:showLeaderLines val="0"/>
              </c:ext>
            </c:extLst>
          </c:dLbls>
          <c:cat>
            <c:numRef>
              <c:f>Sheet1!$A$2:$A$61</c:f>
              <c:numCache>
                <c:formatCode>yyyy\-mm\-dd</c:formatCode>
                <c:ptCount val="60"/>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pt idx="30">
                  <c:v>44378</c:v>
                </c:pt>
                <c:pt idx="31">
                  <c:v>44409</c:v>
                </c:pt>
                <c:pt idx="32">
                  <c:v>44440</c:v>
                </c:pt>
                <c:pt idx="33">
                  <c:v>44470</c:v>
                </c:pt>
                <c:pt idx="34">
                  <c:v>44501</c:v>
                </c:pt>
                <c:pt idx="35">
                  <c:v>44531</c:v>
                </c:pt>
                <c:pt idx="36">
                  <c:v>44562</c:v>
                </c:pt>
                <c:pt idx="37">
                  <c:v>44593</c:v>
                </c:pt>
                <c:pt idx="38">
                  <c:v>44621</c:v>
                </c:pt>
                <c:pt idx="39">
                  <c:v>44652</c:v>
                </c:pt>
                <c:pt idx="40">
                  <c:v>44682</c:v>
                </c:pt>
                <c:pt idx="41">
                  <c:v>44713</c:v>
                </c:pt>
                <c:pt idx="42">
                  <c:v>44743</c:v>
                </c:pt>
                <c:pt idx="43">
                  <c:v>44774</c:v>
                </c:pt>
                <c:pt idx="44">
                  <c:v>44805</c:v>
                </c:pt>
                <c:pt idx="45">
                  <c:v>44835</c:v>
                </c:pt>
                <c:pt idx="46">
                  <c:v>44866</c:v>
                </c:pt>
                <c:pt idx="47">
                  <c:v>44896</c:v>
                </c:pt>
                <c:pt idx="48">
                  <c:v>44927</c:v>
                </c:pt>
                <c:pt idx="49">
                  <c:v>44958</c:v>
                </c:pt>
                <c:pt idx="50">
                  <c:v>44986</c:v>
                </c:pt>
                <c:pt idx="51">
                  <c:v>45017</c:v>
                </c:pt>
                <c:pt idx="52">
                  <c:v>45047</c:v>
                </c:pt>
                <c:pt idx="53">
                  <c:v>45078</c:v>
                </c:pt>
                <c:pt idx="54">
                  <c:v>45108</c:v>
                </c:pt>
                <c:pt idx="55">
                  <c:v>45139</c:v>
                </c:pt>
                <c:pt idx="56">
                  <c:v>45170</c:v>
                </c:pt>
                <c:pt idx="57">
                  <c:v>45200</c:v>
                </c:pt>
                <c:pt idx="58">
                  <c:v>45231</c:v>
                </c:pt>
                <c:pt idx="59">
                  <c:v>45261</c:v>
                </c:pt>
              </c:numCache>
            </c:numRef>
          </c:cat>
          <c:val>
            <c:numRef>
              <c:f>Sheet1!$C$2:$C$61</c:f>
              <c:numCache>
                <c:formatCode>General</c:formatCode>
                <c:ptCount val="60"/>
                <c:pt idx="0">
                  <c:v>3</c:v>
                </c:pt>
                <c:pt idx="1">
                  <c:v>3</c:v>
                </c:pt>
                <c:pt idx="2">
                  <c:v>3</c:v>
                </c:pt>
                <c:pt idx="3">
                  <c:v>3</c:v>
                </c:pt>
                <c:pt idx="4">
                  <c:v>3</c:v>
                </c:pt>
                <c:pt idx="5">
                  <c:v>3</c:v>
                </c:pt>
                <c:pt idx="6">
                  <c:v>3</c:v>
                </c:pt>
                <c:pt idx="7">
                  <c:v>3</c:v>
                </c:pt>
                <c:pt idx="8">
                  <c:v>3</c:v>
                </c:pt>
                <c:pt idx="9">
                  <c:v>3</c:v>
                </c:pt>
                <c:pt idx="10">
                  <c:v>3</c:v>
                </c:pt>
                <c:pt idx="11">
                  <c:v>3</c:v>
                </c:pt>
                <c:pt idx="12">
                  <c:v>3</c:v>
                </c:pt>
                <c:pt idx="13">
                  <c:v>3</c:v>
                </c:pt>
                <c:pt idx="14">
                  <c:v>3</c:v>
                </c:pt>
                <c:pt idx="15">
                  <c:v>3</c:v>
                </c:pt>
                <c:pt idx="16">
                  <c:v>3</c:v>
                </c:pt>
                <c:pt idx="17">
                  <c:v>3</c:v>
                </c:pt>
                <c:pt idx="18">
                  <c:v>3</c:v>
                </c:pt>
                <c:pt idx="19">
                  <c:v>3</c:v>
                </c:pt>
                <c:pt idx="20">
                  <c:v>3</c:v>
                </c:pt>
                <c:pt idx="21">
                  <c:v>3</c:v>
                </c:pt>
                <c:pt idx="22">
                  <c:v>3</c:v>
                </c:pt>
                <c:pt idx="23">
                  <c:v>3</c:v>
                </c:pt>
                <c:pt idx="24">
                  <c:v>3</c:v>
                </c:pt>
                <c:pt idx="25">
                  <c:v>3</c:v>
                </c:pt>
                <c:pt idx="26">
                  <c:v>3</c:v>
                </c:pt>
                <c:pt idx="27">
                  <c:v>3</c:v>
                </c:pt>
                <c:pt idx="28">
                  <c:v>3</c:v>
                </c:pt>
                <c:pt idx="29">
                  <c:v>3</c:v>
                </c:pt>
                <c:pt idx="30">
                  <c:v>3</c:v>
                </c:pt>
                <c:pt idx="31">
                  <c:v>3</c:v>
                </c:pt>
                <c:pt idx="32">
                  <c:v>3</c:v>
                </c:pt>
                <c:pt idx="33">
                  <c:v>3</c:v>
                </c:pt>
                <c:pt idx="34">
                  <c:v>3</c:v>
                </c:pt>
                <c:pt idx="35">
                  <c:v>3</c:v>
                </c:pt>
                <c:pt idx="36">
                  <c:v>3</c:v>
                </c:pt>
                <c:pt idx="37">
                  <c:v>3</c:v>
                </c:pt>
                <c:pt idx="38">
                  <c:v>3</c:v>
                </c:pt>
                <c:pt idx="39">
                  <c:v>3</c:v>
                </c:pt>
                <c:pt idx="40">
                  <c:v>3</c:v>
                </c:pt>
                <c:pt idx="41">
                  <c:v>3</c:v>
                </c:pt>
                <c:pt idx="42">
                  <c:v>3</c:v>
                </c:pt>
                <c:pt idx="43">
                  <c:v>3</c:v>
                </c:pt>
                <c:pt idx="44">
                  <c:v>3</c:v>
                </c:pt>
                <c:pt idx="45">
                  <c:v>3</c:v>
                </c:pt>
                <c:pt idx="46">
                  <c:v>3</c:v>
                </c:pt>
                <c:pt idx="47">
                  <c:v>3</c:v>
                </c:pt>
                <c:pt idx="48">
                  <c:v>3</c:v>
                </c:pt>
                <c:pt idx="49">
                  <c:v>3</c:v>
                </c:pt>
                <c:pt idx="50">
                  <c:v>3</c:v>
                </c:pt>
                <c:pt idx="51">
                  <c:v>3</c:v>
                </c:pt>
                <c:pt idx="52">
                  <c:v>3</c:v>
                </c:pt>
                <c:pt idx="53">
                  <c:v>3</c:v>
                </c:pt>
                <c:pt idx="54">
                  <c:v>3</c:v>
                </c:pt>
                <c:pt idx="55">
                  <c:v>3</c:v>
                </c:pt>
                <c:pt idx="56">
                  <c:v>3</c:v>
                </c:pt>
                <c:pt idx="57">
                  <c:v>3</c:v>
                </c:pt>
                <c:pt idx="58">
                  <c:v>3</c:v>
                </c:pt>
                <c:pt idx="59">
                  <c:v>3</c:v>
                </c:pt>
              </c:numCache>
            </c:numRef>
          </c:val>
          <c:smooth val="0"/>
          <c:extLst>
            <c:ext xmlns:c16="http://schemas.microsoft.com/office/drawing/2014/chart" uri="{C3380CC4-5D6E-409C-BE32-E72D297353CC}">
              <c16:uniqueId val="{00000003-DE0F-4F91-87BA-D00EA80FD43E}"/>
            </c:ext>
          </c:extLst>
        </c:ser>
        <c:ser>
          <c:idx val="2"/>
          <c:order val="2"/>
          <c:tx>
            <c:strRef>
              <c:f>Sheet1!$D$1</c:f>
              <c:strCache>
                <c:ptCount val="1"/>
                <c:pt idx="0">
                  <c:v>Meta</c:v>
                </c:pt>
              </c:strCache>
            </c:strRef>
          </c:tx>
          <c:spPr>
            <a:ln w="25400">
              <a:solidFill>
                <a:srgbClr val="5B9BD5"/>
              </a:solidFill>
              <a:prstDash val="dot"/>
            </a:ln>
          </c:spPr>
          <c:marker>
            <c:symbol val="none"/>
          </c:marker>
          <c:cat>
            <c:numRef>
              <c:f>Sheet1!$A$2:$A$61</c:f>
              <c:numCache>
                <c:formatCode>yyyy\-mm\-dd</c:formatCode>
                <c:ptCount val="60"/>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pt idx="30">
                  <c:v>44378</c:v>
                </c:pt>
                <c:pt idx="31">
                  <c:v>44409</c:v>
                </c:pt>
                <c:pt idx="32">
                  <c:v>44440</c:v>
                </c:pt>
                <c:pt idx="33">
                  <c:v>44470</c:v>
                </c:pt>
                <c:pt idx="34">
                  <c:v>44501</c:v>
                </c:pt>
                <c:pt idx="35">
                  <c:v>44531</c:v>
                </c:pt>
                <c:pt idx="36">
                  <c:v>44562</c:v>
                </c:pt>
                <c:pt idx="37">
                  <c:v>44593</c:v>
                </c:pt>
                <c:pt idx="38">
                  <c:v>44621</c:v>
                </c:pt>
                <c:pt idx="39">
                  <c:v>44652</c:v>
                </c:pt>
                <c:pt idx="40">
                  <c:v>44682</c:v>
                </c:pt>
                <c:pt idx="41">
                  <c:v>44713</c:v>
                </c:pt>
                <c:pt idx="42">
                  <c:v>44743</c:v>
                </c:pt>
                <c:pt idx="43">
                  <c:v>44774</c:v>
                </c:pt>
                <c:pt idx="44">
                  <c:v>44805</c:v>
                </c:pt>
                <c:pt idx="45">
                  <c:v>44835</c:v>
                </c:pt>
                <c:pt idx="46">
                  <c:v>44866</c:v>
                </c:pt>
                <c:pt idx="47">
                  <c:v>44896</c:v>
                </c:pt>
                <c:pt idx="48">
                  <c:v>44927</c:v>
                </c:pt>
                <c:pt idx="49">
                  <c:v>44958</c:v>
                </c:pt>
                <c:pt idx="50">
                  <c:v>44986</c:v>
                </c:pt>
                <c:pt idx="51">
                  <c:v>45017</c:v>
                </c:pt>
                <c:pt idx="52">
                  <c:v>45047</c:v>
                </c:pt>
                <c:pt idx="53">
                  <c:v>45078</c:v>
                </c:pt>
                <c:pt idx="54">
                  <c:v>45108</c:v>
                </c:pt>
                <c:pt idx="55">
                  <c:v>45139</c:v>
                </c:pt>
                <c:pt idx="56">
                  <c:v>45170</c:v>
                </c:pt>
                <c:pt idx="57">
                  <c:v>45200</c:v>
                </c:pt>
                <c:pt idx="58">
                  <c:v>45231</c:v>
                </c:pt>
                <c:pt idx="59">
                  <c:v>45261</c:v>
                </c:pt>
              </c:numCache>
            </c:numRef>
          </c:cat>
          <c:val>
            <c:numRef>
              <c:f>Sheet1!$D$2:$D$61</c:f>
              <c:numCache>
                <c:formatCode>General</c:formatCode>
                <c:ptCount val="60"/>
                <c:pt idx="0">
                  <c:v>4</c:v>
                </c:pt>
                <c:pt idx="1">
                  <c:v>4</c:v>
                </c:pt>
                <c:pt idx="2">
                  <c:v>4</c:v>
                </c:pt>
                <c:pt idx="3">
                  <c:v>4</c:v>
                </c:pt>
                <c:pt idx="4">
                  <c:v>4</c:v>
                </c:pt>
                <c:pt idx="5">
                  <c:v>4</c:v>
                </c:pt>
                <c:pt idx="6">
                  <c:v>4</c:v>
                </c:pt>
                <c:pt idx="7">
                  <c:v>4</c:v>
                </c:pt>
                <c:pt idx="8">
                  <c:v>4</c:v>
                </c:pt>
                <c:pt idx="9">
                  <c:v>4</c:v>
                </c:pt>
                <c:pt idx="10">
                  <c:v>4</c:v>
                </c:pt>
                <c:pt idx="11">
                  <c:v>4</c:v>
                </c:pt>
                <c:pt idx="12">
                  <c:v>4</c:v>
                </c:pt>
                <c:pt idx="13">
                  <c:v>4</c:v>
                </c:pt>
                <c:pt idx="14">
                  <c:v>4</c:v>
                </c:pt>
                <c:pt idx="15">
                  <c:v>4</c:v>
                </c:pt>
                <c:pt idx="16">
                  <c:v>4</c:v>
                </c:pt>
                <c:pt idx="17">
                  <c:v>4</c:v>
                </c:pt>
                <c:pt idx="18">
                  <c:v>4</c:v>
                </c:pt>
                <c:pt idx="19">
                  <c:v>4</c:v>
                </c:pt>
                <c:pt idx="20">
                  <c:v>4</c:v>
                </c:pt>
                <c:pt idx="21">
                  <c:v>4</c:v>
                </c:pt>
                <c:pt idx="22">
                  <c:v>4</c:v>
                </c:pt>
                <c:pt idx="23">
                  <c:v>4</c:v>
                </c:pt>
                <c:pt idx="24">
                  <c:v>4</c:v>
                </c:pt>
                <c:pt idx="25">
                  <c:v>4</c:v>
                </c:pt>
                <c:pt idx="26">
                  <c:v>4</c:v>
                </c:pt>
                <c:pt idx="27">
                  <c:v>4</c:v>
                </c:pt>
                <c:pt idx="28">
                  <c:v>4</c:v>
                </c:pt>
                <c:pt idx="29">
                  <c:v>4</c:v>
                </c:pt>
                <c:pt idx="30">
                  <c:v>4</c:v>
                </c:pt>
                <c:pt idx="31">
                  <c:v>4</c:v>
                </c:pt>
                <c:pt idx="32">
                  <c:v>4</c:v>
                </c:pt>
                <c:pt idx="33">
                  <c:v>4</c:v>
                </c:pt>
                <c:pt idx="34">
                  <c:v>4</c:v>
                </c:pt>
                <c:pt idx="35">
                  <c:v>4</c:v>
                </c:pt>
                <c:pt idx="36">
                  <c:v>4</c:v>
                </c:pt>
                <c:pt idx="37">
                  <c:v>4</c:v>
                </c:pt>
                <c:pt idx="38">
                  <c:v>4</c:v>
                </c:pt>
                <c:pt idx="39">
                  <c:v>4</c:v>
                </c:pt>
                <c:pt idx="40">
                  <c:v>4</c:v>
                </c:pt>
                <c:pt idx="41">
                  <c:v>4</c:v>
                </c:pt>
                <c:pt idx="42">
                  <c:v>4</c:v>
                </c:pt>
                <c:pt idx="43">
                  <c:v>4</c:v>
                </c:pt>
                <c:pt idx="44">
                  <c:v>4</c:v>
                </c:pt>
                <c:pt idx="45">
                  <c:v>4</c:v>
                </c:pt>
                <c:pt idx="46">
                  <c:v>4</c:v>
                </c:pt>
                <c:pt idx="47">
                  <c:v>4</c:v>
                </c:pt>
                <c:pt idx="48">
                  <c:v>4</c:v>
                </c:pt>
                <c:pt idx="49">
                  <c:v>4</c:v>
                </c:pt>
                <c:pt idx="50">
                  <c:v>4</c:v>
                </c:pt>
                <c:pt idx="51">
                  <c:v>4</c:v>
                </c:pt>
                <c:pt idx="52">
                  <c:v>4</c:v>
                </c:pt>
                <c:pt idx="53">
                  <c:v>4</c:v>
                </c:pt>
                <c:pt idx="54">
                  <c:v>4</c:v>
                </c:pt>
                <c:pt idx="55">
                  <c:v>4</c:v>
                </c:pt>
                <c:pt idx="56">
                  <c:v>4</c:v>
                </c:pt>
                <c:pt idx="57">
                  <c:v>4</c:v>
                </c:pt>
                <c:pt idx="58">
                  <c:v>4</c:v>
                </c:pt>
                <c:pt idx="59">
                  <c:v>4</c:v>
                </c:pt>
              </c:numCache>
            </c:numRef>
          </c:val>
          <c:smooth val="0"/>
          <c:extLst>
            <c:ext xmlns:c16="http://schemas.microsoft.com/office/drawing/2014/chart" uri="{C3380CC4-5D6E-409C-BE32-E72D297353CC}">
              <c16:uniqueId val="{00000004-DE0F-4F91-87BA-D00EA80FD43E}"/>
            </c:ext>
          </c:extLst>
        </c:ser>
        <c:ser>
          <c:idx val="3"/>
          <c:order val="3"/>
          <c:tx>
            <c:strRef>
              <c:f>Sheet1!$E$1</c:f>
              <c:strCache>
                <c:ptCount val="1"/>
                <c:pt idx="0">
                  <c:v>ls</c:v>
                </c:pt>
              </c:strCache>
            </c:strRef>
          </c:tx>
          <c:spPr>
            <a:ln w="12700">
              <a:solidFill>
                <a:srgbClr val="5B9BD5"/>
              </a:solidFill>
              <a:prstDash val="lgDash"/>
            </a:ln>
          </c:spPr>
          <c:marker>
            <c:symbol val="none"/>
          </c:marker>
          <c:dLbls>
            <c:dLbl>
              <c:idx val="59"/>
              <c:layout>
                <c:manualLayout>
                  <c:x val="0"/>
                  <c:y val="-2.5839793281653808E-2"/>
                </c:manualLayout>
              </c:layout>
              <c:tx>
                <c:rich>
                  <a:bodyPr/>
                  <a:lstStyle/>
                  <a:p>
                    <a:r>
                      <a:rPr lang="en-US"/>
                      <a:t>5.0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DE0F-4F91-87BA-D00EA80FD43E}"/>
                </c:ext>
              </c:extLst>
            </c:dLbl>
            <c:spPr>
              <a:noFill/>
              <a:ln>
                <a:noFill/>
              </a:ln>
              <a:effectLst/>
            </c:spPr>
            <c:txPr>
              <a:bodyPr/>
              <a:lstStyle/>
              <a:p>
                <a:pPr>
                  <a:defRPr sz="800" b="1">
                    <a:solidFill>
                      <a:srgbClr val="5B9BD5"/>
                    </a:solidFill>
                    <a:latin typeface="Times New Roman" panose="02020603050405020304" pitchFamily="18" charset="0"/>
                    <a:cs typeface="Times New Roman" panose="02020603050405020304" pitchFamily="18" charset="0"/>
                  </a:defRPr>
                </a:pPr>
                <a:endParaRPr lang="es-GT"/>
              </a:p>
            </c:txPr>
            <c:dLblPos val="r"/>
            <c:showLegendKey val="0"/>
            <c:showVal val="0"/>
            <c:showCatName val="0"/>
            <c:showSerName val="0"/>
            <c:showPercent val="0"/>
            <c:showBubbleSize val="0"/>
            <c:extLst>
              <c:ext xmlns:c15="http://schemas.microsoft.com/office/drawing/2012/chart" uri="{CE6537A1-D6FC-4f65-9D91-7224C49458BB}">
                <c15:showLeaderLines val="0"/>
              </c:ext>
            </c:extLst>
          </c:dLbls>
          <c:cat>
            <c:numRef>
              <c:f>Sheet1!$A$2:$A$61</c:f>
              <c:numCache>
                <c:formatCode>yyyy\-mm\-dd</c:formatCode>
                <c:ptCount val="60"/>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pt idx="30">
                  <c:v>44378</c:v>
                </c:pt>
                <c:pt idx="31">
                  <c:v>44409</c:v>
                </c:pt>
                <c:pt idx="32">
                  <c:v>44440</c:v>
                </c:pt>
                <c:pt idx="33">
                  <c:v>44470</c:v>
                </c:pt>
                <c:pt idx="34">
                  <c:v>44501</c:v>
                </c:pt>
                <c:pt idx="35">
                  <c:v>44531</c:v>
                </c:pt>
                <c:pt idx="36">
                  <c:v>44562</c:v>
                </c:pt>
                <c:pt idx="37">
                  <c:v>44593</c:v>
                </c:pt>
                <c:pt idx="38">
                  <c:v>44621</c:v>
                </c:pt>
                <c:pt idx="39">
                  <c:v>44652</c:v>
                </c:pt>
                <c:pt idx="40">
                  <c:v>44682</c:v>
                </c:pt>
                <c:pt idx="41">
                  <c:v>44713</c:v>
                </c:pt>
                <c:pt idx="42">
                  <c:v>44743</c:v>
                </c:pt>
                <c:pt idx="43">
                  <c:v>44774</c:v>
                </c:pt>
                <c:pt idx="44">
                  <c:v>44805</c:v>
                </c:pt>
                <c:pt idx="45">
                  <c:v>44835</c:v>
                </c:pt>
                <c:pt idx="46">
                  <c:v>44866</c:v>
                </c:pt>
                <c:pt idx="47">
                  <c:v>44896</c:v>
                </c:pt>
                <c:pt idx="48">
                  <c:v>44927</c:v>
                </c:pt>
                <c:pt idx="49">
                  <c:v>44958</c:v>
                </c:pt>
                <c:pt idx="50">
                  <c:v>44986</c:v>
                </c:pt>
                <c:pt idx="51">
                  <c:v>45017</c:v>
                </c:pt>
                <c:pt idx="52">
                  <c:v>45047</c:v>
                </c:pt>
                <c:pt idx="53">
                  <c:v>45078</c:v>
                </c:pt>
                <c:pt idx="54">
                  <c:v>45108</c:v>
                </c:pt>
                <c:pt idx="55">
                  <c:v>45139</c:v>
                </c:pt>
                <c:pt idx="56">
                  <c:v>45170</c:v>
                </c:pt>
                <c:pt idx="57">
                  <c:v>45200</c:v>
                </c:pt>
                <c:pt idx="58">
                  <c:v>45231</c:v>
                </c:pt>
                <c:pt idx="59">
                  <c:v>45261</c:v>
                </c:pt>
              </c:numCache>
            </c:numRef>
          </c:cat>
          <c:val>
            <c:numRef>
              <c:f>Sheet1!$E$2:$E$61</c:f>
              <c:numCache>
                <c:formatCode>General</c:formatCode>
                <c:ptCount val="60"/>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5</c:v>
                </c:pt>
                <c:pt idx="15">
                  <c:v>5</c:v>
                </c:pt>
                <c:pt idx="16">
                  <c:v>5</c:v>
                </c:pt>
                <c:pt idx="17">
                  <c:v>5</c:v>
                </c:pt>
                <c:pt idx="18">
                  <c:v>5</c:v>
                </c:pt>
                <c:pt idx="19">
                  <c:v>5</c:v>
                </c:pt>
                <c:pt idx="20">
                  <c:v>5</c:v>
                </c:pt>
                <c:pt idx="21">
                  <c:v>5</c:v>
                </c:pt>
                <c:pt idx="22">
                  <c:v>5</c:v>
                </c:pt>
                <c:pt idx="23">
                  <c:v>5</c:v>
                </c:pt>
                <c:pt idx="24">
                  <c:v>5</c:v>
                </c:pt>
                <c:pt idx="25">
                  <c:v>5</c:v>
                </c:pt>
                <c:pt idx="26">
                  <c:v>5</c:v>
                </c:pt>
                <c:pt idx="27">
                  <c:v>5</c:v>
                </c:pt>
                <c:pt idx="28">
                  <c:v>5</c:v>
                </c:pt>
                <c:pt idx="29">
                  <c:v>5</c:v>
                </c:pt>
                <c:pt idx="30">
                  <c:v>5</c:v>
                </c:pt>
                <c:pt idx="31">
                  <c:v>5</c:v>
                </c:pt>
                <c:pt idx="32">
                  <c:v>5</c:v>
                </c:pt>
                <c:pt idx="33">
                  <c:v>5</c:v>
                </c:pt>
                <c:pt idx="34">
                  <c:v>5</c:v>
                </c:pt>
                <c:pt idx="35">
                  <c:v>5</c:v>
                </c:pt>
                <c:pt idx="36">
                  <c:v>5</c:v>
                </c:pt>
                <c:pt idx="37">
                  <c:v>5</c:v>
                </c:pt>
                <c:pt idx="38">
                  <c:v>5</c:v>
                </c:pt>
                <c:pt idx="39">
                  <c:v>5</c:v>
                </c:pt>
                <c:pt idx="40">
                  <c:v>5</c:v>
                </c:pt>
                <c:pt idx="41">
                  <c:v>5</c:v>
                </c:pt>
                <c:pt idx="42">
                  <c:v>5</c:v>
                </c:pt>
                <c:pt idx="43">
                  <c:v>5</c:v>
                </c:pt>
                <c:pt idx="44">
                  <c:v>5</c:v>
                </c:pt>
                <c:pt idx="45">
                  <c:v>5</c:v>
                </c:pt>
                <c:pt idx="46">
                  <c:v>5</c:v>
                </c:pt>
                <c:pt idx="47">
                  <c:v>5</c:v>
                </c:pt>
                <c:pt idx="48">
                  <c:v>5</c:v>
                </c:pt>
                <c:pt idx="49">
                  <c:v>5</c:v>
                </c:pt>
                <c:pt idx="50">
                  <c:v>5</c:v>
                </c:pt>
                <c:pt idx="51">
                  <c:v>5</c:v>
                </c:pt>
                <c:pt idx="52">
                  <c:v>5</c:v>
                </c:pt>
                <c:pt idx="53">
                  <c:v>5</c:v>
                </c:pt>
                <c:pt idx="54">
                  <c:v>5</c:v>
                </c:pt>
                <c:pt idx="55">
                  <c:v>5</c:v>
                </c:pt>
                <c:pt idx="56">
                  <c:v>5</c:v>
                </c:pt>
                <c:pt idx="57">
                  <c:v>5</c:v>
                </c:pt>
                <c:pt idx="58">
                  <c:v>5</c:v>
                </c:pt>
                <c:pt idx="59">
                  <c:v>5</c:v>
                </c:pt>
              </c:numCache>
            </c:numRef>
          </c:val>
          <c:smooth val="0"/>
          <c:extLst>
            <c:ext xmlns:c16="http://schemas.microsoft.com/office/drawing/2014/chart" uri="{C3380CC4-5D6E-409C-BE32-E72D297353CC}">
              <c16:uniqueId val="{00000006-DE0F-4F91-87BA-D00EA80FD43E}"/>
            </c:ext>
          </c:extLst>
        </c:ser>
        <c:dLbls>
          <c:showLegendKey val="0"/>
          <c:showVal val="0"/>
          <c:showCatName val="0"/>
          <c:showSerName val="0"/>
          <c:showPercent val="0"/>
          <c:showBubbleSize val="0"/>
        </c:dLbls>
        <c:smooth val="0"/>
        <c:axId val="2118791784"/>
        <c:axId val="2140495176"/>
      </c:lineChart>
      <c:dateAx>
        <c:axId val="2118791784"/>
        <c:scaling>
          <c:orientation val="minMax"/>
          <c:min val="43617"/>
        </c:scaling>
        <c:delete val="0"/>
        <c:axPos val="b"/>
        <c:numFmt formatCode="mmm\-yy" sourceLinked="0"/>
        <c:majorTickMark val="none"/>
        <c:minorTickMark val="none"/>
        <c:tickLblPos val="low"/>
        <c:spPr>
          <a:ln>
            <a:noFill/>
          </a:ln>
        </c:spPr>
        <c:txPr>
          <a:bodyPr rot="-5400000" vert="horz"/>
          <a:lstStyle/>
          <a:p>
            <a:pPr>
              <a:defRPr sz="700">
                <a:latin typeface="Times New Roman" panose="02020603050405020304" pitchFamily="18" charset="0"/>
                <a:cs typeface="Times New Roman" panose="02020603050405020304" pitchFamily="18" charset="0"/>
              </a:defRPr>
            </a:pPr>
            <a:endParaRPr lang="es-GT"/>
          </a:p>
        </c:txPr>
        <c:crossAx val="2140495176"/>
        <c:crosses val="autoZero"/>
        <c:auto val="1"/>
        <c:lblOffset val="100"/>
        <c:baseTimeUnit val="days"/>
        <c:majorUnit val="6"/>
        <c:majorTimeUnit val="months"/>
      </c:dateAx>
      <c:valAx>
        <c:axId val="2140495176"/>
        <c:scaling>
          <c:orientation val="minMax"/>
        </c:scaling>
        <c:delete val="1"/>
        <c:axPos val="l"/>
        <c:title>
          <c:tx>
            <c:rich>
              <a:bodyPr/>
              <a:lstStyle/>
              <a:p>
                <a:pPr>
                  <a:defRPr sz="700">
                    <a:latin typeface="Times New Roman" panose="02020603050405020304" pitchFamily="18" charset="0"/>
                    <a:cs typeface="Times New Roman" panose="02020603050405020304" pitchFamily="18" charset="0"/>
                  </a:defRPr>
                </a:pPr>
                <a:r>
                  <a:rPr lang="es-GT" sz="700">
                    <a:latin typeface="Times New Roman" panose="02020603050405020304" pitchFamily="18" charset="0"/>
                    <a:cs typeface="Times New Roman" panose="02020603050405020304" pitchFamily="18" charset="0"/>
                  </a:rPr>
                  <a:t>Indice</a:t>
                </a:r>
              </a:p>
            </c:rich>
          </c:tx>
          <c:overlay val="0"/>
        </c:title>
        <c:numFmt formatCode="General" sourceLinked="0"/>
        <c:majorTickMark val="out"/>
        <c:minorTickMark val="none"/>
        <c:tickLblPos val="nextTo"/>
        <c:crossAx val="2118791784"/>
        <c:crosses val="autoZero"/>
        <c:crossBetween val="between"/>
      </c:valAx>
    </c:plotArea>
    <c:legend>
      <c:legendPos val="t"/>
      <c:legendEntry>
        <c:idx val="1"/>
        <c:delete val="1"/>
      </c:legendEntry>
      <c:legendEntry>
        <c:idx val="3"/>
        <c:delete val="1"/>
      </c:legendEntry>
      <c:layout>
        <c:manualLayout>
          <c:xMode val="edge"/>
          <c:yMode val="edge"/>
          <c:x val="0.20058170346776469"/>
          <c:y val="5.2919877891892814E-3"/>
          <c:w val="0.68553484202565018"/>
          <c:h val="8.5304780976339756E-2"/>
        </c:manualLayout>
      </c:layout>
      <c:overlay val="0"/>
      <c:txPr>
        <a:bodyPr/>
        <a:lstStyle/>
        <a:p>
          <a:pPr>
            <a:defRPr sz="700">
              <a:latin typeface="Times New Roman" panose="02020603050405020304" pitchFamily="18" charset="0"/>
              <a:cs typeface="Times New Roman" panose="02020603050405020304" pitchFamily="18" charset="0"/>
            </a:defRPr>
          </a:pPr>
          <a:endParaRPr lang="es-GT"/>
        </a:p>
      </c:txPr>
    </c:legend>
    <c:plotVisOnly val="1"/>
    <c:dispBlanksAs val="gap"/>
    <c:showDLblsOverMax val="0"/>
  </c:chart>
  <c:spPr>
    <a:ln>
      <a:noFill/>
    </a:ln>
  </c:spPr>
  <c:txPr>
    <a:bodyPr/>
    <a:lstStyle/>
    <a:p>
      <a:pPr>
        <a:defRPr sz="1800"/>
      </a:pPr>
      <a:endParaRPr lang="es-GT"/>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669153762178639"/>
          <c:y val="0.23031082221940197"/>
          <c:w val="0.76338788148418135"/>
          <c:h val="0.5451616463148834"/>
        </c:manualLayout>
      </c:layout>
      <c:lineChart>
        <c:grouping val="standard"/>
        <c:varyColors val="0"/>
        <c:ser>
          <c:idx val="0"/>
          <c:order val="0"/>
          <c:tx>
            <c:strRef>
              <c:f>Hoja1!$G$2</c:f>
              <c:strCache>
                <c:ptCount val="1"/>
                <c:pt idx="0">
                  <c:v>Importaciones</c:v>
                </c:pt>
              </c:strCache>
            </c:strRef>
          </c:tx>
          <c:spPr>
            <a:ln w="28575" cap="rnd">
              <a:solidFill>
                <a:schemeClr val="accent1"/>
              </a:solidFill>
              <a:round/>
            </a:ln>
            <a:effectLst/>
          </c:spPr>
          <c:marker>
            <c:symbol val="none"/>
          </c:marker>
          <c:dLbls>
            <c:dLbl>
              <c:idx val="34"/>
              <c:layout>
                <c:manualLayout>
                  <c:x val="-2.7777777777777779E-3"/>
                  <c:y val="-0.14814814814814814"/>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9B5-4A3C-A436-985BBBF69E2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Hoja1!$B$27:$B$61</c:f>
              <c:numCache>
                <c:formatCode>m/d/yyyy</c:formatCode>
                <c:ptCount val="35"/>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numCache>
            </c:numRef>
          </c:cat>
          <c:val>
            <c:numRef>
              <c:f>Hoja1!$G$27:$G$61</c:f>
              <c:numCache>
                <c:formatCode>0.0</c:formatCode>
                <c:ptCount val="35"/>
                <c:pt idx="0">
                  <c:v>-1.9050497510253561</c:v>
                </c:pt>
                <c:pt idx="1">
                  <c:v>5.9218005211610025</c:v>
                </c:pt>
                <c:pt idx="2">
                  <c:v>18.488536315975601</c:v>
                </c:pt>
                <c:pt idx="3">
                  <c:v>26.101667330457555</c:v>
                </c:pt>
                <c:pt idx="4">
                  <c:v>33.241516557655729</c:v>
                </c:pt>
                <c:pt idx="5">
                  <c:v>38.163888199171517</c:v>
                </c:pt>
                <c:pt idx="6">
                  <c:v>41.100950173628824</c:v>
                </c:pt>
                <c:pt idx="7">
                  <c:v>43.520690403342918</c:v>
                </c:pt>
                <c:pt idx="8">
                  <c:v>44.518540646450887</c:v>
                </c:pt>
                <c:pt idx="9">
                  <c:v>45.151916026653339</c:v>
                </c:pt>
                <c:pt idx="10">
                  <c:v>46.46207485731604</c:v>
                </c:pt>
                <c:pt idx="11">
                  <c:v>46.136635027537935</c:v>
                </c:pt>
                <c:pt idx="12">
                  <c:v>47.873082360493214</c:v>
                </c:pt>
                <c:pt idx="13">
                  <c:v>41.491137949089719</c:v>
                </c:pt>
                <c:pt idx="14">
                  <c:v>38.315688269662274</c:v>
                </c:pt>
                <c:pt idx="15">
                  <c:v>36.051893222367902</c:v>
                </c:pt>
                <c:pt idx="16">
                  <c:v>34.750155290628129</c:v>
                </c:pt>
                <c:pt idx="17">
                  <c:v>34.267760288091196</c:v>
                </c:pt>
                <c:pt idx="18">
                  <c:v>31.85914770368996</c:v>
                </c:pt>
                <c:pt idx="19">
                  <c:v>31.09994057583263</c:v>
                </c:pt>
                <c:pt idx="20">
                  <c:v>29.481824301852487</c:v>
                </c:pt>
                <c:pt idx="21">
                  <c:v>26.508776815801106</c:v>
                </c:pt>
                <c:pt idx="22">
                  <c:v>23.468530725299775</c:v>
                </c:pt>
                <c:pt idx="23">
                  <c:v>20.731540040422679</c:v>
                </c:pt>
                <c:pt idx="24">
                  <c:v>1.9789099028398205</c:v>
                </c:pt>
                <c:pt idx="25">
                  <c:v>-2.8560103822985017</c:v>
                </c:pt>
                <c:pt idx="26">
                  <c:v>-5.4899748578014158</c:v>
                </c:pt>
                <c:pt idx="27">
                  <c:v>-8.2084187008979459</c:v>
                </c:pt>
                <c:pt idx="28">
                  <c:v>-7.1746464256939202</c:v>
                </c:pt>
                <c:pt idx="29">
                  <c:v>-7.3189581720430326</c:v>
                </c:pt>
                <c:pt idx="30">
                  <c:v>-7.2191468585979912</c:v>
                </c:pt>
                <c:pt idx="31">
                  <c:v>-7.3243101035490366</c:v>
                </c:pt>
                <c:pt idx="32">
                  <c:v>-7.2637284158680533</c:v>
                </c:pt>
                <c:pt idx="33">
                  <c:v>-6.9674368699303102</c:v>
                </c:pt>
                <c:pt idx="34">
                  <c:v>-6.0731351453045423</c:v>
                </c:pt>
              </c:numCache>
            </c:numRef>
          </c:val>
          <c:smooth val="0"/>
          <c:extLst>
            <c:ext xmlns:c16="http://schemas.microsoft.com/office/drawing/2014/chart" uri="{C3380CC4-5D6E-409C-BE32-E72D297353CC}">
              <c16:uniqueId val="{00000001-C9B5-4A3C-A436-985BBBF69E2C}"/>
            </c:ext>
          </c:extLst>
        </c:ser>
        <c:ser>
          <c:idx val="1"/>
          <c:order val="1"/>
          <c:tx>
            <c:strRef>
              <c:f>Hoja1!$H$2</c:f>
              <c:strCache>
                <c:ptCount val="1"/>
                <c:pt idx="0">
                  <c:v>Exportaciones</c:v>
                </c:pt>
              </c:strCache>
            </c:strRef>
          </c:tx>
          <c:spPr>
            <a:ln w="28575" cap="rnd">
              <a:solidFill>
                <a:schemeClr val="tx2">
                  <a:lumMod val="50000"/>
                </a:schemeClr>
              </a:solidFill>
              <a:round/>
            </a:ln>
            <a:effectLst/>
          </c:spPr>
          <c:marker>
            <c:symbol val="none"/>
          </c:marker>
          <c:dLbls>
            <c:dLbl>
              <c:idx val="34"/>
              <c:layout>
                <c:manualLayout>
                  <c:x val="0"/>
                  <c:y val="-0.129629629629629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9B5-4A3C-A436-985BBBF69E2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Hoja1!$B$27:$B$61</c:f>
              <c:numCache>
                <c:formatCode>m/d/yyyy</c:formatCode>
                <c:ptCount val="35"/>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numCache>
            </c:numRef>
          </c:cat>
          <c:val>
            <c:numRef>
              <c:f>Hoja1!$H$27:$H$61</c:f>
              <c:numCache>
                <c:formatCode>0.0</c:formatCode>
                <c:ptCount val="35"/>
                <c:pt idx="0">
                  <c:v>-0.56924698001731278</c:v>
                </c:pt>
                <c:pt idx="1">
                  <c:v>-0.32820983810917248</c:v>
                </c:pt>
                <c:pt idx="2">
                  <c:v>7.8879199767848629</c:v>
                </c:pt>
                <c:pt idx="3">
                  <c:v>11.95869444949771</c:v>
                </c:pt>
                <c:pt idx="4">
                  <c:v>14.06743616294197</c:v>
                </c:pt>
                <c:pt idx="5">
                  <c:v>18.388998426666102</c:v>
                </c:pt>
                <c:pt idx="6">
                  <c:v>18.747003635015403</c:v>
                </c:pt>
                <c:pt idx="7">
                  <c:v>19.268845921400192</c:v>
                </c:pt>
                <c:pt idx="8">
                  <c:v>20.728490609728389</c:v>
                </c:pt>
                <c:pt idx="9">
                  <c:v>20.677371149687261</c:v>
                </c:pt>
                <c:pt idx="10">
                  <c:v>20.202767442013304</c:v>
                </c:pt>
                <c:pt idx="11">
                  <c:v>17.740066689247215</c:v>
                </c:pt>
                <c:pt idx="12">
                  <c:v>20.769735587655536</c:v>
                </c:pt>
                <c:pt idx="13">
                  <c:v>22.593819645380009</c:v>
                </c:pt>
                <c:pt idx="14">
                  <c:v>23.234750536480277</c:v>
                </c:pt>
                <c:pt idx="15">
                  <c:v>23.601520342705264</c:v>
                </c:pt>
                <c:pt idx="16">
                  <c:v>24.52923820141697</c:v>
                </c:pt>
                <c:pt idx="17">
                  <c:v>24.745279463370995</c:v>
                </c:pt>
                <c:pt idx="18">
                  <c:v>23.643212659516365</c:v>
                </c:pt>
                <c:pt idx="19">
                  <c:v>22.350306188883984</c:v>
                </c:pt>
                <c:pt idx="20">
                  <c:v>19.7904064834465</c:v>
                </c:pt>
                <c:pt idx="21">
                  <c:v>18.214864583276768</c:v>
                </c:pt>
                <c:pt idx="22">
                  <c:v>17.217773403978033</c:v>
                </c:pt>
                <c:pt idx="23">
                  <c:v>15.374501682028141</c:v>
                </c:pt>
                <c:pt idx="24">
                  <c:v>-4.6342055741656178</c:v>
                </c:pt>
                <c:pt idx="25">
                  <c:v>-3.3328235644739523</c:v>
                </c:pt>
                <c:pt idx="26">
                  <c:v>-4.4433379512584743</c:v>
                </c:pt>
                <c:pt idx="27">
                  <c:v>-4.9842274229685231</c:v>
                </c:pt>
                <c:pt idx="28">
                  <c:v>-6.4614281561090836</c:v>
                </c:pt>
                <c:pt idx="29">
                  <c:v>-7.8483689268486039</c:v>
                </c:pt>
                <c:pt idx="30">
                  <c:v>-9.0660673290753344</c:v>
                </c:pt>
                <c:pt idx="31">
                  <c:v>-9.5740798457002008</c:v>
                </c:pt>
                <c:pt idx="32">
                  <c:v>-9.1012312268674016</c:v>
                </c:pt>
                <c:pt idx="33">
                  <c:v>-9.5279513515126428</c:v>
                </c:pt>
                <c:pt idx="34">
                  <c:v>-9.4295074510684191</c:v>
                </c:pt>
              </c:numCache>
            </c:numRef>
          </c:val>
          <c:smooth val="0"/>
          <c:extLst>
            <c:ext xmlns:c16="http://schemas.microsoft.com/office/drawing/2014/chart" uri="{C3380CC4-5D6E-409C-BE32-E72D297353CC}">
              <c16:uniqueId val="{00000003-C9B5-4A3C-A436-985BBBF69E2C}"/>
            </c:ext>
          </c:extLst>
        </c:ser>
        <c:dLbls>
          <c:showLegendKey val="0"/>
          <c:showVal val="0"/>
          <c:showCatName val="0"/>
          <c:showSerName val="0"/>
          <c:showPercent val="0"/>
          <c:showBubbleSize val="0"/>
        </c:dLbls>
        <c:smooth val="0"/>
        <c:axId val="1997421599"/>
        <c:axId val="1997422431"/>
      </c:lineChart>
      <c:dateAx>
        <c:axId val="1997421599"/>
        <c:scaling>
          <c:orientation val="minMax"/>
          <c:min val="44228"/>
        </c:scaling>
        <c:delete val="0"/>
        <c:axPos val="b"/>
        <c:numFmt formatCode="mmm\-yy"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997422431"/>
        <c:crosses val="autoZero"/>
        <c:auto val="1"/>
        <c:lblOffset val="100"/>
        <c:baseTimeUnit val="months"/>
      </c:dateAx>
      <c:valAx>
        <c:axId val="1997422431"/>
        <c:scaling>
          <c:orientation val="minMax"/>
          <c:max val="50"/>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700" b="0">
                    <a:latin typeface="Times New Roman" panose="02020603050405020304" pitchFamily="18" charset="0"/>
                    <a:cs typeface="Times New Roman" panose="02020603050405020304" pitchFamily="18" charset="0"/>
                  </a:rPr>
                  <a:t>Tasa de variación</a:t>
                </a:r>
                <a:r>
                  <a:rPr lang="es-GT" sz="700" b="0" baseline="0">
                    <a:latin typeface="Times New Roman" panose="02020603050405020304" pitchFamily="18" charset="0"/>
                    <a:cs typeface="Times New Roman" panose="02020603050405020304" pitchFamily="18" charset="0"/>
                  </a:rPr>
                  <a:t> interanual acumulada (%)</a:t>
                </a:r>
                <a:endParaRPr lang="es-GT" sz="700" b="0">
                  <a:latin typeface="Times New Roman" panose="02020603050405020304" pitchFamily="18" charset="0"/>
                  <a:cs typeface="Times New Roman" panose="02020603050405020304" pitchFamily="18" charset="0"/>
                </a:endParaRPr>
              </a:p>
            </c:rich>
          </c:tx>
          <c:layout>
            <c:manualLayout>
              <c:xMode val="edge"/>
              <c:yMode val="edge"/>
              <c:x val="3.8714357437791306E-3"/>
              <c:y val="8.7039601829729238E-2"/>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997421599"/>
        <c:crosses val="autoZero"/>
        <c:crossBetween val="between"/>
        <c:majorUnit val="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manualLayout>
          <c:layoutTarget val="inner"/>
          <c:xMode val="edge"/>
          <c:yMode val="edge"/>
          <c:x val="0.11243253111506223"/>
          <c:y val="7.1005725423923166E-2"/>
          <c:w val="0.87380302260604525"/>
          <c:h val="0.68126182895673426"/>
        </c:manualLayout>
      </c:layout>
      <c:barChart>
        <c:barDir val="col"/>
        <c:grouping val="clustered"/>
        <c:varyColors val="0"/>
        <c:ser>
          <c:idx val="0"/>
          <c:order val="0"/>
          <c:tx>
            <c:strRef>
              <c:f>Hoja1!$S$2</c:f>
              <c:strCache>
                <c:ptCount val="1"/>
              </c:strCache>
            </c:strRef>
          </c:tx>
          <c:spPr>
            <a:solidFill>
              <a:schemeClr val="tx2">
                <a:lumMod val="50000"/>
              </a:schemeClr>
            </a:solidFill>
            <a:ln>
              <a:noFill/>
            </a:ln>
            <a:effectLst/>
          </c:spPr>
          <c:invertIfNegative val="0"/>
          <c:dLbls>
            <c:dLbl>
              <c:idx val="25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D37-497B-8500-2542EDF49DB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Hoja1!$P$15:$P$266</c:f>
              <c:numCache>
                <c:formatCode>m/d/yyyy</c:formatCode>
                <c:ptCount val="252"/>
                <c:pt idx="0">
                  <c:v>37622</c:v>
                </c:pt>
                <c:pt idx="1">
                  <c:v>37653</c:v>
                </c:pt>
                <c:pt idx="2">
                  <c:v>37681</c:v>
                </c:pt>
                <c:pt idx="3">
                  <c:v>37712</c:v>
                </c:pt>
                <c:pt idx="4">
                  <c:v>37742</c:v>
                </c:pt>
                <c:pt idx="5">
                  <c:v>37773</c:v>
                </c:pt>
                <c:pt idx="6">
                  <c:v>37803</c:v>
                </c:pt>
                <c:pt idx="7">
                  <c:v>37834</c:v>
                </c:pt>
                <c:pt idx="8">
                  <c:v>37865</c:v>
                </c:pt>
                <c:pt idx="9">
                  <c:v>37895</c:v>
                </c:pt>
                <c:pt idx="10">
                  <c:v>37926</c:v>
                </c:pt>
                <c:pt idx="11">
                  <c:v>37956</c:v>
                </c:pt>
                <c:pt idx="12">
                  <c:v>37987</c:v>
                </c:pt>
                <c:pt idx="13">
                  <c:v>38018</c:v>
                </c:pt>
                <c:pt idx="14">
                  <c:v>38047</c:v>
                </c:pt>
                <c:pt idx="15">
                  <c:v>38078</c:v>
                </c:pt>
                <c:pt idx="16">
                  <c:v>38108</c:v>
                </c:pt>
                <c:pt idx="17">
                  <c:v>38139</c:v>
                </c:pt>
                <c:pt idx="18">
                  <c:v>38169</c:v>
                </c:pt>
                <c:pt idx="19">
                  <c:v>38200</c:v>
                </c:pt>
                <c:pt idx="20">
                  <c:v>38231</c:v>
                </c:pt>
                <c:pt idx="21">
                  <c:v>38261</c:v>
                </c:pt>
                <c:pt idx="22">
                  <c:v>38292</c:v>
                </c:pt>
                <c:pt idx="23">
                  <c:v>38322</c:v>
                </c:pt>
                <c:pt idx="24">
                  <c:v>38353</c:v>
                </c:pt>
                <c:pt idx="25">
                  <c:v>38384</c:v>
                </c:pt>
                <c:pt idx="26">
                  <c:v>38412</c:v>
                </c:pt>
                <c:pt idx="27">
                  <c:v>38443</c:v>
                </c:pt>
                <c:pt idx="28">
                  <c:v>38473</c:v>
                </c:pt>
                <c:pt idx="29">
                  <c:v>38504</c:v>
                </c:pt>
                <c:pt idx="30">
                  <c:v>38534</c:v>
                </c:pt>
                <c:pt idx="31">
                  <c:v>38565</c:v>
                </c:pt>
                <c:pt idx="32">
                  <c:v>38596</c:v>
                </c:pt>
                <c:pt idx="33">
                  <c:v>38626</c:v>
                </c:pt>
                <c:pt idx="34">
                  <c:v>38657</c:v>
                </c:pt>
                <c:pt idx="35">
                  <c:v>38687</c:v>
                </c:pt>
                <c:pt idx="36">
                  <c:v>38718</c:v>
                </c:pt>
                <c:pt idx="37">
                  <c:v>38749</c:v>
                </c:pt>
                <c:pt idx="38">
                  <c:v>38777</c:v>
                </c:pt>
                <c:pt idx="39">
                  <c:v>38808</c:v>
                </c:pt>
                <c:pt idx="40">
                  <c:v>38838</c:v>
                </c:pt>
                <c:pt idx="41">
                  <c:v>38869</c:v>
                </c:pt>
                <c:pt idx="42">
                  <c:v>38899</c:v>
                </c:pt>
                <c:pt idx="43">
                  <c:v>38930</c:v>
                </c:pt>
                <c:pt idx="44">
                  <c:v>38961</c:v>
                </c:pt>
                <c:pt idx="45">
                  <c:v>38991</c:v>
                </c:pt>
                <c:pt idx="46">
                  <c:v>39022</c:v>
                </c:pt>
                <c:pt idx="47">
                  <c:v>39052</c:v>
                </c:pt>
                <c:pt idx="48">
                  <c:v>39083</c:v>
                </c:pt>
                <c:pt idx="49">
                  <c:v>39114</c:v>
                </c:pt>
                <c:pt idx="50">
                  <c:v>39142</c:v>
                </c:pt>
                <c:pt idx="51">
                  <c:v>39173</c:v>
                </c:pt>
                <c:pt idx="52">
                  <c:v>39203</c:v>
                </c:pt>
                <c:pt idx="53">
                  <c:v>39234</c:v>
                </c:pt>
                <c:pt idx="54">
                  <c:v>39264</c:v>
                </c:pt>
                <c:pt idx="55">
                  <c:v>39295</c:v>
                </c:pt>
                <c:pt idx="56">
                  <c:v>39326</c:v>
                </c:pt>
                <c:pt idx="57">
                  <c:v>39356</c:v>
                </c:pt>
                <c:pt idx="58">
                  <c:v>39387</c:v>
                </c:pt>
                <c:pt idx="59">
                  <c:v>39417</c:v>
                </c:pt>
                <c:pt idx="60">
                  <c:v>39448</c:v>
                </c:pt>
                <c:pt idx="61">
                  <c:v>39479</c:v>
                </c:pt>
                <c:pt idx="62">
                  <c:v>39508</c:v>
                </c:pt>
                <c:pt idx="63">
                  <c:v>39539</c:v>
                </c:pt>
                <c:pt idx="64">
                  <c:v>39569</c:v>
                </c:pt>
                <c:pt idx="65">
                  <c:v>39600</c:v>
                </c:pt>
                <c:pt idx="66">
                  <c:v>39630</c:v>
                </c:pt>
                <c:pt idx="67">
                  <c:v>39661</c:v>
                </c:pt>
                <c:pt idx="68">
                  <c:v>39692</c:v>
                </c:pt>
                <c:pt idx="69">
                  <c:v>39722</c:v>
                </c:pt>
                <c:pt idx="70">
                  <c:v>39753</c:v>
                </c:pt>
                <c:pt idx="71">
                  <c:v>39783</c:v>
                </c:pt>
                <c:pt idx="72">
                  <c:v>39814</c:v>
                </c:pt>
                <c:pt idx="73">
                  <c:v>39845</c:v>
                </c:pt>
                <c:pt idx="74">
                  <c:v>39873</c:v>
                </c:pt>
                <c:pt idx="75">
                  <c:v>39904</c:v>
                </c:pt>
                <c:pt idx="76">
                  <c:v>39934</c:v>
                </c:pt>
                <c:pt idx="77">
                  <c:v>39965</c:v>
                </c:pt>
                <c:pt idx="78">
                  <c:v>39995</c:v>
                </c:pt>
                <c:pt idx="79">
                  <c:v>40026</c:v>
                </c:pt>
                <c:pt idx="80">
                  <c:v>40057</c:v>
                </c:pt>
                <c:pt idx="81">
                  <c:v>40087</c:v>
                </c:pt>
                <c:pt idx="82">
                  <c:v>40118</c:v>
                </c:pt>
                <c:pt idx="83">
                  <c:v>40148</c:v>
                </c:pt>
                <c:pt idx="84">
                  <c:v>40179</c:v>
                </c:pt>
                <c:pt idx="85">
                  <c:v>40210</c:v>
                </c:pt>
                <c:pt idx="86">
                  <c:v>40238</c:v>
                </c:pt>
                <c:pt idx="87">
                  <c:v>40269</c:v>
                </c:pt>
                <c:pt idx="88">
                  <c:v>40299</c:v>
                </c:pt>
                <c:pt idx="89">
                  <c:v>40330</c:v>
                </c:pt>
                <c:pt idx="90">
                  <c:v>40360</c:v>
                </c:pt>
                <c:pt idx="91">
                  <c:v>40391</c:v>
                </c:pt>
                <c:pt idx="92">
                  <c:v>40422</c:v>
                </c:pt>
                <c:pt idx="93">
                  <c:v>40452</c:v>
                </c:pt>
                <c:pt idx="94">
                  <c:v>40483</c:v>
                </c:pt>
                <c:pt idx="95">
                  <c:v>40513</c:v>
                </c:pt>
                <c:pt idx="96">
                  <c:v>40544</c:v>
                </c:pt>
                <c:pt idx="97">
                  <c:v>40575</c:v>
                </c:pt>
                <c:pt idx="98">
                  <c:v>40603</c:v>
                </c:pt>
                <c:pt idx="99">
                  <c:v>40634</c:v>
                </c:pt>
                <c:pt idx="100">
                  <c:v>40664</c:v>
                </c:pt>
                <c:pt idx="101">
                  <c:v>40695</c:v>
                </c:pt>
                <c:pt idx="102">
                  <c:v>40725</c:v>
                </c:pt>
                <c:pt idx="103">
                  <c:v>40756</c:v>
                </c:pt>
                <c:pt idx="104">
                  <c:v>40787</c:v>
                </c:pt>
                <c:pt idx="105">
                  <c:v>40817</c:v>
                </c:pt>
                <c:pt idx="106">
                  <c:v>40848</c:v>
                </c:pt>
                <c:pt idx="107">
                  <c:v>40878</c:v>
                </c:pt>
                <c:pt idx="108">
                  <c:v>40909</c:v>
                </c:pt>
                <c:pt idx="109">
                  <c:v>40940</c:v>
                </c:pt>
                <c:pt idx="110">
                  <c:v>40969</c:v>
                </c:pt>
                <c:pt idx="111">
                  <c:v>41000</c:v>
                </c:pt>
                <c:pt idx="112">
                  <c:v>41030</c:v>
                </c:pt>
                <c:pt idx="113">
                  <c:v>41061</c:v>
                </c:pt>
                <c:pt idx="114">
                  <c:v>41091</c:v>
                </c:pt>
                <c:pt idx="115">
                  <c:v>41122</c:v>
                </c:pt>
                <c:pt idx="116">
                  <c:v>41153</c:v>
                </c:pt>
                <c:pt idx="117">
                  <c:v>41183</c:v>
                </c:pt>
                <c:pt idx="118">
                  <c:v>41214</c:v>
                </c:pt>
                <c:pt idx="119">
                  <c:v>41244</c:v>
                </c:pt>
                <c:pt idx="120">
                  <c:v>41275</c:v>
                </c:pt>
                <c:pt idx="121">
                  <c:v>41306</c:v>
                </c:pt>
                <c:pt idx="122">
                  <c:v>41334</c:v>
                </c:pt>
                <c:pt idx="123">
                  <c:v>41365</c:v>
                </c:pt>
                <c:pt idx="124">
                  <c:v>41395</c:v>
                </c:pt>
                <c:pt idx="125">
                  <c:v>41426</c:v>
                </c:pt>
                <c:pt idx="126">
                  <c:v>41456</c:v>
                </c:pt>
                <c:pt idx="127">
                  <c:v>41487</c:v>
                </c:pt>
                <c:pt idx="128">
                  <c:v>41518</c:v>
                </c:pt>
                <c:pt idx="129">
                  <c:v>41548</c:v>
                </c:pt>
                <c:pt idx="130">
                  <c:v>41579</c:v>
                </c:pt>
                <c:pt idx="131">
                  <c:v>41609</c:v>
                </c:pt>
                <c:pt idx="132">
                  <c:v>41640</c:v>
                </c:pt>
                <c:pt idx="133">
                  <c:v>41671</c:v>
                </c:pt>
                <c:pt idx="134">
                  <c:v>41699</c:v>
                </c:pt>
                <c:pt idx="135">
                  <c:v>41730</c:v>
                </c:pt>
                <c:pt idx="136">
                  <c:v>41760</c:v>
                </c:pt>
                <c:pt idx="137">
                  <c:v>41791</c:v>
                </c:pt>
                <c:pt idx="138">
                  <c:v>41821</c:v>
                </c:pt>
                <c:pt idx="139">
                  <c:v>41852</c:v>
                </c:pt>
                <c:pt idx="140">
                  <c:v>41883</c:v>
                </c:pt>
                <c:pt idx="141">
                  <c:v>41913</c:v>
                </c:pt>
                <c:pt idx="142">
                  <c:v>41944</c:v>
                </c:pt>
                <c:pt idx="143">
                  <c:v>41974</c:v>
                </c:pt>
                <c:pt idx="144">
                  <c:v>42005</c:v>
                </c:pt>
                <c:pt idx="145">
                  <c:v>42036</c:v>
                </c:pt>
                <c:pt idx="146">
                  <c:v>42064</c:v>
                </c:pt>
                <c:pt idx="147">
                  <c:v>42095</c:v>
                </c:pt>
                <c:pt idx="148">
                  <c:v>42125</c:v>
                </c:pt>
                <c:pt idx="149">
                  <c:v>42156</c:v>
                </c:pt>
                <c:pt idx="150">
                  <c:v>42186</c:v>
                </c:pt>
                <c:pt idx="151">
                  <c:v>42217</c:v>
                </c:pt>
                <c:pt idx="152">
                  <c:v>42248</c:v>
                </c:pt>
                <c:pt idx="153">
                  <c:v>42278</c:v>
                </c:pt>
                <c:pt idx="154">
                  <c:v>42309</c:v>
                </c:pt>
                <c:pt idx="155">
                  <c:v>42339</c:v>
                </c:pt>
                <c:pt idx="156">
                  <c:v>42370</c:v>
                </c:pt>
                <c:pt idx="157">
                  <c:v>42401</c:v>
                </c:pt>
                <c:pt idx="158">
                  <c:v>42430</c:v>
                </c:pt>
                <c:pt idx="159">
                  <c:v>42461</c:v>
                </c:pt>
                <c:pt idx="160">
                  <c:v>42491</c:v>
                </c:pt>
                <c:pt idx="161">
                  <c:v>42522</c:v>
                </c:pt>
                <c:pt idx="162">
                  <c:v>42552</c:v>
                </c:pt>
                <c:pt idx="163">
                  <c:v>42583</c:v>
                </c:pt>
                <c:pt idx="164">
                  <c:v>42614</c:v>
                </c:pt>
                <c:pt idx="165">
                  <c:v>42644</c:v>
                </c:pt>
                <c:pt idx="166">
                  <c:v>42675</c:v>
                </c:pt>
                <c:pt idx="167">
                  <c:v>42705</c:v>
                </c:pt>
                <c:pt idx="168">
                  <c:v>42736</c:v>
                </c:pt>
                <c:pt idx="169">
                  <c:v>42767</c:v>
                </c:pt>
                <c:pt idx="170">
                  <c:v>42795</c:v>
                </c:pt>
                <c:pt idx="171">
                  <c:v>42826</c:v>
                </c:pt>
                <c:pt idx="172">
                  <c:v>42856</c:v>
                </c:pt>
                <c:pt idx="173">
                  <c:v>42887</c:v>
                </c:pt>
                <c:pt idx="174">
                  <c:v>42917</c:v>
                </c:pt>
                <c:pt idx="175">
                  <c:v>42948</c:v>
                </c:pt>
                <c:pt idx="176">
                  <c:v>42979</c:v>
                </c:pt>
                <c:pt idx="177">
                  <c:v>43009</c:v>
                </c:pt>
                <c:pt idx="178">
                  <c:v>43040</c:v>
                </c:pt>
                <c:pt idx="179">
                  <c:v>43070</c:v>
                </c:pt>
                <c:pt idx="180">
                  <c:v>43101</c:v>
                </c:pt>
                <c:pt idx="181">
                  <c:v>43132</c:v>
                </c:pt>
                <c:pt idx="182">
                  <c:v>43160</c:v>
                </c:pt>
                <c:pt idx="183">
                  <c:v>43191</c:v>
                </c:pt>
                <c:pt idx="184">
                  <c:v>43221</c:v>
                </c:pt>
                <c:pt idx="185">
                  <c:v>43252</c:v>
                </c:pt>
                <c:pt idx="186">
                  <c:v>43282</c:v>
                </c:pt>
                <c:pt idx="187">
                  <c:v>43313</c:v>
                </c:pt>
                <c:pt idx="188">
                  <c:v>43344</c:v>
                </c:pt>
                <c:pt idx="189">
                  <c:v>43374</c:v>
                </c:pt>
                <c:pt idx="190">
                  <c:v>43405</c:v>
                </c:pt>
                <c:pt idx="191">
                  <c:v>43435</c:v>
                </c:pt>
                <c:pt idx="192">
                  <c:v>43466</c:v>
                </c:pt>
                <c:pt idx="193">
                  <c:v>43497</c:v>
                </c:pt>
                <c:pt idx="194">
                  <c:v>43525</c:v>
                </c:pt>
                <c:pt idx="195">
                  <c:v>43556</c:v>
                </c:pt>
                <c:pt idx="196">
                  <c:v>43586</c:v>
                </c:pt>
                <c:pt idx="197">
                  <c:v>43617</c:v>
                </c:pt>
                <c:pt idx="198">
                  <c:v>43647</c:v>
                </c:pt>
                <c:pt idx="199">
                  <c:v>43678</c:v>
                </c:pt>
                <c:pt idx="200">
                  <c:v>43709</c:v>
                </c:pt>
                <c:pt idx="201">
                  <c:v>43739</c:v>
                </c:pt>
                <c:pt idx="202">
                  <c:v>43770</c:v>
                </c:pt>
                <c:pt idx="203">
                  <c:v>43800</c:v>
                </c:pt>
                <c:pt idx="204">
                  <c:v>43831</c:v>
                </c:pt>
                <c:pt idx="205">
                  <c:v>43862</c:v>
                </c:pt>
                <c:pt idx="206">
                  <c:v>43891</c:v>
                </c:pt>
                <c:pt idx="207">
                  <c:v>43922</c:v>
                </c:pt>
                <c:pt idx="208">
                  <c:v>43952</c:v>
                </c:pt>
                <c:pt idx="209">
                  <c:v>43983</c:v>
                </c:pt>
                <c:pt idx="210">
                  <c:v>44013</c:v>
                </c:pt>
                <c:pt idx="211">
                  <c:v>44044</c:v>
                </c:pt>
                <c:pt idx="212">
                  <c:v>44075</c:v>
                </c:pt>
                <c:pt idx="213">
                  <c:v>44105</c:v>
                </c:pt>
                <c:pt idx="214">
                  <c:v>44136</c:v>
                </c:pt>
                <c:pt idx="215">
                  <c:v>44166</c:v>
                </c:pt>
                <c:pt idx="216">
                  <c:v>44197</c:v>
                </c:pt>
                <c:pt idx="217">
                  <c:v>44228</c:v>
                </c:pt>
                <c:pt idx="218">
                  <c:v>44256</c:v>
                </c:pt>
                <c:pt idx="219">
                  <c:v>44287</c:v>
                </c:pt>
                <c:pt idx="220">
                  <c:v>44317</c:v>
                </c:pt>
                <c:pt idx="221">
                  <c:v>44348</c:v>
                </c:pt>
                <c:pt idx="222">
                  <c:v>44378</c:v>
                </c:pt>
                <c:pt idx="223">
                  <c:v>44409</c:v>
                </c:pt>
                <c:pt idx="224">
                  <c:v>44440</c:v>
                </c:pt>
                <c:pt idx="225">
                  <c:v>44470</c:v>
                </c:pt>
                <c:pt idx="226">
                  <c:v>44501</c:v>
                </c:pt>
                <c:pt idx="227">
                  <c:v>44531</c:v>
                </c:pt>
                <c:pt idx="228">
                  <c:v>44562</c:v>
                </c:pt>
                <c:pt idx="229">
                  <c:v>44593</c:v>
                </c:pt>
                <c:pt idx="230">
                  <c:v>44621</c:v>
                </c:pt>
                <c:pt idx="231">
                  <c:v>44652</c:v>
                </c:pt>
                <c:pt idx="232">
                  <c:v>44682</c:v>
                </c:pt>
                <c:pt idx="233">
                  <c:v>44713</c:v>
                </c:pt>
                <c:pt idx="234">
                  <c:v>44743</c:v>
                </c:pt>
                <c:pt idx="235">
                  <c:v>44774</c:v>
                </c:pt>
                <c:pt idx="236">
                  <c:v>44805</c:v>
                </c:pt>
                <c:pt idx="237">
                  <c:v>44835</c:v>
                </c:pt>
                <c:pt idx="238">
                  <c:v>44866</c:v>
                </c:pt>
                <c:pt idx="239">
                  <c:v>44896</c:v>
                </c:pt>
                <c:pt idx="240">
                  <c:v>44927</c:v>
                </c:pt>
                <c:pt idx="241">
                  <c:v>44958</c:v>
                </c:pt>
                <c:pt idx="242">
                  <c:v>44986</c:v>
                </c:pt>
                <c:pt idx="243">
                  <c:v>45017</c:v>
                </c:pt>
                <c:pt idx="244">
                  <c:v>45047</c:v>
                </c:pt>
                <c:pt idx="245">
                  <c:v>45078</c:v>
                </c:pt>
                <c:pt idx="246">
                  <c:v>45108</c:v>
                </c:pt>
                <c:pt idx="247">
                  <c:v>45139</c:v>
                </c:pt>
                <c:pt idx="248">
                  <c:v>45170</c:v>
                </c:pt>
                <c:pt idx="249">
                  <c:v>45200</c:v>
                </c:pt>
                <c:pt idx="250">
                  <c:v>45231</c:v>
                </c:pt>
                <c:pt idx="251">
                  <c:v>45261</c:v>
                </c:pt>
              </c:numCache>
            </c:numRef>
          </c:cat>
          <c:val>
            <c:numRef>
              <c:f>Hoja1!$S$15:$S$266</c:f>
              <c:numCache>
                <c:formatCode>0.0</c:formatCode>
                <c:ptCount val="252"/>
                <c:pt idx="0">
                  <c:v>98.07692307692308</c:v>
                </c:pt>
                <c:pt idx="1">
                  <c:v>72.040022234574749</c:v>
                </c:pt>
                <c:pt idx="2">
                  <c:v>62.789892696434777</c:v>
                </c:pt>
                <c:pt idx="3">
                  <c:v>52.160710114459242</c:v>
                </c:pt>
                <c:pt idx="4">
                  <c:v>61.96176868121259</c:v>
                </c:pt>
                <c:pt idx="5">
                  <c:v>54.869174794859887</c:v>
                </c:pt>
                <c:pt idx="6">
                  <c:v>52.390081799590995</c:v>
                </c:pt>
                <c:pt idx="7">
                  <c:v>45.146607388588976</c:v>
                </c:pt>
                <c:pt idx="8">
                  <c:v>40.45372050816696</c:v>
                </c:pt>
                <c:pt idx="9">
                  <c:v>35.938355628569198</c:v>
                </c:pt>
                <c:pt idx="10">
                  <c:v>34.461408569619365</c:v>
                </c:pt>
                <c:pt idx="11">
                  <c:v>33.377651155428943</c:v>
                </c:pt>
                <c:pt idx="12">
                  <c:v>18.143203883495129</c:v>
                </c:pt>
                <c:pt idx="13">
                  <c:v>22.261712439418414</c:v>
                </c:pt>
                <c:pt idx="14">
                  <c:v>28.917712098660409</c:v>
                </c:pt>
                <c:pt idx="15">
                  <c:v>24.393613754989254</c:v>
                </c:pt>
                <c:pt idx="16">
                  <c:v>21.733428707677625</c:v>
                </c:pt>
                <c:pt idx="17">
                  <c:v>23.283015095471349</c:v>
                </c:pt>
                <c:pt idx="18">
                  <c:v>20.758198439989918</c:v>
                </c:pt>
                <c:pt idx="19">
                  <c:v>20.522170361726921</c:v>
                </c:pt>
                <c:pt idx="20">
                  <c:v>20.454839126502122</c:v>
                </c:pt>
                <c:pt idx="21">
                  <c:v>19.83656557518556</c:v>
                </c:pt>
                <c:pt idx="22">
                  <c:v>21.3489613311705</c:v>
                </c:pt>
                <c:pt idx="23">
                  <c:v>21.06612237148142</c:v>
                </c:pt>
                <c:pt idx="24">
                  <c:v>7.6014381099126949</c:v>
                </c:pt>
                <c:pt idx="25">
                  <c:v>9.2230443974630205</c:v>
                </c:pt>
                <c:pt idx="26">
                  <c:v>8.8240145142668638</c:v>
                </c:pt>
                <c:pt idx="27">
                  <c:v>12.661977045538686</c:v>
                </c:pt>
                <c:pt idx="28">
                  <c:v>16.26677112917443</c:v>
                </c:pt>
                <c:pt idx="29">
                  <c:v>17.442426208238771</c:v>
                </c:pt>
                <c:pt idx="30">
                  <c:v>17.662175302125327</c:v>
                </c:pt>
                <c:pt idx="31">
                  <c:v>17.148735326152774</c:v>
                </c:pt>
                <c:pt idx="32">
                  <c:v>16.798970178073414</c:v>
                </c:pt>
                <c:pt idx="33">
                  <c:v>17.931233192470252</c:v>
                </c:pt>
                <c:pt idx="34">
                  <c:v>17.347246776766887</c:v>
                </c:pt>
                <c:pt idx="35">
                  <c:v>17.349539306018457</c:v>
                </c:pt>
                <c:pt idx="36">
                  <c:v>18.806682577565638</c:v>
                </c:pt>
                <c:pt idx="37">
                  <c:v>21.87273167190904</c:v>
                </c:pt>
                <c:pt idx="38">
                  <c:v>20.142467414368003</c:v>
                </c:pt>
                <c:pt idx="39">
                  <c:v>17.98663599518018</c:v>
                </c:pt>
                <c:pt idx="40">
                  <c:v>21.167452830188683</c:v>
                </c:pt>
                <c:pt idx="41">
                  <c:v>20.734654422426281</c:v>
                </c:pt>
                <c:pt idx="42">
                  <c:v>21.096747535564585</c:v>
                </c:pt>
                <c:pt idx="43">
                  <c:v>23.161157024793376</c:v>
                </c:pt>
                <c:pt idx="44">
                  <c:v>22.951873622336507</c:v>
                </c:pt>
                <c:pt idx="45">
                  <c:v>22.803159866438637</c:v>
                </c:pt>
                <c:pt idx="46">
                  <c:v>21.646946424634383</c:v>
                </c:pt>
                <c:pt idx="47">
                  <c:v>20.608085532910138</c:v>
                </c:pt>
                <c:pt idx="48">
                  <c:v>15.347529128163927</c:v>
                </c:pt>
                <c:pt idx="49">
                  <c:v>10.978757196744082</c:v>
                </c:pt>
                <c:pt idx="50">
                  <c:v>11.845591018039613</c:v>
                </c:pt>
                <c:pt idx="51">
                  <c:v>13.285674496332756</c:v>
                </c:pt>
                <c:pt idx="52">
                  <c:v>12.137643378519281</c:v>
                </c:pt>
                <c:pt idx="53">
                  <c:v>12.63868237447101</c:v>
                </c:pt>
                <c:pt idx="54">
                  <c:v>14.589324884231036</c:v>
                </c:pt>
                <c:pt idx="55">
                  <c:v>14.586478778728384</c:v>
                </c:pt>
                <c:pt idx="56">
                  <c:v>14.252633151564954</c:v>
                </c:pt>
                <c:pt idx="57">
                  <c:v>14.404138205451279</c:v>
                </c:pt>
                <c:pt idx="58">
                  <c:v>14.514423803050903</c:v>
                </c:pt>
                <c:pt idx="59">
                  <c:v>14.366446894564788</c:v>
                </c:pt>
                <c:pt idx="60">
                  <c:v>9.578544061302674</c:v>
                </c:pt>
                <c:pt idx="61">
                  <c:v>13.220035778175321</c:v>
                </c:pt>
                <c:pt idx="62">
                  <c:v>9.7902097902097918</c:v>
                </c:pt>
                <c:pt idx="63">
                  <c:v>11.350598262579915</c:v>
                </c:pt>
                <c:pt idx="64">
                  <c:v>8.9021139420990778</c:v>
                </c:pt>
                <c:pt idx="65">
                  <c:v>8.7022745735174656</c:v>
                </c:pt>
                <c:pt idx="66">
                  <c:v>8.5034881742385604</c:v>
                </c:pt>
                <c:pt idx="67">
                  <c:v>7.0273040040992552</c:v>
                </c:pt>
                <c:pt idx="68">
                  <c:v>7.7476299444262819</c:v>
                </c:pt>
                <c:pt idx="69">
                  <c:v>6.1880470697350809</c:v>
                </c:pt>
                <c:pt idx="70">
                  <c:v>4.8641519388024079</c:v>
                </c:pt>
                <c:pt idx="71">
                  <c:v>4.5126441236314374</c:v>
                </c:pt>
                <c:pt idx="72">
                  <c:v>-7.7558804831532218</c:v>
                </c:pt>
                <c:pt idx="73">
                  <c:v>-9.5907726339074184</c:v>
                </c:pt>
                <c:pt idx="74">
                  <c:v>-5.8660365728374746</c:v>
                </c:pt>
                <c:pt idx="75">
                  <c:v>-7.5586958121733989</c:v>
                </c:pt>
                <c:pt idx="76">
                  <c:v>-9.5690783856093873</c:v>
                </c:pt>
                <c:pt idx="77">
                  <c:v>-9.5189163942083219</c:v>
                </c:pt>
                <c:pt idx="78">
                  <c:v>-9.7189006939271572</c:v>
                </c:pt>
                <c:pt idx="79">
                  <c:v>-9.7120579987688966</c:v>
                </c:pt>
                <c:pt idx="80">
                  <c:v>-9.8209951456310733</c:v>
                </c:pt>
                <c:pt idx="81">
                  <c:v>-9.9325818161967394</c:v>
                </c:pt>
                <c:pt idx="82">
                  <c:v>-9.7524777380892491</c:v>
                </c:pt>
                <c:pt idx="83">
                  <c:v>-9.3285744084177331</c:v>
                </c:pt>
                <c:pt idx="84">
                  <c:v>-15.196416264645073</c:v>
                </c:pt>
                <c:pt idx="85">
                  <c:v>-9.0178259349877656</c:v>
                </c:pt>
                <c:pt idx="86">
                  <c:v>-2.8047582669431415</c:v>
                </c:pt>
                <c:pt idx="87">
                  <c:v>-1.671974522292996</c:v>
                </c:pt>
                <c:pt idx="88">
                  <c:v>0.21402492760922431</c:v>
                </c:pt>
                <c:pt idx="89">
                  <c:v>2.5345860004129639</c:v>
                </c:pt>
                <c:pt idx="90">
                  <c:v>2.957269411151664</c:v>
                </c:pt>
                <c:pt idx="91">
                  <c:v>4.0943867888796337</c:v>
                </c:pt>
                <c:pt idx="92">
                  <c:v>4.5520304141574153</c:v>
                </c:pt>
                <c:pt idx="93">
                  <c:v>4.4608764167525461</c:v>
                </c:pt>
                <c:pt idx="94">
                  <c:v>5.3153831145302144</c:v>
                </c:pt>
                <c:pt idx="95">
                  <c:v>5.4854046316650473</c:v>
                </c:pt>
                <c:pt idx="96">
                  <c:v>15.115806582689961</c:v>
                </c:pt>
                <c:pt idx="97">
                  <c:v>12.927391471379179</c:v>
                </c:pt>
                <c:pt idx="98">
                  <c:v>9.1399056815629987</c:v>
                </c:pt>
                <c:pt idx="99">
                  <c:v>8.7692307692307736</c:v>
                </c:pt>
                <c:pt idx="100">
                  <c:v>10.464824120603033</c:v>
                </c:pt>
                <c:pt idx="101">
                  <c:v>9.5000755172934603</c:v>
                </c:pt>
                <c:pt idx="102">
                  <c:v>6.4912058711881659</c:v>
                </c:pt>
                <c:pt idx="103">
                  <c:v>6.7714587199359633</c:v>
                </c:pt>
                <c:pt idx="104">
                  <c:v>6.1655296691980999</c:v>
                </c:pt>
                <c:pt idx="105">
                  <c:v>6.063243400058016</c:v>
                </c:pt>
                <c:pt idx="106">
                  <c:v>5.8516832521702256</c:v>
                </c:pt>
                <c:pt idx="107">
                  <c:v>6.0870408064359838</c:v>
                </c:pt>
                <c:pt idx="108">
                  <c:v>7.6950229438757622</c:v>
                </c:pt>
                <c:pt idx="109">
                  <c:v>11.498554175880237</c:v>
                </c:pt>
                <c:pt idx="110">
                  <c:v>8.8065843621399011</c:v>
                </c:pt>
                <c:pt idx="111">
                  <c:v>9.9233231593835782</c:v>
                </c:pt>
                <c:pt idx="112">
                  <c:v>9.6440350278630618</c:v>
                </c:pt>
                <c:pt idx="113">
                  <c:v>8.5471264367815927</c:v>
                </c:pt>
                <c:pt idx="114">
                  <c:v>10.226552598225581</c:v>
                </c:pt>
                <c:pt idx="115">
                  <c:v>9.8827699018538606</c:v>
                </c:pt>
                <c:pt idx="116">
                  <c:v>8.8203200775945447</c:v>
                </c:pt>
                <c:pt idx="117">
                  <c:v>9.5623632385120274</c:v>
                </c:pt>
                <c:pt idx="118">
                  <c:v>9.353669208651084</c:v>
                </c:pt>
                <c:pt idx="119">
                  <c:v>9.2462311557788937</c:v>
                </c:pt>
                <c:pt idx="120">
                  <c:v>17.305801376597827</c:v>
                </c:pt>
                <c:pt idx="121">
                  <c:v>8.1769641495041725</c:v>
                </c:pt>
                <c:pt idx="122">
                  <c:v>7.1482602118002836</c:v>
                </c:pt>
                <c:pt idx="123">
                  <c:v>7.3005553298117309</c:v>
                </c:pt>
                <c:pt idx="124">
                  <c:v>6.9079970957369508</c:v>
                </c:pt>
                <c:pt idx="125">
                  <c:v>4.9853869287136199</c:v>
                </c:pt>
                <c:pt idx="126">
                  <c:v>5.0808480057491945</c:v>
                </c:pt>
                <c:pt idx="127">
                  <c:v>4.8474134722739093</c:v>
                </c:pt>
                <c:pt idx="128">
                  <c:v>5.8826806306055301</c:v>
                </c:pt>
                <c:pt idx="129">
                  <c:v>6.8853604953065695</c:v>
                </c:pt>
                <c:pt idx="130">
                  <c:v>6.5026522773001583</c:v>
                </c:pt>
                <c:pt idx="131">
                  <c:v>6.7429121016977511</c:v>
                </c:pt>
                <c:pt idx="132">
                  <c:v>10.142497904442592</c:v>
                </c:pt>
                <c:pt idx="133">
                  <c:v>9.7306444789169397</c:v>
                </c:pt>
                <c:pt idx="134">
                  <c:v>9.1863748676314962</c:v>
                </c:pt>
                <c:pt idx="135">
                  <c:v>9.0633678364049572</c:v>
                </c:pt>
                <c:pt idx="136">
                  <c:v>7.7956728436984646</c:v>
                </c:pt>
                <c:pt idx="137">
                  <c:v>9.0938432986363615</c:v>
                </c:pt>
                <c:pt idx="138">
                  <c:v>9.8926275475311307</c:v>
                </c:pt>
                <c:pt idx="139">
                  <c:v>9.1637826485639238</c:v>
                </c:pt>
                <c:pt idx="140">
                  <c:v>9.1518914084284919</c:v>
                </c:pt>
                <c:pt idx="141">
                  <c:v>8.6046620264399678</c:v>
                </c:pt>
                <c:pt idx="142">
                  <c:v>8.374838986689582</c:v>
                </c:pt>
                <c:pt idx="143">
                  <c:v>8.594989520694174</c:v>
                </c:pt>
                <c:pt idx="144">
                  <c:v>3.348554033485529</c:v>
                </c:pt>
                <c:pt idx="145">
                  <c:v>7.8781647603135996</c:v>
                </c:pt>
                <c:pt idx="146">
                  <c:v>12.818233249818167</c:v>
                </c:pt>
                <c:pt idx="147">
                  <c:v>9.9363425925925952</c:v>
                </c:pt>
                <c:pt idx="148">
                  <c:v>8.8474866117636441</c:v>
                </c:pt>
                <c:pt idx="149">
                  <c:v>9.2825443786982209</c:v>
                </c:pt>
                <c:pt idx="150">
                  <c:v>9.8017861032454903</c:v>
                </c:pt>
                <c:pt idx="151">
                  <c:v>9.9038070722124338</c:v>
                </c:pt>
                <c:pt idx="152">
                  <c:v>10.72711059696816</c:v>
                </c:pt>
                <c:pt idx="153">
                  <c:v>11.363929631381996</c:v>
                </c:pt>
                <c:pt idx="154">
                  <c:v>12.654265961450829</c:v>
                </c:pt>
                <c:pt idx="155">
                  <c:v>13.363756065006038</c:v>
                </c:pt>
                <c:pt idx="156">
                  <c:v>18.311242022582231</c:v>
                </c:pt>
                <c:pt idx="157">
                  <c:v>23.898022396950203</c:v>
                </c:pt>
                <c:pt idx="158">
                  <c:v>19.134608496310612</c:v>
                </c:pt>
                <c:pt idx="159">
                  <c:v>19.613623203663732</c:v>
                </c:pt>
                <c:pt idx="160">
                  <c:v>19.799892504237839</c:v>
                </c:pt>
                <c:pt idx="161">
                  <c:v>18.859560067681901</c:v>
                </c:pt>
                <c:pt idx="162">
                  <c:v>14.727803440360487</c:v>
                </c:pt>
                <c:pt idx="163">
                  <c:v>15.078895463510866</c:v>
                </c:pt>
                <c:pt idx="164">
                  <c:v>14.820215915027003</c:v>
                </c:pt>
                <c:pt idx="165">
                  <c:v>13.576146151172219</c:v>
                </c:pt>
                <c:pt idx="166">
                  <c:v>13.972463029066805</c:v>
                </c:pt>
                <c:pt idx="167">
                  <c:v>13.920445505171042</c:v>
                </c:pt>
                <c:pt idx="168">
                  <c:v>21.908713692946069</c:v>
                </c:pt>
                <c:pt idx="169">
                  <c:v>15.528846153846153</c:v>
                </c:pt>
                <c:pt idx="170">
                  <c:v>16.734816596512324</c:v>
                </c:pt>
                <c:pt idx="171">
                  <c:v>13.594155701271827</c:v>
                </c:pt>
                <c:pt idx="172">
                  <c:v>14.874378796245157</c:v>
                </c:pt>
                <c:pt idx="173">
                  <c:v>15.374540899125932</c:v>
                </c:pt>
                <c:pt idx="174">
                  <c:v>16.502815927279912</c:v>
                </c:pt>
                <c:pt idx="175">
                  <c:v>16.211757648470293</c:v>
                </c:pt>
                <c:pt idx="176">
                  <c:v>15.580156578772764</c:v>
                </c:pt>
                <c:pt idx="177">
                  <c:v>16.056247024416791</c:v>
                </c:pt>
                <c:pt idx="178">
                  <c:v>15.278870631798203</c:v>
                </c:pt>
                <c:pt idx="179">
                  <c:v>14.416402463721578</c:v>
                </c:pt>
                <c:pt idx="180">
                  <c:v>7.9986385296119789</c:v>
                </c:pt>
                <c:pt idx="181">
                  <c:v>5.260091552226398</c:v>
                </c:pt>
                <c:pt idx="182">
                  <c:v>4.0127749446247307</c:v>
                </c:pt>
                <c:pt idx="183">
                  <c:v>8.0543933054393335</c:v>
                </c:pt>
                <c:pt idx="184">
                  <c:v>8.0814756954875833</c:v>
                </c:pt>
                <c:pt idx="185">
                  <c:v>8.5556350714409035</c:v>
                </c:pt>
                <c:pt idx="186">
                  <c:v>10.618043040390113</c:v>
                </c:pt>
                <c:pt idx="187">
                  <c:v>12.045793927327031</c:v>
                </c:pt>
                <c:pt idx="188">
                  <c:v>11.915305386078856</c:v>
                </c:pt>
                <c:pt idx="189">
                  <c:v>12.624716138011859</c:v>
                </c:pt>
                <c:pt idx="190">
                  <c:v>13.015605342755411</c:v>
                </c:pt>
                <c:pt idx="191">
                  <c:v>13.372639494146776</c:v>
                </c:pt>
                <c:pt idx="192">
                  <c:v>8.4305074062401619</c:v>
                </c:pt>
                <c:pt idx="193">
                  <c:v>9.0060884004111497</c:v>
                </c:pt>
                <c:pt idx="194">
                  <c:v>9.2165213946117319</c:v>
                </c:pt>
                <c:pt idx="195">
                  <c:v>10.089276110573309</c:v>
                </c:pt>
                <c:pt idx="196">
                  <c:v>12.436068490104525</c:v>
                </c:pt>
                <c:pt idx="197">
                  <c:v>12.002727892702891</c:v>
                </c:pt>
                <c:pt idx="198">
                  <c:v>12.602303873651133</c:v>
                </c:pt>
                <c:pt idx="199">
                  <c:v>12.795958997647139</c:v>
                </c:pt>
                <c:pt idx="200">
                  <c:v>13.541040784325231</c:v>
                </c:pt>
                <c:pt idx="201">
                  <c:v>13.795660318451475</c:v>
                </c:pt>
                <c:pt idx="202">
                  <c:v>13.302464384259217</c:v>
                </c:pt>
                <c:pt idx="203">
                  <c:v>13.144407597226415</c:v>
                </c:pt>
                <c:pt idx="204">
                  <c:v>21.290510100276116</c:v>
                </c:pt>
                <c:pt idx="205">
                  <c:v>19.149862179022193</c:v>
                </c:pt>
                <c:pt idx="206">
                  <c:v>8.348070557293763</c:v>
                </c:pt>
                <c:pt idx="207">
                  <c:v>0.31590946099984141</c:v>
                </c:pt>
                <c:pt idx="208">
                  <c:v>-3.1644004944375803</c:v>
                </c:pt>
                <c:pt idx="209">
                  <c:v>-0.94783844124213257</c:v>
                </c:pt>
                <c:pt idx="210">
                  <c:v>1.4332402805201871</c:v>
                </c:pt>
                <c:pt idx="211">
                  <c:v>2.2434868862502455</c:v>
                </c:pt>
                <c:pt idx="212">
                  <c:v>4.0373272067839361</c:v>
                </c:pt>
                <c:pt idx="213">
                  <c:v>5.09619671456496</c:v>
                </c:pt>
                <c:pt idx="214">
                  <c:v>6.3683682428194999</c:v>
                </c:pt>
                <c:pt idx="215">
                  <c:v>7.9184271630314829</c:v>
                </c:pt>
                <c:pt idx="216">
                  <c:v>8.6508507069254605</c:v>
                </c:pt>
                <c:pt idx="217">
                  <c:v>12.608060392061372</c:v>
                </c:pt>
                <c:pt idx="218">
                  <c:v>31.217041935213864</c:v>
                </c:pt>
                <c:pt idx="219">
                  <c:v>41.776508018959824</c:v>
                </c:pt>
                <c:pt idx="220">
                  <c:v>43.061016083737556</c:v>
                </c:pt>
                <c:pt idx="221">
                  <c:v>42.741224924697249</c:v>
                </c:pt>
                <c:pt idx="222">
                  <c:v>39.629132404765912</c:v>
                </c:pt>
                <c:pt idx="223">
                  <c:v>38.519374536323703</c:v>
                </c:pt>
                <c:pt idx="224">
                  <c:v>36.572172942125178</c:v>
                </c:pt>
                <c:pt idx="225">
                  <c:v>35.170500897373145</c:v>
                </c:pt>
                <c:pt idx="226">
                  <c:v>35.439082628305286</c:v>
                </c:pt>
                <c:pt idx="227">
                  <c:v>34.876769101891455</c:v>
                </c:pt>
                <c:pt idx="228">
                  <c:v>30.205116894574346</c:v>
                </c:pt>
                <c:pt idx="229">
                  <c:v>32.097096826512427</c:v>
                </c:pt>
                <c:pt idx="230">
                  <c:v>25.55417344432751</c:v>
                </c:pt>
                <c:pt idx="231">
                  <c:v>24.859171055644612</c:v>
                </c:pt>
                <c:pt idx="232">
                  <c:v>25.722290629405585</c:v>
                </c:pt>
                <c:pt idx="233">
                  <c:v>25.050960351411121</c:v>
                </c:pt>
                <c:pt idx="234">
                  <c:v>21.162189772249285</c:v>
                </c:pt>
                <c:pt idx="235">
                  <c:v>20.752695924442023</c:v>
                </c:pt>
                <c:pt idx="236">
                  <c:v>21.009410995240032</c:v>
                </c:pt>
                <c:pt idx="237">
                  <c:v>20.252033894213373</c:v>
                </c:pt>
                <c:pt idx="238">
                  <c:v>18.972684731744494</c:v>
                </c:pt>
                <c:pt idx="239">
                  <c:v>17.942951286962995</c:v>
                </c:pt>
                <c:pt idx="240">
                  <c:v>17.43033793512323</c:v>
                </c:pt>
                <c:pt idx="241">
                  <c:v>13.268396496684943</c:v>
                </c:pt>
                <c:pt idx="242">
                  <c:v>12.622888352597483</c:v>
                </c:pt>
                <c:pt idx="243">
                  <c:v>9.7604812383083051</c:v>
                </c:pt>
                <c:pt idx="244">
                  <c:v>10.668407829555271</c:v>
                </c:pt>
                <c:pt idx="245">
                  <c:v>10.867493944646567</c:v>
                </c:pt>
                <c:pt idx="246">
                  <c:v>12.097646136906913</c:v>
                </c:pt>
                <c:pt idx="247">
                  <c:v>11.517400204708261</c:v>
                </c:pt>
                <c:pt idx="248">
                  <c:v>10.904423024952671</c:v>
                </c:pt>
                <c:pt idx="249">
                  <c:v>9.9099279959313336</c:v>
                </c:pt>
                <c:pt idx="250">
                  <c:v>10.003902772187834</c:v>
                </c:pt>
                <c:pt idx="251">
                  <c:v>9.7776077870533218</c:v>
                </c:pt>
              </c:numCache>
            </c:numRef>
          </c:val>
          <c:extLst>
            <c:ext xmlns:c16="http://schemas.microsoft.com/office/drawing/2014/chart" uri="{C3380CC4-5D6E-409C-BE32-E72D297353CC}">
              <c16:uniqueId val="{00000001-ED37-497B-8500-2542EDF49DBE}"/>
            </c:ext>
          </c:extLst>
        </c:ser>
        <c:dLbls>
          <c:showLegendKey val="0"/>
          <c:showVal val="0"/>
          <c:showCatName val="0"/>
          <c:showSerName val="0"/>
          <c:showPercent val="0"/>
          <c:showBubbleSize val="0"/>
        </c:dLbls>
        <c:gapWidth val="219"/>
        <c:overlap val="-27"/>
        <c:axId val="2103934735"/>
        <c:axId val="2103921007"/>
      </c:barChart>
      <c:dateAx>
        <c:axId val="2103934735"/>
        <c:scaling>
          <c:orientation val="minMax"/>
          <c:min val="44197"/>
        </c:scaling>
        <c:delete val="0"/>
        <c:axPos val="b"/>
        <c:numFmt formatCode="mmm\-yy"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103921007"/>
        <c:crosses val="autoZero"/>
        <c:auto val="1"/>
        <c:lblOffset val="100"/>
        <c:baseTimeUnit val="months"/>
      </c:dateAx>
      <c:valAx>
        <c:axId val="2103921007"/>
        <c:scaling>
          <c:orientation val="minMax"/>
          <c:max val="50"/>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1039347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787333401506632"/>
          <c:y val="6.6085911685190749E-2"/>
          <c:w val="0.7775615169315957"/>
          <c:h val="0.78440240028572572"/>
        </c:manualLayout>
      </c:layout>
      <c:lineChart>
        <c:grouping val="standard"/>
        <c:varyColors val="0"/>
        <c:ser>
          <c:idx val="0"/>
          <c:order val="0"/>
          <c:tx>
            <c:strRef>
              <c:f>Sheet1!$B$1</c:f>
              <c:strCache>
                <c:ptCount val="1"/>
                <c:pt idx="0">
                  <c:v>tipo_cambio</c:v>
                </c:pt>
              </c:strCache>
            </c:strRef>
          </c:tx>
          <c:spPr>
            <a:ln w="12700">
              <a:solidFill>
                <a:srgbClr val="222A3F"/>
              </a:solidFill>
            </a:ln>
          </c:spPr>
          <c:marker>
            <c:symbol val="none"/>
          </c:marker>
          <c:dLbls>
            <c:dLbl>
              <c:idx val="58"/>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65-4F5F-AA1D-ACD155F59BEB}"/>
                </c:ext>
              </c:extLst>
            </c:dLbl>
            <c:dLbl>
              <c:idx val="278"/>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65-4F5F-AA1D-ACD155F59BEB}"/>
                </c:ext>
              </c:extLst>
            </c:dLbl>
            <c:dLbl>
              <c:idx val="323"/>
              <c:layout>
                <c:manualLayout>
                  <c:x val="-0.12193210697147705"/>
                  <c:y val="4.52407026772599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965-4F5F-AA1D-ACD155F59BEB}"/>
                </c:ext>
              </c:extLst>
            </c:dLbl>
            <c:dLbl>
              <c:idx val="34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65-4F5F-AA1D-ACD155F59BEB}"/>
                </c:ext>
              </c:extLst>
            </c:dLbl>
            <c:dLbl>
              <c:idx val="61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965-4F5F-AA1D-ACD155F59BEB}"/>
                </c:ext>
              </c:extLst>
            </c:dLbl>
            <c:dLbl>
              <c:idx val="72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965-4F5F-AA1D-ACD155F59BEB}"/>
                </c:ext>
              </c:extLst>
            </c:dLbl>
            <c:dLbl>
              <c:idx val="738"/>
              <c:tx>
                <c:rich>
                  <a:bodyPr/>
                  <a:lstStyle/>
                  <a:p>
                    <a:r>
                      <a:rPr lang="en-US"/>
                      <a:t>7.82</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E965-4F5F-AA1D-ACD155F59BEB}"/>
                </c:ext>
              </c:extLst>
            </c:dLbl>
            <c:numFmt formatCode="#,##0.00" sourceLinked="0"/>
            <c:spPr>
              <a:noFill/>
              <a:ln>
                <a:noFill/>
              </a:ln>
              <a:effectLst/>
            </c:spPr>
            <c:txPr>
              <a:bodyPr/>
              <a:lstStyle/>
              <a:p>
                <a:pPr>
                  <a:defRPr sz="800" b="1">
                    <a:solidFill>
                      <a:srgbClr val="222A3F"/>
                    </a:solidFill>
                    <a:latin typeface="Times New Roman" panose="02020603050405020304" pitchFamily="18" charset="0"/>
                    <a:cs typeface="Times New Roman" panose="02020603050405020304" pitchFamily="18" charset="0"/>
                  </a:defRPr>
                </a:pPr>
                <a:endParaRPr lang="es-GT"/>
              </a:p>
            </c:txPr>
            <c:dLblPos val="t"/>
            <c:showLegendKey val="0"/>
            <c:showVal val="0"/>
            <c:showCatName val="0"/>
            <c:showSerName val="0"/>
            <c:showPercent val="0"/>
            <c:showBubbleSize val="0"/>
            <c:extLst>
              <c:ext xmlns:c15="http://schemas.microsoft.com/office/drawing/2012/chart" uri="{CE6537A1-D6FC-4f65-9D91-7224C49458BB}">
                <c15:showLeaderLines val="0"/>
              </c:ext>
            </c:extLst>
          </c:dLbls>
          <c:cat>
            <c:numRef>
              <c:f>Sheet1!$A$2:$A$740</c:f>
              <c:numCache>
                <c:formatCode>yyyy\-mm\-dd</c:formatCode>
                <c:ptCount val="739"/>
                <c:pt idx="0">
                  <c:v>45108</c:v>
                </c:pt>
                <c:pt idx="1">
                  <c:v>45109</c:v>
                </c:pt>
                <c:pt idx="2">
                  <c:v>45110</c:v>
                </c:pt>
                <c:pt idx="3">
                  <c:v>45111</c:v>
                </c:pt>
                <c:pt idx="4">
                  <c:v>45112</c:v>
                </c:pt>
                <c:pt idx="5">
                  <c:v>45113</c:v>
                </c:pt>
                <c:pt idx="6">
                  <c:v>45114</c:v>
                </c:pt>
                <c:pt idx="7">
                  <c:v>45115</c:v>
                </c:pt>
                <c:pt idx="8">
                  <c:v>45116</c:v>
                </c:pt>
                <c:pt idx="9">
                  <c:v>45117</c:v>
                </c:pt>
                <c:pt idx="10">
                  <c:v>45118</c:v>
                </c:pt>
                <c:pt idx="11">
                  <c:v>45119</c:v>
                </c:pt>
                <c:pt idx="12">
                  <c:v>45120</c:v>
                </c:pt>
                <c:pt idx="13">
                  <c:v>45121</c:v>
                </c:pt>
                <c:pt idx="14">
                  <c:v>45122</c:v>
                </c:pt>
                <c:pt idx="15">
                  <c:v>45123</c:v>
                </c:pt>
                <c:pt idx="16">
                  <c:v>45124</c:v>
                </c:pt>
                <c:pt idx="17">
                  <c:v>45125</c:v>
                </c:pt>
                <c:pt idx="18">
                  <c:v>45126</c:v>
                </c:pt>
                <c:pt idx="19">
                  <c:v>45127</c:v>
                </c:pt>
                <c:pt idx="20">
                  <c:v>45128</c:v>
                </c:pt>
                <c:pt idx="21">
                  <c:v>45129</c:v>
                </c:pt>
                <c:pt idx="22">
                  <c:v>45130</c:v>
                </c:pt>
                <c:pt idx="23">
                  <c:v>45131</c:v>
                </c:pt>
                <c:pt idx="24">
                  <c:v>45132</c:v>
                </c:pt>
                <c:pt idx="25">
                  <c:v>45133</c:v>
                </c:pt>
                <c:pt idx="26">
                  <c:v>45134</c:v>
                </c:pt>
                <c:pt idx="27">
                  <c:v>45135</c:v>
                </c:pt>
                <c:pt idx="28">
                  <c:v>45136</c:v>
                </c:pt>
                <c:pt idx="29">
                  <c:v>45137</c:v>
                </c:pt>
                <c:pt idx="30">
                  <c:v>45138</c:v>
                </c:pt>
                <c:pt idx="31">
                  <c:v>45139</c:v>
                </c:pt>
                <c:pt idx="32">
                  <c:v>45140</c:v>
                </c:pt>
                <c:pt idx="33">
                  <c:v>45141</c:v>
                </c:pt>
                <c:pt idx="34">
                  <c:v>45142</c:v>
                </c:pt>
                <c:pt idx="35">
                  <c:v>45143</c:v>
                </c:pt>
                <c:pt idx="36">
                  <c:v>45144</c:v>
                </c:pt>
                <c:pt idx="37">
                  <c:v>45145</c:v>
                </c:pt>
                <c:pt idx="38">
                  <c:v>45146</c:v>
                </c:pt>
                <c:pt idx="39">
                  <c:v>45147</c:v>
                </c:pt>
                <c:pt idx="40">
                  <c:v>45148</c:v>
                </c:pt>
                <c:pt idx="41">
                  <c:v>45149</c:v>
                </c:pt>
                <c:pt idx="42">
                  <c:v>45150</c:v>
                </c:pt>
                <c:pt idx="43">
                  <c:v>45151</c:v>
                </c:pt>
                <c:pt idx="44">
                  <c:v>45152</c:v>
                </c:pt>
                <c:pt idx="45">
                  <c:v>45153</c:v>
                </c:pt>
                <c:pt idx="46">
                  <c:v>45154</c:v>
                </c:pt>
                <c:pt idx="47">
                  <c:v>45155</c:v>
                </c:pt>
                <c:pt idx="48">
                  <c:v>45156</c:v>
                </c:pt>
                <c:pt idx="49">
                  <c:v>45157</c:v>
                </c:pt>
                <c:pt idx="50">
                  <c:v>45158</c:v>
                </c:pt>
                <c:pt idx="51">
                  <c:v>45159</c:v>
                </c:pt>
                <c:pt idx="52">
                  <c:v>45160</c:v>
                </c:pt>
                <c:pt idx="53">
                  <c:v>45161</c:v>
                </c:pt>
                <c:pt idx="54">
                  <c:v>45162</c:v>
                </c:pt>
                <c:pt idx="55">
                  <c:v>45163</c:v>
                </c:pt>
                <c:pt idx="56">
                  <c:v>45164</c:v>
                </c:pt>
                <c:pt idx="57">
                  <c:v>45165</c:v>
                </c:pt>
                <c:pt idx="58">
                  <c:v>45166</c:v>
                </c:pt>
                <c:pt idx="59">
                  <c:v>45167</c:v>
                </c:pt>
                <c:pt idx="60">
                  <c:v>45168</c:v>
                </c:pt>
                <c:pt idx="61">
                  <c:v>45169</c:v>
                </c:pt>
                <c:pt idx="62">
                  <c:v>45170</c:v>
                </c:pt>
                <c:pt idx="63">
                  <c:v>45171</c:v>
                </c:pt>
                <c:pt idx="64">
                  <c:v>45172</c:v>
                </c:pt>
                <c:pt idx="65">
                  <c:v>45173</c:v>
                </c:pt>
                <c:pt idx="66">
                  <c:v>45174</c:v>
                </c:pt>
                <c:pt idx="67">
                  <c:v>45175</c:v>
                </c:pt>
                <c:pt idx="68">
                  <c:v>45176</c:v>
                </c:pt>
                <c:pt idx="69">
                  <c:v>45177</c:v>
                </c:pt>
                <c:pt idx="70">
                  <c:v>45178</c:v>
                </c:pt>
                <c:pt idx="71">
                  <c:v>45179</c:v>
                </c:pt>
                <c:pt idx="72">
                  <c:v>45180</c:v>
                </c:pt>
                <c:pt idx="73">
                  <c:v>45181</c:v>
                </c:pt>
                <c:pt idx="74">
                  <c:v>45182</c:v>
                </c:pt>
                <c:pt idx="75">
                  <c:v>45183</c:v>
                </c:pt>
                <c:pt idx="76">
                  <c:v>45184</c:v>
                </c:pt>
                <c:pt idx="77">
                  <c:v>45185</c:v>
                </c:pt>
                <c:pt idx="78">
                  <c:v>45186</c:v>
                </c:pt>
                <c:pt idx="79">
                  <c:v>45187</c:v>
                </c:pt>
                <c:pt idx="80">
                  <c:v>45188</c:v>
                </c:pt>
                <c:pt idx="81">
                  <c:v>45189</c:v>
                </c:pt>
                <c:pt idx="82">
                  <c:v>45190</c:v>
                </c:pt>
                <c:pt idx="83">
                  <c:v>45191</c:v>
                </c:pt>
                <c:pt idx="84">
                  <c:v>45192</c:v>
                </c:pt>
                <c:pt idx="85">
                  <c:v>45193</c:v>
                </c:pt>
                <c:pt idx="86">
                  <c:v>45194</c:v>
                </c:pt>
                <c:pt idx="87">
                  <c:v>45195</c:v>
                </c:pt>
                <c:pt idx="88">
                  <c:v>45196</c:v>
                </c:pt>
                <c:pt idx="89">
                  <c:v>45197</c:v>
                </c:pt>
                <c:pt idx="90">
                  <c:v>45198</c:v>
                </c:pt>
                <c:pt idx="91">
                  <c:v>45199</c:v>
                </c:pt>
                <c:pt idx="92">
                  <c:v>45200</c:v>
                </c:pt>
                <c:pt idx="93">
                  <c:v>45201</c:v>
                </c:pt>
                <c:pt idx="94">
                  <c:v>45202</c:v>
                </c:pt>
                <c:pt idx="95">
                  <c:v>45203</c:v>
                </c:pt>
                <c:pt idx="96">
                  <c:v>45204</c:v>
                </c:pt>
                <c:pt idx="97">
                  <c:v>45205</c:v>
                </c:pt>
                <c:pt idx="98">
                  <c:v>45206</c:v>
                </c:pt>
                <c:pt idx="99">
                  <c:v>45207</c:v>
                </c:pt>
                <c:pt idx="100">
                  <c:v>45208</c:v>
                </c:pt>
                <c:pt idx="101">
                  <c:v>45209</c:v>
                </c:pt>
                <c:pt idx="102">
                  <c:v>45210</c:v>
                </c:pt>
                <c:pt idx="103">
                  <c:v>44562</c:v>
                </c:pt>
                <c:pt idx="104">
                  <c:v>44563</c:v>
                </c:pt>
                <c:pt idx="105">
                  <c:v>44564</c:v>
                </c:pt>
                <c:pt idx="106">
                  <c:v>44565</c:v>
                </c:pt>
                <c:pt idx="107">
                  <c:v>44566</c:v>
                </c:pt>
                <c:pt idx="108">
                  <c:v>44567</c:v>
                </c:pt>
                <c:pt idx="109">
                  <c:v>44568</c:v>
                </c:pt>
                <c:pt idx="110">
                  <c:v>44569</c:v>
                </c:pt>
                <c:pt idx="111">
                  <c:v>44570</c:v>
                </c:pt>
                <c:pt idx="112">
                  <c:v>44571</c:v>
                </c:pt>
                <c:pt idx="113">
                  <c:v>44572</c:v>
                </c:pt>
                <c:pt idx="114">
                  <c:v>44573</c:v>
                </c:pt>
                <c:pt idx="115">
                  <c:v>44574</c:v>
                </c:pt>
                <c:pt idx="116">
                  <c:v>44575</c:v>
                </c:pt>
                <c:pt idx="117">
                  <c:v>44576</c:v>
                </c:pt>
                <c:pt idx="118">
                  <c:v>44577</c:v>
                </c:pt>
                <c:pt idx="119">
                  <c:v>44578</c:v>
                </c:pt>
                <c:pt idx="120">
                  <c:v>44579</c:v>
                </c:pt>
                <c:pt idx="121">
                  <c:v>44580</c:v>
                </c:pt>
                <c:pt idx="122">
                  <c:v>44581</c:v>
                </c:pt>
                <c:pt idx="123">
                  <c:v>44582</c:v>
                </c:pt>
                <c:pt idx="124">
                  <c:v>44583</c:v>
                </c:pt>
                <c:pt idx="125">
                  <c:v>44584</c:v>
                </c:pt>
                <c:pt idx="126">
                  <c:v>44585</c:v>
                </c:pt>
                <c:pt idx="127">
                  <c:v>44586</c:v>
                </c:pt>
                <c:pt idx="128">
                  <c:v>44587</c:v>
                </c:pt>
                <c:pt idx="129">
                  <c:v>44588</c:v>
                </c:pt>
                <c:pt idx="130">
                  <c:v>44589</c:v>
                </c:pt>
                <c:pt idx="131">
                  <c:v>44590</c:v>
                </c:pt>
                <c:pt idx="132">
                  <c:v>44591</c:v>
                </c:pt>
                <c:pt idx="133">
                  <c:v>44592</c:v>
                </c:pt>
                <c:pt idx="134">
                  <c:v>44593</c:v>
                </c:pt>
                <c:pt idx="135">
                  <c:v>44594</c:v>
                </c:pt>
                <c:pt idx="136">
                  <c:v>44595</c:v>
                </c:pt>
                <c:pt idx="137">
                  <c:v>44596</c:v>
                </c:pt>
                <c:pt idx="138">
                  <c:v>44597</c:v>
                </c:pt>
                <c:pt idx="139">
                  <c:v>44598</c:v>
                </c:pt>
                <c:pt idx="140">
                  <c:v>44599</c:v>
                </c:pt>
                <c:pt idx="141">
                  <c:v>44600</c:v>
                </c:pt>
                <c:pt idx="142">
                  <c:v>44601</c:v>
                </c:pt>
                <c:pt idx="143">
                  <c:v>44602</c:v>
                </c:pt>
                <c:pt idx="144">
                  <c:v>44603</c:v>
                </c:pt>
                <c:pt idx="145">
                  <c:v>44604</c:v>
                </c:pt>
                <c:pt idx="146">
                  <c:v>44605</c:v>
                </c:pt>
                <c:pt idx="147">
                  <c:v>44606</c:v>
                </c:pt>
                <c:pt idx="148">
                  <c:v>44607</c:v>
                </c:pt>
                <c:pt idx="149">
                  <c:v>44608</c:v>
                </c:pt>
                <c:pt idx="150">
                  <c:v>44609</c:v>
                </c:pt>
                <c:pt idx="151">
                  <c:v>44610</c:v>
                </c:pt>
                <c:pt idx="152">
                  <c:v>44611</c:v>
                </c:pt>
                <c:pt idx="153">
                  <c:v>44612</c:v>
                </c:pt>
                <c:pt idx="154">
                  <c:v>44613</c:v>
                </c:pt>
                <c:pt idx="155">
                  <c:v>44614</c:v>
                </c:pt>
                <c:pt idx="156">
                  <c:v>44615</c:v>
                </c:pt>
                <c:pt idx="157">
                  <c:v>44616</c:v>
                </c:pt>
                <c:pt idx="158">
                  <c:v>44617</c:v>
                </c:pt>
                <c:pt idx="159">
                  <c:v>44618</c:v>
                </c:pt>
                <c:pt idx="160">
                  <c:v>44619</c:v>
                </c:pt>
                <c:pt idx="161">
                  <c:v>44620</c:v>
                </c:pt>
                <c:pt idx="162">
                  <c:v>44621</c:v>
                </c:pt>
                <c:pt idx="163">
                  <c:v>44622</c:v>
                </c:pt>
                <c:pt idx="164">
                  <c:v>44623</c:v>
                </c:pt>
                <c:pt idx="165">
                  <c:v>44624</c:v>
                </c:pt>
                <c:pt idx="166">
                  <c:v>44625</c:v>
                </c:pt>
                <c:pt idx="167">
                  <c:v>44626</c:v>
                </c:pt>
                <c:pt idx="168">
                  <c:v>44627</c:v>
                </c:pt>
                <c:pt idx="169">
                  <c:v>44628</c:v>
                </c:pt>
                <c:pt idx="170">
                  <c:v>44629</c:v>
                </c:pt>
                <c:pt idx="171">
                  <c:v>44630</c:v>
                </c:pt>
                <c:pt idx="172">
                  <c:v>44631</c:v>
                </c:pt>
                <c:pt idx="173">
                  <c:v>44632</c:v>
                </c:pt>
                <c:pt idx="174">
                  <c:v>44633</c:v>
                </c:pt>
                <c:pt idx="175">
                  <c:v>44634</c:v>
                </c:pt>
                <c:pt idx="176">
                  <c:v>44635</c:v>
                </c:pt>
                <c:pt idx="177">
                  <c:v>44636</c:v>
                </c:pt>
                <c:pt idx="178">
                  <c:v>44637</c:v>
                </c:pt>
                <c:pt idx="179">
                  <c:v>44638</c:v>
                </c:pt>
                <c:pt idx="180">
                  <c:v>44639</c:v>
                </c:pt>
                <c:pt idx="181">
                  <c:v>44640</c:v>
                </c:pt>
                <c:pt idx="182">
                  <c:v>44641</c:v>
                </c:pt>
                <c:pt idx="183">
                  <c:v>44642</c:v>
                </c:pt>
                <c:pt idx="184">
                  <c:v>44643</c:v>
                </c:pt>
                <c:pt idx="185">
                  <c:v>44644</c:v>
                </c:pt>
                <c:pt idx="186">
                  <c:v>44645</c:v>
                </c:pt>
                <c:pt idx="187">
                  <c:v>44646</c:v>
                </c:pt>
                <c:pt idx="188">
                  <c:v>44647</c:v>
                </c:pt>
                <c:pt idx="189">
                  <c:v>44648</c:v>
                </c:pt>
                <c:pt idx="190">
                  <c:v>44649</c:v>
                </c:pt>
                <c:pt idx="191">
                  <c:v>44650</c:v>
                </c:pt>
                <c:pt idx="192">
                  <c:v>44651</c:v>
                </c:pt>
                <c:pt idx="193">
                  <c:v>44652</c:v>
                </c:pt>
                <c:pt idx="194">
                  <c:v>44653</c:v>
                </c:pt>
                <c:pt idx="195">
                  <c:v>44654</c:v>
                </c:pt>
                <c:pt idx="196">
                  <c:v>44655</c:v>
                </c:pt>
                <c:pt idx="197">
                  <c:v>44656</c:v>
                </c:pt>
                <c:pt idx="198">
                  <c:v>44657</c:v>
                </c:pt>
                <c:pt idx="199">
                  <c:v>44658</c:v>
                </c:pt>
                <c:pt idx="200">
                  <c:v>44659</c:v>
                </c:pt>
                <c:pt idx="201">
                  <c:v>44660</c:v>
                </c:pt>
                <c:pt idx="202">
                  <c:v>44661</c:v>
                </c:pt>
                <c:pt idx="203">
                  <c:v>44662</c:v>
                </c:pt>
                <c:pt idx="204">
                  <c:v>44663</c:v>
                </c:pt>
                <c:pt idx="205">
                  <c:v>44664</c:v>
                </c:pt>
                <c:pt idx="206">
                  <c:v>44665</c:v>
                </c:pt>
                <c:pt idx="207">
                  <c:v>44666</c:v>
                </c:pt>
                <c:pt idx="208">
                  <c:v>44667</c:v>
                </c:pt>
                <c:pt idx="209">
                  <c:v>44668</c:v>
                </c:pt>
                <c:pt idx="210">
                  <c:v>44669</c:v>
                </c:pt>
                <c:pt idx="211">
                  <c:v>44670</c:v>
                </c:pt>
                <c:pt idx="212">
                  <c:v>44671</c:v>
                </c:pt>
                <c:pt idx="213">
                  <c:v>44672</c:v>
                </c:pt>
                <c:pt idx="214">
                  <c:v>44673</c:v>
                </c:pt>
                <c:pt idx="215">
                  <c:v>44674</c:v>
                </c:pt>
                <c:pt idx="216">
                  <c:v>44675</c:v>
                </c:pt>
                <c:pt idx="217">
                  <c:v>44676</c:v>
                </c:pt>
                <c:pt idx="218">
                  <c:v>44677</c:v>
                </c:pt>
                <c:pt idx="219">
                  <c:v>44678</c:v>
                </c:pt>
                <c:pt idx="220">
                  <c:v>44679</c:v>
                </c:pt>
                <c:pt idx="221">
                  <c:v>44680</c:v>
                </c:pt>
                <c:pt idx="222">
                  <c:v>44681</c:v>
                </c:pt>
                <c:pt idx="223">
                  <c:v>44682</c:v>
                </c:pt>
                <c:pt idx="224">
                  <c:v>44683</c:v>
                </c:pt>
                <c:pt idx="225">
                  <c:v>44684</c:v>
                </c:pt>
                <c:pt idx="226">
                  <c:v>44685</c:v>
                </c:pt>
                <c:pt idx="227">
                  <c:v>44686</c:v>
                </c:pt>
                <c:pt idx="228">
                  <c:v>44687</c:v>
                </c:pt>
                <c:pt idx="229">
                  <c:v>44688</c:v>
                </c:pt>
                <c:pt idx="230">
                  <c:v>44689</c:v>
                </c:pt>
                <c:pt idx="231">
                  <c:v>44690</c:v>
                </c:pt>
                <c:pt idx="232">
                  <c:v>44691</c:v>
                </c:pt>
                <c:pt idx="233">
                  <c:v>44692</c:v>
                </c:pt>
                <c:pt idx="234">
                  <c:v>44693</c:v>
                </c:pt>
                <c:pt idx="235">
                  <c:v>44694</c:v>
                </c:pt>
                <c:pt idx="236">
                  <c:v>44695</c:v>
                </c:pt>
                <c:pt idx="237">
                  <c:v>44696</c:v>
                </c:pt>
                <c:pt idx="238">
                  <c:v>44697</c:v>
                </c:pt>
                <c:pt idx="239">
                  <c:v>44698</c:v>
                </c:pt>
                <c:pt idx="240">
                  <c:v>44699</c:v>
                </c:pt>
                <c:pt idx="241">
                  <c:v>44700</c:v>
                </c:pt>
                <c:pt idx="242">
                  <c:v>44701</c:v>
                </c:pt>
                <c:pt idx="243">
                  <c:v>44702</c:v>
                </c:pt>
                <c:pt idx="244">
                  <c:v>44703</c:v>
                </c:pt>
                <c:pt idx="245">
                  <c:v>44704</c:v>
                </c:pt>
                <c:pt idx="246">
                  <c:v>44705</c:v>
                </c:pt>
                <c:pt idx="247">
                  <c:v>44706</c:v>
                </c:pt>
                <c:pt idx="248">
                  <c:v>44707</c:v>
                </c:pt>
                <c:pt idx="249">
                  <c:v>44708</c:v>
                </c:pt>
                <c:pt idx="250">
                  <c:v>44709</c:v>
                </c:pt>
                <c:pt idx="251">
                  <c:v>44710</c:v>
                </c:pt>
                <c:pt idx="252">
                  <c:v>44711</c:v>
                </c:pt>
                <c:pt idx="253">
                  <c:v>44712</c:v>
                </c:pt>
                <c:pt idx="254">
                  <c:v>44713</c:v>
                </c:pt>
                <c:pt idx="255">
                  <c:v>44714</c:v>
                </c:pt>
                <c:pt idx="256">
                  <c:v>44715</c:v>
                </c:pt>
                <c:pt idx="257">
                  <c:v>44716</c:v>
                </c:pt>
                <c:pt idx="258">
                  <c:v>44717</c:v>
                </c:pt>
                <c:pt idx="259">
                  <c:v>44718</c:v>
                </c:pt>
                <c:pt idx="260">
                  <c:v>44719</c:v>
                </c:pt>
                <c:pt idx="261">
                  <c:v>44720</c:v>
                </c:pt>
                <c:pt idx="262">
                  <c:v>44721</c:v>
                </c:pt>
                <c:pt idx="263">
                  <c:v>44722</c:v>
                </c:pt>
                <c:pt idx="264">
                  <c:v>44723</c:v>
                </c:pt>
                <c:pt idx="265">
                  <c:v>44724</c:v>
                </c:pt>
                <c:pt idx="266">
                  <c:v>44725</c:v>
                </c:pt>
                <c:pt idx="267">
                  <c:v>44726</c:v>
                </c:pt>
                <c:pt idx="268">
                  <c:v>44727</c:v>
                </c:pt>
                <c:pt idx="269">
                  <c:v>44728</c:v>
                </c:pt>
                <c:pt idx="270">
                  <c:v>44729</c:v>
                </c:pt>
                <c:pt idx="271">
                  <c:v>44730</c:v>
                </c:pt>
                <c:pt idx="272">
                  <c:v>44731</c:v>
                </c:pt>
                <c:pt idx="273">
                  <c:v>44732</c:v>
                </c:pt>
                <c:pt idx="274">
                  <c:v>44733</c:v>
                </c:pt>
                <c:pt idx="275">
                  <c:v>44734</c:v>
                </c:pt>
                <c:pt idx="276">
                  <c:v>44735</c:v>
                </c:pt>
                <c:pt idx="277">
                  <c:v>44736</c:v>
                </c:pt>
                <c:pt idx="278">
                  <c:v>44737</c:v>
                </c:pt>
                <c:pt idx="279">
                  <c:v>44738</c:v>
                </c:pt>
                <c:pt idx="280">
                  <c:v>44739</c:v>
                </c:pt>
                <c:pt idx="281">
                  <c:v>44740</c:v>
                </c:pt>
                <c:pt idx="282">
                  <c:v>44741</c:v>
                </c:pt>
                <c:pt idx="283">
                  <c:v>44742</c:v>
                </c:pt>
                <c:pt idx="284">
                  <c:v>44743</c:v>
                </c:pt>
                <c:pt idx="285">
                  <c:v>44744</c:v>
                </c:pt>
                <c:pt idx="286">
                  <c:v>44745</c:v>
                </c:pt>
                <c:pt idx="287">
                  <c:v>44746</c:v>
                </c:pt>
                <c:pt idx="288">
                  <c:v>44747</c:v>
                </c:pt>
                <c:pt idx="289">
                  <c:v>44748</c:v>
                </c:pt>
                <c:pt idx="290">
                  <c:v>44749</c:v>
                </c:pt>
                <c:pt idx="291">
                  <c:v>44750</c:v>
                </c:pt>
                <c:pt idx="292">
                  <c:v>44751</c:v>
                </c:pt>
                <c:pt idx="293">
                  <c:v>44752</c:v>
                </c:pt>
                <c:pt idx="294">
                  <c:v>44753</c:v>
                </c:pt>
                <c:pt idx="295">
                  <c:v>44754</c:v>
                </c:pt>
                <c:pt idx="296">
                  <c:v>44755</c:v>
                </c:pt>
                <c:pt idx="297">
                  <c:v>44756</c:v>
                </c:pt>
                <c:pt idx="298">
                  <c:v>44757</c:v>
                </c:pt>
                <c:pt idx="299">
                  <c:v>44758</c:v>
                </c:pt>
                <c:pt idx="300">
                  <c:v>44759</c:v>
                </c:pt>
                <c:pt idx="301">
                  <c:v>44760</c:v>
                </c:pt>
                <c:pt idx="302">
                  <c:v>44761</c:v>
                </c:pt>
                <c:pt idx="303">
                  <c:v>44762</c:v>
                </c:pt>
                <c:pt idx="304">
                  <c:v>44763</c:v>
                </c:pt>
                <c:pt idx="305">
                  <c:v>44764</c:v>
                </c:pt>
                <c:pt idx="306">
                  <c:v>44765</c:v>
                </c:pt>
                <c:pt idx="307">
                  <c:v>44766</c:v>
                </c:pt>
                <c:pt idx="308">
                  <c:v>44767</c:v>
                </c:pt>
                <c:pt idx="309">
                  <c:v>44768</c:v>
                </c:pt>
                <c:pt idx="310">
                  <c:v>44769</c:v>
                </c:pt>
                <c:pt idx="311">
                  <c:v>44770</c:v>
                </c:pt>
                <c:pt idx="312">
                  <c:v>44771</c:v>
                </c:pt>
                <c:pt idx="313">
                  <c:v>44772</c:v>
                </c:pt>
                <c:pt idx="314">
                  <c:v>44773</c:v>
                </c:pt>
                <c:pt idx="315">
                  <c:v>44774</c:v>
                </c:pt>
                <c:pt idx="316">
                  <c:v>44775</c:v>
                </c:pt>
                <c:pt idx="317">
                  <c:v>44776</c:v>
                </c:pt>
                <c:pt idx="318">
                  <c:v>44777</c:v>
                </c:pt>
                <c:pt idx="319">
                  <c:v>44778</c:v>
                </c:pt>
                <c:pt idx="320">
                  <c:v>44779</c:v>
                </c:pt>
                <c:pt idx="321">
                  <c:v>44780</c:v>
                </c:pt>
                <c:pt idx="322">
                  <c:v>44781</c:v>
                </c:pt>
                <c:pt idx="323">
                  <c:v>44782</c:v>
                </c:pt>
                <c:pt idx="324">
                  <c:v>44783</c:v>
                </c:pt>
                <c:pt idx="325">
                  <c:v>44784</c:v>
                </c:pt>
                <c:pt idx="326">
                  <c:v>44785</c:v>
                </c:pt>
                <c:pt idx="327">
                  <c:v>44786</c:v>
                </c:pt>
                <c:pt idx="328">
                  <c:v>44787</c:v>
                </c:pt>
                <c:pt idx="329">
                  <c:v>44788</c:v>
                </c:pt>
                <c:pt idx="330">
                  <c:v>44789</c:v>
                </c:pt>
                <c:pt idx="331">
                  <c:v>44790</c:v>
                </c:pt>
                <c:pt idx="332">
                  <c:v>44791</c:v>
                </c:pt>
                <c:pt idx="333">
                  <c:v>44792</c:v>
                </c:pt>
                <c:pt idx="334">
                  <c:v>44793</c:v>
                </c:pt>
                <c:pt idx="335">
                  <c:v>44794</c:v>
                </c:pt>
                <c:pt idx="336">
                  <c:v>44795</c:v>
                </c:pt>
                <c:pt idx="337">
                  <c:v>44796</c:v>
                </c:pt>
                <c:pt idx="338">
                  <c:v>44797</c:v>
                </c:pt>
                <c:pt idx="339">
                  <c:v>44798</c:v>
                </c:pt>
                <c:pt idx="340">
                  <c:v>44799</c:v>
                </c:pt>
                <c:pt idx="341">
                  <c:v>44800</c:v>
                </c:pt>
                <c:pt idx="342">
                  <c:v>44801</c:v>
                </c:pt>
                <c:pt idx="343">
                  <c:v>44802</c:v>
                </c:pt>
                <c:pt idx="344">
                  <c:v>44803</c:v>
                </c:pt>
                <c:pt idx="345">
                  <c:v>44804</c:v>
                </c:pt>
                <c:pt idx="346">
                  <c:v>44805</c:v>
                </c:pt>
                <c:pt idx="347">
                  <c:v>44806</c:v>
                </c:pt>
                <c:pt idx="348">
                  <c:v>44807</c:v>
                </c:pt>
                <c:pt idx="349">
                  <c:v>44808</c:v>
                </c:pt>
                <c:pt idx="350">
                  <c:v>44809</c:v>
                </c:pt>
                <c:pt idx="351">
                  <c:v>44810</c:v>
                </c:pt>
                <c:pt idx="352">
                  <c:v>44811</c:v>
                </c:pt>
                <c:pt idx="353">
                  <c:v>44812</c:v>
                </c:pt>
                <c:pt idx="354">
                  <c:v>44813</c:v>
                </c:pt>
                <c:pt idx="355">
                  <c:v>44814</c:v>
                </c:pt>
                <c:pt idx="356">
                  <c:v>44815</c:v>
                </c:pt>
                <c:pt idx="357">
                  <c:v>44816</c:v>
                </c:pt>
                <c:pt idx="358">
                  <c:v>44817</c:v>
                </c:pt>
                <c:pt idx="359">
                  <c:v>44818</c:v>
                </c:pt>
                <c:pt idx="360">
                  <c:v>44819</c:v>
                </c:pt>
                <c:pt idx="361">
                  <c:v>44820</c:v>
                </c:pt>
                <c:pt idx="362">
                  <c:v>44821</c:v>
                </c:pt>
                <c:pt idx="363">
                  <c:v>44822</c:v>
                </c:pt>
                <c:pt idx="364">
                  <c:v>44823</c:v>
                </c:pt>
                <c:pt idx="365">
                  <c:v>44824</c:v>
                </c:pt>
                <c:pt idx="366">
                  <c:v>44825</c:v>
                </c:pt>
                <c:pt idx="367">
                  <c:v>44826</c:v>
                </c:pt>
                <c:pt idx="368">
                  <c:v>44827</c:v>
                </c:pt>
                <c:pt idx="369">
                  <c:v>44828</c:v>
                </c:pt>
                <c:pt idx="370">
                  <c:v>44829</c:v>
                </c:pt>
                <c:pt idx="371">
                  <c:v>44830</c:v>
                </c:pt>
                <c:pt idx="372">
                  <c:v>44831</c:v>
                </c:pt>
                <c:pt idx="373">
                  <c:v>44832</c:v>
                </c:pt>
                <c:pt idx="374">
                  <c:v>44833</c:v>
                </c:pt>
                <c:pt idx="375">
                  <c:v>44834</c:v>
                </c:pt>
                <c:pt idx="376">
                  <c:v>44835</c:v>
                </c:pt>
                <c:pt idx="377">
                  <c:v>44836</c:v>
                </c:pt>
                <c:pt idx="378">
                  <c:v>44837</c:v>
                </c:pt>
                <c:pt idx="379">
                  <c:v>44838</c:v>
                </c:pt>
                <c:pt idx="380">
                  <c:v>44839</c:v>
                </c:pt>
                <c:pt idx="381">
                  <c:v>44840</c:v>
                </c:pt>
                <c:pt idx="382">
                  <c:v>44841</c:v>
                </c:pt>
                <c:pt idx="383">
                  <c:v>44842</c:v>
                </c:pt>
                <c:pt idx="384">
                  <c:v>44843</c:v>
                </c:pt>
                <c:pt idx="385">
                  <c:v>44844</c:v>
                </c:pt>
                <c:pt idx="386">
                  <c:v>44845</c:v>
                </c:pt>
                <c:pt idx="387">
                  <c:v>44846</c:v>
                </c:pt>
                <c:pt idx="388">
                  <c:v>44847</c:v>
                </c:pt>
                <c:pt idx="389">
                  <c:v>44848</c:v>
                </c:pt>
                <c:pt idx="390">
                  <c:v>44849</c:v>
                </c:pt>
                <c:pt idx="391">
                  <c:v>44850</c:v>
                </c:pt>
                <c:pt idx="392">
                  <c:v>44851</c:v>
                </c:pt>
                <c:pt idx="393">
                  <c:v>44852</c:v>
                </c:pt>
                <c:pt idx="394">
                  <c:v>44853</c:v>
                </c:pt>
                <c:pt idx="395">
                  <c:v>44854</c:v>
                </c:pt>
                <c:pt idx="396">
                  <c:v>44855</c:v>
                </c:pt>
                <c:pt idx="397">
                  <c:v>44856</c:v>
                </c:pt>
                <c:pt idx="398">
                  <c:v>44857</c:v>
                </c:pt>
                <c:pt idx="399">
                  <c:v>44858</c:v>
                </c:pt>
                <c:pt idx="400">
                  <c:v>44859</c:v>
                </c:pt>
                <c:pt idx="401">
                  <c:v>44860</c:v>
                </c:pt>
                <c:pt idx="402">
                  <c:v>44861</c:v>
                </c:pt>
                <c:pt idx="403">
                  <c:v>44862</c:v>
                </c:pt>
                <c:pt idx="404">
                  <c:v>44863</c:v>
                </c:pt>
                <c:pt idx="405">
                  <c:v>44864</c:v>
                </c:pt>
                <c:pt idx="406">
                  <c:v>44865</c:v>
                </c:pt>
                <c:pt idx="407">
                  <c:v>44866</c:v>
                </c:pt>
                <c:pt idx="408">
                  <c:v>44867</c:v>
                </c:pt>
                <c:pt idx="409">
                  <c:v>44868</c:v>
                </c:pt>
                <c:pt idx="410">
                  <c:v>44869</c:v>
                </c:pt>
                <c:pt idx="411">
                  <c:v>44870</c:v>
                </c:pt>
                <c:pt idx="412">
                  <c:v>44871</c:v>
                </c:pt>
                <c:pt idx="413">
                  <c:v>44872</c:v>
                </c:pt>
                <c:pt idx="414">
                  <c:v>44873</c:v>
                </c:pt>
                <c:pt idx="415">
                  <c:v>44874</c:v>
                </c:pt>
                <c:pt idx="416">
                  <c:v>44875</c:v>
                </c:pt>
                <c:pt idx="417">
                  <c:v>44876</c:v>
                </c:pt>
                <c:pt idx="418">
                  <c:v>44877</c:v>
                </c:pt>
                <c:pt idx="419">
                  <c:v>44878</c:v>
                </c:pt>
                <c:pt idx="420">
                  <c:v>44879</c:v>
                </c:pt>
                <c:pt idx="421">
                  <c:v>44880</c:v>
                </c:pt>
                <c:pt idx="422">
                  <c:v>44881</c:v>
                </c:pt>
                <c:pt idx="423">
                  <c:v>44882</c:v>
                </c:pt>
                <c:pt idx="424">
                  <c:v>44883</c:v>
                </c:pt>
                <c:pt idx="425">
                  <c:v>44884</c:v>
                </c:pt>
                <c:pt idx="426">
                  <c:v>44885</c:v>
                </c:pt>
                <c:pt idx="427">
                  <c:v>44886</c:v>
                </c:pt>
                <c:pt idx="428">
                  <c:v>44887</c:v>
                </c:pt>
                <c:pt idx="429">
                  <c:v>44888</c:v>
                </c:pt>
                <c:pt idx="430">
                  <c:v>44889</c:v>
                </c:pt>
                <c:pt idx="431">
                  <c:v>44890</c:v>
                </c:pt>
                <c:pt idx="432">
                  <c:v>44891</c:v>
                </c:pt>
                <c:pt idx="433">
                  <c:v>44892</c:v>
                </c:pt>
                <c:pt idx="434">
                  <c:v>44893</c:v>
                </c:pt>
                <c:pt idx="435">
                  <c:v>44894</c:v>
                </c:pt>
                <c:pt idx="436">
                  <c:v>44895</c:v>
                </c:pt>
                <c:pt idx="437">
                  <c:v>44896</c:v>
                </c:pt>
                <c:pt idx="438">
                  <c:v>44897</c:v>
                </c:pt>
                <c:pt idx="439">
                  <c:v>44898</c:v>
                </c:pt>
                <c:pt idx="440">
                  <c:v>44899</c:v>
                </c:pt>
                <c:pt idx="441">
                  <c:v>44900</c:v>
                </c:pt>
                <c:pt idx="442">
                  <c:v>44901</c:v>
                </c:pt>
                <c:pt idx="443">
                  <c:v>44902</c:v>
                </c:pt>
                <c:pt idx="444">
                  <c:v>44903</c:v>
                </c:pt>
                <c:pt idx="445">
                  <c:v>44904</c:v>
                </c:pt>
                <c:pt idx="446">
                  <c:v>44905</c:v>
                </c:pt>
                <c:pt idx="447">
                  <c:v>44906</c:v>
                </c:pt>
                <c:pt idx="448">
                  <c:v>44907</c:v>
                </c:pt>
                <c:pt idx="449">
                  <c:v>44908</c:v>
                </c:pt>
                <c:pt idx="450">
                  <c:v>44909</c:v>
                </c:pt>
                <c:pt idx="451">
                  <c:v>44910</c:v>
                </c:pt>
                <c:pt idx="452">
                  <c:v>44911</c:v>
                </c:pt>
                <c:pt idx="453">
                  <c:v>44912</c:v>
                </c:pt>
                <c:pt idx="454">
                  <c:v>44913</c:v>
                </c:pt>
                <c:pt idx="455">
                  <c:v>44914</c:v>
                </c:pt>
                <c:pt idx="456">
                  <c:v>44915</c:v>
                </c:pt>
                <c:pt idx="457">
                  <c:v>44916</c:v>
                </c:pt>
                <c:pt idx="458">
                  <c:v>44917</c:v>
                </c:pt>
                <c:pt idx="459">
                  <c:v>44918</c:v>
                </c:pt>
                <c:pt idx="460">
                  <c:v>44919</c:v>
                </c:pt>
                <c:pt idx="461">
                  <c:v>44920</c:v>
                </c:pt>
                <c:pt idx="462">
                  <c:v>44921</c:v>
                </c:pt>
                <c:pt idx="463">
                  <c:v>44922</c:v>
                </c:pt>
                <c:pt idx="464">
                  <c:v>44923</c:v>
                </c:pt>
                <c:pt idx="465">
                  <c:v>44924</c:v>
                </c:pt>
                <c:pt idx="466">
                  <c:v>44925</c:v>
                </c:pt>
                <c:pt idx="467">
                  <c:v>44926</c:v>
                </c:pt>
                <c:pt idx="468">
                  <c:v>44927</c:v>
                </c:pt>
                <c:pt idx="469">
                  <c:v>44928</c:v>
                </c:pt>
                <c:pt idx="470">
                  <c:v>44929</c:v>
                </c:pt>
                <c:pt idx="471">
                  <c:v>44930</c:v>
                </c:pt>
                <c:pt idx="472">
                  <c:v>44931</c:v>
                </c:pt>
                <c:pt idx="473">
                  <c:v>44932</c:v>
                </c:pt>
                <c:pt idx="474">
                  <c:v>44933</c:v>
                </c:pt>
                <c:pt idx="475">
                  <c:v>44934</c:v>
                </c:pt>
                <c:pt idx="476">
                  <c:v>44935</c:v>
                </c:pt>
                <c:pt idx="477">
                  <c:v>44936</c:v>
                </c:pt>
                <c:pt idx="478">
                  <c:v>44937</c:v>
                </c:pt>
                <c:pt idx="479">
                  <c:v>44938</c:v>
                </c:pt>
                <c:pt idx="480">
                  <c:v>44939</c:v>
                </c:pt>
                <c:pt idx="481">
                  <c:v>44940</c:v>
                </c:pt>
                <c:pt idx="482">
                  <c:v>44941</c:v>
                </c:pt>
                <c:pt idx="483">
                  <c:v>44942</c:v>
                </c:pt>
                <c:pt idx="484">
                  <c:v>44943</c:v>
                </c:pt>
                <c:pt idx="485">
                  <c:v>44944</c:v>
                </c:pt>
                <c:pt idx="486">
                  <c:v>44945</c:v>
                </c:pt>
                <c:pt idx="487">
                  <c:v>44946</c:v>
                </c:pt>
                <c:pt idx="488">
                  <c:v>44947</c:v>
                </c:pt>
                <c:pt idx="489">
                  <c:v>44948</c:v>
                </c:pt>
                <c:pt idx="490">
                  <c:v>44949</c:v>
                </c:pt>
                <c:pt idx="491">
                  <c:v>44950</c:v>
                </c:pt>
                <c:pt idx="492">
                  <c:v>44951</c:v>
                </c:pt>
                <c:pt idx="493">
                  <c:v>44952</c:v>
                </c:pt>
                <c:pt idx="494">
                  <c:v>44953</c:v>
                </c:pt>
                <c:pt idx="495">
                  <c:v>44954</c:v>
                </c:pt>
                <c:pt idx="496">
                  <c:v>44955</c:v>
                </c:pt>
                <c:pt idx="497">
                  <c:v>44956</c:v>
                </c:pt>
                <c:pt idx="498">
                  <c:v>44957</c:v>
                </c:pt>
                <c:pt idx="499">
                  <c:v>44958</c:v>
                </c:pt>
                <c:pt idx="500">
                  <c:v>44959</c:v>
                </c:pt>
                <c:pt idx="501">
                  <c:v>44960</c:v>
                </c:pt>
                <c:pt idx="502">
                  <c:v>44961</c:v>
                </c:pt>
                <c:pt idx="503">
                  <c:v>44962</c:v>
                </c:pt>
                <c:pt idx="504">
                  <c:v>44963</c:v>
                </c:pt>
                <c:pt idx="505">
                  <c:v>44964</c:v>
                </c:pt>
                <c:pt idx="506">
                  <c:v>44965</c:v>
                </c:pt>
                <c:pt idx="507">
                  <c:v>44966</c:v>
                </c:pt>
                <c:pt idx="508">
                  <c:v>44967</c:v>
                </c:pt>
                <c:pt idx="509">
                  <c:v>44968</c:v>
                </c:pt>
                <c:pt idx="510">
                  <c:v>44969</c:v>
                </c:pt>
                <c:pt idx="511">
                  <c:v>44970</c:v>
                </c:pt>
                <c:pt idx="512">
                  <c:v>44971</c:v>
                </c:pt>
                <c:pt idx="513">
                  <c:v>44972</c:v>
                </c:pt>
                <c:pt idx="514">
                  <c:v>44973</c:v>
                </c:pt>
                <c:pt idx="515">
                  <c:v>44974</c:v>
                </c:pt>
                <c:pt idx="516">
                  <c:v>44975</c:v>
                </c:pt>
                <c:pt idx="517">
                  <c:v>44976</c:v>
                </c:pt>
                <c:pt idx="518">
                  <c:v>44977</c:v>
                </c:pt>
                <c:pt idx="519">
                  <c:v>44978</c:v>
                </c:pt>
                <c:pt idx="520">
                  <c:v>44979</c:v>
                </c:pt>
                <c:pt idx="521">
                  <c:v>44980</c:v>
                </c:pt>
                <c:pt idx="522">
                  <c:v>44981</c:v>
                </c:pt>
                <c:pt idx="523">
                  <c:v>44982</c:v>
                </c:pt>
                <c:pt idx="524">
                  <c:v>44983</c:v>
                </c:pt>
                <c:pt idx="525">
                  <c:v>44984</c:v>
                </c:pt>
                <c:pt idx="526">
                  <c:v>44985</c:v>
                </c:pt>
                <c:pt idx="527">
                  <c:v>44986</c:v>
                </c:pt>
                <c:pt idx="528">
                  <c:v>44987</c:v>
                </c:pt>
                <c:pt idx="529">
                  <c:v>44988</c:v>
                </c:pt>
                <c:pt idx="530">
                  <c:v>44989</c:v>
                </c:pt>
                <c:pt idx="531">
                  <c:v>44990</c:v>
                </c:pt>
                <c:pt idx="532">
                  <c:v>44991</c:v>
                </c:pt>
                <c:pt idx="533">
                  <c:v>44992</c:v>
                </c:pt>
                <c:pt idx="534">
                  <c:v>44993</c:v>
                </c:pt>
                <c:pt idx="535">
                  <c:v>44994</c:v>
                </c:pt>
                <c:pt idx="536">
                  <c:v>44995</c:v>
                </c:pt>
                <c:pt idx="537">
                  <c:v>44996</c:v>
                </c:pt>
                <c:pt idx="538">
                  <c:v>44997</c:v>
                </c:pt>
                <c:pt idx="539">
                  <c:v>44998</c:v>
                </c:pt>
                <c:pt idx="540">
                  <c:v>44999</c:v>
                </c:pt>
                <c:pt idx="541">
                  <c:v>45000</c:v>
                </c:pt>
                <c:pt idx="542">
                  <c:v>45001</c:v>
                </c:pt>
                <c:pt idx="543">
                  <c:v>45002</c:v>
                </c:pt>
                <c:pt idx="544">
                  <c:v>45003</c:v>
                </c:pt>
                <c:pt idx="545">
                  <c:v>45004</c:v>
                </c:pt>
                <c:pt idx="546">
                  <c:v>45005</c:v>
                </c:pt>
                <c:pt idx="547">
                  <c:v>45006</c:v>
                </c:pt>
                <c:pt idx="548">
                  <c:v>45007</c:v>
                </c:pt>
                <c:pt idx="549">
                  <c:v>45008</c:v>
                </c:pt>
                <c:pt idx="550">
                  <c:v>45009</c:v>
                </c:pt>
                <c:pt idx="551">
                  <c:v>45010</c:v>
                </c:pt>
                <c:pt idx="552">
                  <c:v>45011</c:v>
                </c:pt>
                <c:pt idx="553">
                  <c:v>45012</c:v>
                </c:pt>
                <c:pt idx="554">
                  <c:v>45013</c:v>
                </c:pt>
                <c:pt idx="555">
                  <c:v>45014</c:v>
                </c:pt>
                <c:pt idx="556">
                  <c:v>45015</c:v>
                </c:pt>
                <c:pt idx="557">
                  <c:v>45016</c:v>
                </c:pt>
                <c:pt idx="558">
                  <c:v>45017</c:v>
                </c:pt>
                <c:pt idx="559">
                  <c:v>45018</c:v>
                </c:pt>
                <c:pt idx="560">
                  <c:v>45019</c:v>
                </c:pt>
                <c:pt idx="561">
                  <c:v>45020</c:v>
                </c:pt>
                <c:pt idx="562">
                  <c:v>45021</c:v>
                </c:pt>
                <c:pt idx="563">
                  <c:v>45022</c:v>
                </c:pt>
                <c:pt idx="564">
                  <c:v>45023</c:v>
                </c:pt>
                <c:pt idx="565">
                  <c:v>45024</c:v>
                </c:pt>
                <c:pt idx="566">
                  <c:v>45025</c:v>
                </c:pt>
                <c:pt idx="567">
                  <c:v>45026</c:v>
                </c:pt>
                <c:pt idx="568">
                  <c:v>45027</c:v>
                </c:pt>
                <c:pt idx="569">
                  <c:v>45028</c:v>
                </c:pt>
                <c:pt idx="570">
                  <c:v>45029</c:v>
                </c:pt>
                <c:pt idx="571">
                  <c:v>45030</c:v>
                </c:pt>
                <c:pt idx="572">
                  <c:v>45031</c:v>
                </c:pt>
                <c:pt idx="573">
                  <c:v>45032</c:v>
                </c:pt>
                <c:pt idx="574">
                  <c:v>45033</c:v>
                </c:pt>
                <c:pt idx="575">
                  <c:v>45034</c:v>
                </c:pt>
                <c:pt idx="576">
                  <c:v>45035</c:v>
                </c:pt>
                <c:pt idx="577">
                  <c:v>45036</c:v>
                </c:pt>
                <c:pt idx="578">
                  <c:v>45037</c:v>
                </c:pt>
                <c:pt idx="579">
                  <c:v>45038</c:v>
                </c:pt>
                <c:pt idx="580">
                  <c:v>45039</c:v>
                </c:pt>
                <c:pt idx="581">
                  <c:v>45040</c:v>
                </c:pt>
                <c:pt idx="582">
                  <c:v>45041</c:v>
                </c:pt>
                <c:pt idx="583">
                  <c:v>45042</c:v>
                </c:pt>
                <c:pt idx="584">
                  <c:v>45043</c:v>
                </c:pt>
                <c:pt idx="585">
                  <c:v>45044</c:v>
                </c:pt>
                <c:pt idx="586">
                  <c:v>45045</c:v>
                </c:pt>
                <c:pt idx="587">
                  <c:v>45046</c:v>
                </c:pt>
                <c:pt idx="588">
                  <c:v>45047</c:v>
                </c:pt>
                <c:pt idx="589">
                  <c:v>45048</c:v>
                </c:pt>
                <c:pt idx="590">
                  <c:v>45049</c:v>
                </c:pt>
                <c:pt idx="591">
                  <c:v>45050</c:v>
                </c:pt>
                <c:pt idx="592">
                  <c:v>45051</c:v>
                </c:pt>
                <c:pt idx="593">
                  <c:v>45052</c:v>
                </c:pt>
                <c:pt idx="594">
                  <c:v>45053</c:v>
                </c:pt>
                <c:pt idx="595">
                  <c:v>45054</c:v>
                </c:pt>
                <c:pt idx="596">
                  <c:v>45055</c:v>
                </c:pt>
                <c:pt idx="597">
                  <c:v>45056</c:v>
                </c:pt>
                <c:pt idx="598">
                  <c:v>45057</c:v>
                </c:pt>
                <c:pt idx="599">
                  <c:v>45058</c:v>
                </c:pt>
                <c:pt idx="600">
                  <c:v>45059</c:v>
                </c:pt>
                <c:pt idx="601">
                  <c:v>45060</c:v>
                </c:pt>
                <c:pt idx="602">
                  <c:v>45061</c:v>
                </c:pt>
                <c:pt idx="603">
                  <c:v>45062</c:v>
                </c:pt>
                <c:pt idx="604">
                  <c:v>45063</c:v>
                </c:pt>
                <c:pt idx="605">
                  <c:v>45064</c:v>
                </c:pt>
                <c:pt idx="606">
                  <c:v>45065</c:v>
                </c:pt>
                <c:pt idx="607">
                  <c:v>45066</c:v>
                </c:pt>
                <c:pt idx="608">
                  <c:v>45067</c:v>
                </c:pt>
                <c:pt idx="609">
                  <c:v>45068</c:v>
                </c:pt>
                <c:pt idx="610">
                  <c:v>45069</c:v>
                </c:pt>
                <c:pt idx="611">
                  <c:v>45070</c:v>
                </c:pt>
                <c:pt idx="612">
                  <c:v>45071</c:v>
                </c:pt>
                <c:pt idx="613">
                  <c:v>45072</c:v>
                </c:pt>
                <c:pt idx="614">
                  <c:v>45073</c:v>
                </c:pt>
                <c:pt idx="615">
                  <c:v>45074</c:v>
                </c:pt>
                <c:pt idx="616">
                  <c:v>45075</c:v>
                </c:pt>
                <c:pt idx="617">
                  <c:v>45076</c:v>
                </c:pt>
                <c:pt idx="618">
                  <c:v>45077</c:v>
                </c:pt>
                <c:pt idx="619">
                  <c:v>45078</c:v>
                </c:pt>
                <c:pt idx="620">
                  <c:v>45079</c:v>
                </c:pt>
                <c:pt idx="621">
                  <c:v>45080</c:v>
                </c:pt>
                <c:pt idx="622">
                  <c:v>45081</c:v>
                </c:pt>
                <c:pt idx="623">
                  <c:v>45082</c:v>
                </c:pt>
                <c:pt idx="624">
                  <c:v>45083</c:v>
                </c:pt>
                <c:pt idx="625">
                  <c:v>45084</c:v>
                </c:pt>
                <c:pt idx="626">
                  <c:v>45085</c:v>
                </c:pt>
                <c:pt idx="627">
                  <c:v>45086</c:v>
                </c:pt>
                <c:pt idx="628">
                  <c:v>45087</c:v>
                </c:pt>
                <c:pt idx="629">
                  <c:v>45088</c:v>
                </c:pt>
                <c:pt idx="630">
                  <c:v>45089</c:v>
                </c:pt>
                <c:pt idx="631">
                  <c:v>45090</c:v>
                </c:pt>
                <c:pt idx="632">
                  <c:v>45091</c:v>
                </c:pt>
                <c:pt idx="633">
                  <c:v>45092</c:v>
                </c:pt>
                <c:pt idx="634">
                  <c:v>45093</c:v>
                </c:pt>
                <c:pt idx="635">
                  <c:v>45094</c:v>
                </c:pt>
                <c:pt idx="636">
                  <c:v>45095</c:v>
                </c:pt>
                <c:pt idx="637">
                  <c:v>45096</c:v>
                </c:pt>
                <c:pt idx="638">
                  <c:v>45097</c:v>
                </c:pt>
                <c:pt idx="639">
                  <c:v>45098</c:v>
                </c:pt>
                <c:pt idx="640">
                  <c:v>45099</c:v>
                </c:pt>
                <c:pt idx="641">
                  <c:v>45100</c:v>
                </c:pt>
                <c:pt idx="642">
                  <c:v>45101</c:v>
                </c:pt>
                <c:pt idx="643">
                  <c:v>45102</c:v>
                </c:pt>
                <c:pt idx="644">
                  <c:v>45103</c:v>
                </c:pt>
                <c:pt idx="645">
                  <c:v>45104</c:v>
                </c:pt>
                <c:pt idx="646">
                  <c:v>45105</c:v>
                </c:pt>
                <c:pt idx="647">
                  <c:v>45106</c:v>
                </c:pt>
                <c:pt idx="648">
                  <c:v>45107</c:v>
                </c:pt>
                <c:pt idx="649">
                  <c:v>45211</c:v>
                </c:pt>
                <c:pt idx="650">
                  <c:v>45212</c:v>
                </c:pt>
                <c:pt idx="651">
                  <c:v>45213</c:v>
                </c:pt>
                <c:pt idx="652">
                  <c:v>45214</c:v>
                </c:pt>
                <c:pt idx="653">
                  <c:v>45215</c:v>
                </c:pt>
                <c:pt idx="654">
                  <c:v>45216</c:v>
                </c:pt>
                <c:pt idx="655">
                  <c:v>45217</c:v>
                </c:pt>
                <c:pt idx="656">
                  <c:v>45218</c:v>
                </c:pt>
                <c:pt idx="657">
                  <c:v>45219</c:v>
                </c:pt>
                <c:pt idx="658">
                  <c:v>45220</c:v>
                </c:pt>
                <c:pt idx="659">
                  <c:v>45221</c:v>
                </c:pt>
                <c:pt idx="660">
                  <c:v>45222</c:v>
                </c:pt>
                <c:pt idx="661">
                  <c:v>45223</c:v>
                </c:pt>
                <c:pt idx="662">
                  <c:v>45224</c:v>
                </c:pt>
                <c:pt idx="663">
                  <c:v>45225</c:v>
                </c:pt>
                <c:pt idx="664">
                  <c:v>45226</c:v>
                </c:pt>
                <c:pt idx="665">
                  <c:v>45227</c:v>
                </c:pt>
                <c:pt idx="666">
                  <c:v>45228</c:v>
                </c:pt>
                <c:pt idx="667">
                  <c:v>45229</c:v>
                </c:pt>
                <c:pt idx="668">
                  <c:v>45230</c:v>
                </c:pt>
                <c:pt idx="669">
                  <c:v>45231</c:v>
                </c:pt>
                <c:pt idx="670">
                  <c:v>45232</c:v>
                </c:pt>
                <c:pt idx="671">
                  <c:v>45233</c:v>
                </c:pt>
                <c:pt idx="672">
                  <c:v>45234</c:v>
                </c:pt>
                <c:pt idx="673">
                  <c:v>45235</c:v>
                </c:pt>
                <c:pt idx="674">
                  <c:v>45236</c:v>
                </c:pt>
                <c:pt idx="675">
                  <c:v>45237</c:v>
                </c:pt>
                <c:pt idx="676">
                  <c:v>45238</c:v>
                </c:pt>
                <c:pt idx="677">
                  <c:v>45239</c:v>
                </c:pt>
                <c:pt idx="678">
                  <c:v>45240</c:v>
                </c:pt>
                <c:pt idx="679">
                  <c:v>45241</c:v>
                </c:pt>
                <c:pt idx="680">
                  <c:v>45242</c:v>
                </c:pt>
                <c:pt idx="681">
                  <c:v>45243</c:v>
                </c:pt>
                <c:pt idx="682">
                  <c:v>45244</c:v>
                </c:pt>
                <c:pt idx="683">
                  <c:v>45245</c:v>
                </c:pt>
                <c:pt idx="684">
                  <c:v>45246</c:v>
                </c:pt>
                <c:pt idx="685">
                  <c:v>45247</c:v>
                </c:pt>
                <c:pt idx="686">
                  <c:v>45248</c:v>
                </c:pt>
                <c:pt idx="687">
                  <c:v>45249</c:v>
                </c:pt>
                <c:pt idx="688">
                  <c:v>45250</c:v>
                </c:pt>
                <c:pt idx="689">
                  <c:v>45251</c:v>
                </c:pt>
                <c:pt idx="690">
                  <c:v>45252</c:v>
                </c:pt>
                <c:pt idx="691">
                  <c:v>45253</c:v>
                </c:pt>
                <c:pt idx="692">
                  <c:v>45254</c:v>
                </c:pt>
                <c:pt idx="693">
                  <c:v>45255</c:v>
                </c:pt>
                <c:pt idx="694">
                  <c:v>45256</c:v>
                </c:pt>
                <c:pt idx="695">
                  <c:v>45257</c:v>
                </c:pt>
                <c:pt idx="696">
                  <c:v>45258</c:v>
                </c:pt>
                <c:pt idx="697">
                  <c:v>45259</c:v>
                </c:pt>
                <c:pt idx="698">
                  <c:v>45260</c:v>
                </c:pt>
                <c:pt idx="699">
                  <c:v>45261</c:v>
                </c:pt>
                <c:pt idx="700">
                  <c:v>45262</c:v>
                </c:pt>
                <c:pt idx="701">
                  <c:v>45263</c:v>
                </c:pt>
                <c:pt idx="702">
                  <c:v>45264</c:v>
                </c:pt>
                <c:pt idx="703">
                  <c:v>45265</c:v>
                </c:pt>
                <c:pt idx="704">
                  <c:v>45266</c:v>
                </c:pt>
                <c:pt idx="705">
                  <c:v>45267</c:v>
                </c:pt>
                <c:pt idx="706">
                  <c:v>45268</c:v>
                </c:pt>
                <c:pt idx="707">
                  <c:v>45269</c:v>
                </c:pt>
                <c:pt idx="708">
                  <c:v>45270</c:v>
                </c:pt>
                <c:pt idx="709">
                  <c:v>45271</c:v>
                </c:pt>
                <c:pt idx="710">
                  <c:v>45272</c:v>
                </c:pt>
                <c:pt idx="711">
                  <c:v>45273</c:v>
                </c:pt>
                <c:pt idx="712">
                  <c:v>45274</c:v>
                </c:pt>
                <c:pt idx="713">
                  <c:v>45275</c:v>
                </c:pt>
                <c:pt idx="714">
                  <c:v>45276</c:v>
                </c:pt>
                <c:pt idx="715">
                  <c:v>45277</c:v>
                </c:pt>
                <c:pt idx="716">
                  <c:v>45278</c:v>
                </c:pt>
                <c:pt idx="717">
                  <c:v>45279</c:v>
                </c:pt>
                <c:pt idx="718">
                  <c:v>45280</c:v>
                </c:pt>
                <c:pt idx="719">
                  <c:v>45281</c:v>
                </c:pt>
                <c:pt idx="720">
                  <c:v>45282</c:v>
                </c:pt>
                <c:pt idx="721">
                  <c:v>45283</c:v>
                </c:pt>
                <c:pt idx="722">
                  <c:v>45284</c:v>
                </c:pt>
                <c:pt idx="723">
                  <c:v>45285</c:v>
                </c:pt>
                <c:pt idx="724">
                  <c:v>45286</c:v>
                </c:pt>
                <c:pt idx="725">
                  <c:v>45287</c:v>
                </c:pt>
                <c:pt idx="726">
                  <c:v>45288</c:v>
                </c:pt>
                <c:pt idx="727">
                  <c:v>45289</c:v>
                </c:pt>
                <c:pt idx="728">
                  <c:v>45290</c:v>
                </c:pt>
                <c:pt idx="729">
                  <c:v>45291</c:v>
                </c:pt>
                <c:pt idx="730">
                  <c:v>45292</c:v>
                </c:pt>
                <c:pt idx="731">
                  <c:v>45293</c:v>
                </c:pt>
                <c:pt idx="732">
                  <c:v>45294</c:v>
                </c:pt>
                <c:pt idx="733">
                  <c:v>45295</c:v>
                </c:pt>
                <c:pt idx="734">
                  <c:v>45296</c:v>
                </c:pt>
                <c:pt idx="735">
                  <c:v>45297</c:v>
                </c:pt>
                <c:pt idx="736">
                  <c:v>45298</c:v>
                </c:pt>
                <c:pt idx="737">
                  <c:v>45299</c:v>
                </c:pt>
                <c:pt idx="738">
                  <c:v>45300</c:v>
                </c:pt>
              </c:numCache>
            </c:numRef>
          </c:cat>
          <c:val>
            <c:numRef>
              <c:f>Sheet1!$B$2:$B$740</c:f>
              <c:numCache>
                <c:formatCode>General</c:formatCode>
                <c:ptCount val="739"/>
                <c:pt idx="0">
                  <c:v>7.8457600000000003</c:v>
                </c:pt>
                <c:pt idx="1">
                  <c:v>7.8457600000000003</c:v>
                </c:pt>
                <c:pt idx="2">
                  <c:v>7.8457600000000003</c:v>
                </c:pt>
                <c:pt idx="3">
                  <c:v>7.8410700000000002</c:v>
                </c:pt>
                <c:pt idx="4">
                  <c:v>7.8454499999999996</c:v>
                </c:pt>
                <c:pt idx="5">
                  <c:v>7.8456400000000004</c:v>
                </c:pt>
                <c:pt idx="6">
                  <c:v>7.8471700000000002</c:v>
                </c:pt>
                <c:pt idx="7">
                  <c:v>7.8471700000000002</c:v>
                </c:pt>
                <c:pt idx="8">
                  <c:v>7.8471700000000002</c:v>
                </c:pt>
                <c:pt idx="9">
                  <c:v>7.8409700000000004</c:v>
                </c:pt>
                <c:pt idx="10">
                  <c:v>7.8416100000000002</c:v>
                </c:pt>
                <c:pt idx="11">
                  <c:v>7.8456999999999999</c:v>
                </c:pt>
                <c:pt idx="12">
                  <c:v>7.84314</c:v>
                </c:pt>
                <c:pt idx="13">
                  <c:v>7.8481199999999998</c:v>
                </c:pt>
                <c:pt idx="14">
                  <c:v>7.8481199999999998</c:v>
                </c:pt>
                <c:pt idx="15">
                  <c:v>7.8481199999999998</c:v>
                </c:pt>
                <c:pt idx="16">
                  <c:v>7.8428100000000001</c:v>
                </c:pt>
                <c:pt idx="17">
                  <c:v>7.8434900000000001</c:v>
                </c:pt>
                <c:pt idx="18">
                  <c:v>7.84612</c:v>
                </c:pt>
                <c:pt idx="19">
                  <c:v>7.8481399999999999</c:v>
                </c:pt>
                <c:pt idx="20">
                  <c:v>7.8491299999999997</c:v>
                </c:pt>
                <c:pt idx="21">
                  <c:v>7.8491299999999997</c:v>
                </c:pt>
                <c:pt idx="22">
                  <c:v>7.8491299999999997</c:v>
                </c:pt>
                <c:pt idx="23">
                  <c:v>7.8491799999999996</c:v>
                </c:pt>
                <c:pt idx="24">
                  <c:v>7.8485699999999996</c:v>
                </c:pt>
                <c:pt idx="25">
                  <c:v>7.8524399999999996</c:v>
                </c:pt>
                <c:pt idx="26">
                  <c:v>7.8639299999999999</c:v>
                </c:pt>
                <c:pt idx="27">
                  <c:v>7.8695500000000003</c:v>
                </c:pt>
                <c:pt idx="28">
                  <c:v>7.8695500000000003</c:v>
                </c:pt>
                <c:pt idx="29">
                  <c:v>7.8695500000000003</c:v>
                </c:pt>
                <c:pt idx="30">
                  <c:v>7.8689299999999998</c:v>
                </c:pt>
                <c:pt idx="31">
                  <c:v>7.8646599999999998</c:v>
                </c:pt>
                <c:pt idx="32">
                  <c:v>7.8698399999999999</c:v>
                </c:pt>
                <c:pt idx="33">
                  <c:v>7.8685299999999998</c:v>
                </c:pt>
                <c:pt idx="34">
                  <c:v>7.8695599999999999</c:v>
                </c:pt>
                <c:pt idx="35">
                  <c:v>7.8695599999999999</c:v>
                </c:pt>
                <c:pt idx="36">
                  <c:v>7.8695599999999999</c:v>
                </c:pt>
                <c:pt idx="37">
                  <c:v>7.8620200000000002</c:v>
                </c:pt>
                <c:pt idx="38">
                  <c:v>7.8609299999999998</c:v>
                </c:pt>
                <c:pt idx="39">
                  <c:v>7.86111</c:v>
                </c:pt>
                <c:pt idx="40">
                  <c:v>7.8617800000000004</c:v>
                </c:pt>
                <c:pt idx="41">
                  <c:v>7.8577000000000004</c:v>
                </c:pt>
                <c:pt idx="42">
                  <c:v>7.8577000000000004</c:v>
                </c:pt>
                <c:pt idx="43">
                  <c:v>7.8577000000000004</c:v>
                </c:pt>
                <c:pt idx="44">
                  <c:v>7.8508399999999998</c:v>
                </c:pt>
                <c:pt idx="45">
                  <c:v>7.8508399999999998</c:v>
                </c:pt>
                <c:pt idx="46">
                  <c:v>7.84999</c:v>
                </c:pt>
                <c:pt idx="47">
                  <c:v>7.8506499999999999</c:v>
                </c:pt>
                <c:pt idx="48">
                  <c:v>7.8508100000000001</c:v>
                </c:pt>
                <c:pt idx="49">
                  <c:v>7.8508100000000001</c:v>
                </c:pt>
                <c:pt idx="50">
                  <c:v>7.8508100000000001</c:v>
                </c:pt>
                <c:pt idx="51">
                  <c:v>7.8484999999999996</c:v>
                </c:pt>
                <c:pt idx="52">
                  <c:v>7.8475999999999999</c:v>
                </c:pt>
                <c:pt idx="53">
                  <c:v>7.8526999999999996</c:v>
                </c:pt>
                <c:pt idx="54">
                  <c:v>7.8609400000000003</c:v>
                </c:pt>
                <c:pt idx="55">
                  <c:v>7.8635200000000003</c:v>
                </c:pt>
                <c:pt idx="56">
                  <c:v>7.8635200000000003</c:v>
                </c:pt>
                <c:pt idx="57">
                  <c:v>7.8635200000000003</c:v>
                </c:pt>
                <c:pt idx="58">
                  <c:v>7.8620900000000002</c:v>
                </c:pt>
                <c:pt idx="59">
                  <c:v>7.86456</c:v>
                </c:pt>
                <c:pt idx="60">
                  <c:v>7.86564</c:v>
                </c:pt>
                <c:pt idx="61">
                  <c:v>7.8715400000000004</c:v>
                </c:pt>
                <c:pt idx="62">
                  <c:v>7.8713800000000003</c:v>
                </c:pt>
                <c:pt idx="63">
                  <c:v>7.8713800000000003</c:v>
                </c:pt>
                <c:pt idx="64">
                  <c:v>7.8713800000000003</c:v>
                </c:pt>
                <c:pt idx="65">
                  <c:v>7.8625499999999997</c:v>
                </c:pt>
                <c:pt idx="66">
                  <c:v>7.87296</c:v>
                </c:pt>
                <c:pt idx="67">
                  <c:v>7.8652199999999999</c:v>
                </c:pt>
                <c:pt idx="68">
                  <c:v>7.86869</c:v>
                </c:pt>
                <c:pt idx="69">
                  <c:v>7.87425</c:v>
                </c:pt>
                <c:pt idx="70">
                  <c:v>7.87425</c:v>
                </c:pt>
                <c:pt idx="71">
                  <c:v>7.87425</c:v>
                </c:pt>
                <c:pt idx="72">
                  <c:v>7.8679800000000002</c:v>
                </c:pt>
                <c:pt idx="73">
                  <c:v>7.8692500000000001</c:v>
                </c:pt>
                <c:pt idx="74">
                  <c:v>7.8731600000000004</c:v>
                </c:pt>
                <c:pt idx="75">
                  <c:v>7.8711700000000002</c:v>
                </c:pt>
                <c:pt idx="76">
                  <c:v>7.8711700000000002</c:v>
                </c:pt>
                <c:pt idx="77">
                  <c:v>7.8711700000000002</c:v>
                </c:pt>
                <c:pt idx="78">
                  <c:v>7.8711700000000002</c:v>
                </c:pt>
                <c:pt idx="79">
                  <c:v>7.8673999999999999</c:v>
                </c:pt>
                <c:pt idx="80">
                  <c:v>7.8654999999999999</c:v>
                </c:pt>
                <c:pt idx="81">
                  <c:v>7.8659800000000004</c:v>
                </c:pt>
                <c:pt idx="82">
                  <c:v>7.8664100000000001</c:v>
                </c:pt>
                <c:pt idx="83">
                  <c:v>7.8662299999999998</c:v>
                </c:pt>
                <c:pt idx="84">
                  <c:v>7.8662299999999998</c:v>
                </c:pt>
                <c:pt idx="85">
                  <c:v>7.8662299999999998</c:v>
                </c:pt>
                <c:pt idx="86">
                  <c:v>7.86259</c:v>
                </c:pt>
                <c:pt idx="87">
                  <c:v>7.8598400000000002</c:v>
                </c:pt>
                <c:pt idx="88">
                  <c:v>7.8602100000000004</c:v>
                </c:pt>
                <c:pt idx="89">
                  <c:v>7.8590600000000004</c:v>
                </c:pt>
                <c:pt idx="90">
                  <c:v>7.8583299999999996</c:v>
                </c:pt>
                <c:pt idx="91">
                  <c:v>7.8583299999999996</c:v>
                </c:pt>
                <c:pt idx="92">
                  <c:v>7.8583299999999996</c:v>
                </c:pt>
                <c:pt idx="93">
                  <c:v>7.8516399999999997</c:v>
                </c:pt>
                <c:pt idx="94">
                  <c:v>7.8498400000000004</c:v>
                </c:pt>
                <c:pt idx="95">
                  <c:v>7.8507199999999999</c:v>
                </c:pt>
                <c:pt idx="96">
                  <c:v>7.8452200000000003</c:v>
                </c:pt>
                <c:pt idx="97">
                  <c:v>7.84518</c:v>
                </c:pt>
                <c:pt idx="98">
                  <c:v>7.84518</c:v>
                </c:pt>
                <c:pt idx="99">
                  <c:v>7.84518</c:v>
                </c:pt>
                <c:pt idx="100">
                  <c:v>7.8431699999999998</c:v>
                </c:pt>
                <c:pt idx="101">
                  <c:v>7.85032</c:v>
                </c:pt>
                <c:pt idx="102">
                  <c:v>7.8410700000000002</c:v>
                </c:pt>
                <c:pt idx="103">
                  <c:v>7.7191200000000002</c:v>
                </c:pt>
                <c:pt idx="104">
                  <c:v>7.7191200000000002</c:v>
                </c:pt>
                <c:pt idx="105">
                  <c:v>7.7191200000000002</c:v>
                </c:pt>
                <c:pt idx="106">
                  <c:v>7.7174500000000004</c:v>
                </c:pt>
                <c:pt idx="107">
                  <c:v>7.7155800000000001</c:v>
                </c:pt>
                <c:pt idx="108">
                  <c:v>7.7182300000000001</c:v>
                </c:pt>
                <c:pt idx="109">
                  <c:v>7.7134299999999998</c:v>
                </c:pt>
                <c:pt idx="110">
                  <c:v>7.7134299999999998</c:v>
                </c:pt>
                <c:pt idx="111">
                  <c:v>7.7134299999999998</c:v>
                </c:pt>
                <c:pt idx="112">
                  <c:v>7.7110099999999999</c:v>
                </c:pt>
                <c:pt idx="113">
                  <c:v>7.7083199999999996</c:v>
                </c:pt>
                <c:pt idx="114">
                  <c:v>7.7089800000000004</c:v>
                </c:pt>
                <c:pt idx="115">
                  <c:v>7.7061999999999999</c:v>
                </c:pt>
                <c:pt idx="116">
                  <c:v>7.70777</c:v>
                </c:pt>
                <c:pt idx="117">
                  <c:v>7.70777</c:v>
                </c:pt>
                <c:pt idx="118">
                  <c:v>7.70777</c:v>
                </c:pt>
                <c:pt idx="119">
                  <c:v>7.7004599999999996</c:v>
                </c:pt>
                <c:pt idx="120">
                  <c:v>7.7045300000000001</c:v>
                </c:pt>
                <c:pt idx="121">
                  <c:v>7.6995800000000001</c:v>
                </c:pt>
                <c:pt idx="122">
                  <c:v>7.6953699999999996</c:v>
                </c:pt>
                <c:pt idx="123">
                  <c:v>7.6919500000000003</c:v>
                </c:pt>
                <c:pt idx="124">
                  <c:v>7.6919500000000003</c:v>
                </c:pt>
                <c:pt idx="125">
                  <c:v>7.6919500000000003</c:v>
                </c:pt>
                <c:pt idx="126">
                  <c:v>7.6885500000000002</c:v>
                </c:pt>
                <c:pt idx="127">
                  <c:v>7.68581</c:v>
                </c:pt>
                <c:pt idx="128">
                  <c:v>7.6854100000000001</c:v>
                </c:pt>
                <c:pt idx="129">
                  <c:v>7.68649</c:v>
                </c:pt>
                <c:pt idx="130">
                  <c:v>7.6899499999999996</c:v>
                </c:pt>
                <c:pt idx="131">
                  <c:v>7.6899499999999996</c:v>
                </c:pt>
                <c:pt idx="132">
                  <c:v>7.6899499999999996</c:v>
                </c:pt>
                <c:pt idx="133">
                  <c:v>7.6898099999999996</c:v>
                </c:pt>
                <c:pt idx="134">
                  <c:v>7.6855500000000001</c:v>
                </c:pt>
                <c:pt idx="135">
                  <c:v>7.6922100000000002</c:v>
                </c:pt>
                <c:pt idx="136">
                  <c:v>7.6918899999999999</c:v>
                </c:pt>
                <c:pt idx="137">
                  <c:v>7.6949500000000004</c:v>
                </c:pt>
                <c:pt idx="138">
                  <c:v>7.6949500000000004</c:v>
                </c:pt>
                <c:pt idx="139">
                  <c:v>7.6949500000000004</c:v>
                </c:pt>
                <c:pt idx="140">
                  <c:v>7.6912200000000004</c:v>
                </c:pt>
                <c:pt idx="141">
                  <c:v>7.6886000000000001</c:v>
                </c:pt>
                <c:pt idx="142">
                  <c:v>7.6922899999999998</c:v>
                </c:pt>
                <c:pt idx="143">
                  <c:v>7.6953100000000001</c:v>
                </c:pt>
                <c:pt idx="144">
                  <c:v>7.6922600000000001</c:v>
                </c:pt>
                <c:pt idx="145">
                  <c:v>7.6922600000000001</c:v>
                </c:pt>
                <c:pt idx="146">
                  <c:v>7.6922600000000001</c:v>
                </c:pt>
                <c:pt idx="147">
                  <c:v>7.6925499999999998</c:v>
                </c:pt>
                <c:pt idx="148">
                  <c:v>7.6884100000000002</c:v>
                </c:pt>
                <c:pt idx="149">
                  <c:v>7.6956199999999999</c:v>
                </c:pt>
                <c:pt idx="150">
                  <c:v>7.6934899999999997</c:v>
                </c:pt>
                <c:pt idx="151">
                  <c:v>7.7003899999999996</c:v>
                </c:pt>
                <c:pt idx="152">
                  <c:v>7.7003899999999996</c:v>
                </c:pt>
                <c:pt idx="153">
                  <c:v>7.7003899999999996</c:v>
                </c:pt>
                <c:pt idx="154">
                  <c:v>7.6984899999999996</c:v>
                </c:pt>
                <c:pt idx="155">
                  <c:v>7.7078800000000003</c:v>
                </c:pt>
                <c:pt idx="156">
                  <c:v>7.7046799999999998</c:v>
                </c:pt>
                <c:pt idx="157">
                  <c:v>7.7128500000000004</c:v>
                </c:pt>
                <c:pt idx="158">
                  <c:v>7.7168999999999999</c:v>
                </c:pt>
                <c:pt idx="159">
                  <c:v>7.7168999999999999</c:v>
                </c:pt>
                <c:pt idx="160">
                  <c:v>7.7168999999999999</c:v>
                </c:pt>
                <c:pt idx="161">
                  <c:v>7.7132199999999997</c:v>
                </c:pt>
                <c:pt idx="162">
                  <c:v>7.7043999999999997</c:v>
                </c:pt>
                <c:pt idx="163">
                  <c:v>7.7054299999999998</c:v>
                </c:pt>
                <c:pt idx="164">
                  <c:v>7.7119900000000001</c:v>
                </c:pt>
                <c:pt idx="165">
                  <c:v>7.7100200000000001</c:v>
                </c:pt>
                <c:pt idx="166">
                  <c:v>7.7100200000000001</c:v>
                </c:pt>
                <c:pt idx="167">
                  <c:v>7.7100200000000001</c:v>
                </c:pt>
                <c:pt idx="168">
                  <c:v>7.7043100000000004</c:v>
                </c:pt>
                <c:pt idx="169">
                  <c:v>7.6993200000000002</c:v>
                </c:pt>
                <c:pt idx="170">
                  <c:v>7.7011000000000003</c:v>
                </c:pt>
                <c:pt idx="171">
                  <c:v>7.7016400000000003</c:v>
                </c:pt>
                <c:pt idx="172">
                  <c:v>7.7010500000000004</c:v>
                </c:pt>
                <c:pt idx="173">
                  <c:v>7.7010500000000004</c:v>
                </c:pt>
                <c:pt idx="174">
                  <c:v>7.7010500000000004</c:v>
                </c:pt>
                <c:pt idx="175">
                  <c:v>7.6979300000000004</c:v>
                </c:pt>
                <c:pt idx="176">
                  <c:v>7.6914600000000002</c:v>
                </c:pt>
                <c:pt idx="177">
                  <c:v>7.6951000000000001</c:v>
                </c:pt>
                <c:pt idx="178">
                  <c:v>7.6938000000000004</c:v>
                </c:pt>
                <c:pt idx="179">
                  <c:v>7.6915899999999997</c:v>
                </c:pt>
                <c:pt idx="180">
                  <c:v>7.6915899999999997</c:v>
                </c:pt>
                <c:pt idx="181">
                  <c:v>7.6915899999999997</c:v>
                </c:pt>
                <c:pt idx="182">
                  <c:v>7.6883699999999999</c:v>
                </c:pt>
                <c:pt idx="183">
                  <c:v>7.6846399999999999</c:v>
                </c:pt>
                <c:pt idx="184">
                  <c:v>7.68438</c:v>
                </c:pt>
                <c:pt idx="185">
                  <c:v>7.6826999999999996</c:v>
                </c:pt>
                <c:pt idx="186">
                  <c:v>7.6816899999999997</c:v>
                </c:pt>
                <c:pt idx="187">
                  <c:v>7.6816899999999997</c:v>
                </c:pt>
                <c:pt idx="188">
                  <c:v>7.6816899999999997</c:v>
                </c:pt>
                <c:pt idx="189">
                  <c:v>7.67889</c:v>
                </c:pt>
                <c:pt idx="190">
                  <c:v>7.6783000000000001</c:v>
                </c:pt>
                <c:pt idx="191">
                  <c:v>7.6805199999999996</c:v>
                </c:pt>
                <c:pt idx="192">
                  <c:v>7.68025</c:v>
                </c:pt>
                <c:pt idx="193">
                  <c:v>7.6794700000000002</c:v>
                </c:pt>
                <c:pt idx="194">
                  <c:v>7.6794700000000002</c:v>
                </c:pt>
                <c:pt idx="195">
                  <c:v>7.6794700000000002</c:v>
                </c:pt>
                <c:pt idx="196">
                  <c:v>7.6749900000000002</c:v>
                </c:pt>
                <c:pt idx="197">
                  <c:v>7.6729799999999999</c:v>
                </c:pt>
                <c:pt idx="198">
                  <c:v>7.6749999999999998</c:v>
                </c:pt>
                <c:pt idx="199">
                  <c:v>7.6699299999999999</c:v>
                </c:pt>
                <c:pt idx="200">
                  <c:v>7.6687399999999997</c:v>
                </c:pt>
                <c:pt idx="201">
                  <c:v>7.6687399999999997</c:v>
                </c:pt>
                <c:pt idx="202">
                  <c:v>7.6687399999999997</c:v>
                </c:pt>
                <c:pt idx="203">
                  <c:v>7.6651199999999999</c:v>
                </c:pt>
                <c:pt idx="204">
                  <c:v>7.6635600000000004</c:v>
                </c:pt>
                <c:pt idx="205">
                  <c:v>7.6590100000000003</c:v>
                </c:pt>
                <c:pt idx="206">
                  <c:v>7.6590100000000003</c:v>
                </c:pt>
                <c:pt idx="207">
                  <c:v>7.6590100000000003</c:v>
                </c:pt>
                <c:pt idx="208">
                  <c:v>7.6590100000000003</c:v>
                </c:pt>
                <c:pt idx="209">
                  <c:v>7.6590100000000003</c:v>
                </c:pt>
                <c:pt idx="210">
                  <c:v>7.6584899999999996</c:v>
                </c:pt>
                <c:pt idx="211">
                  <c:v>7.6559900000000001</c:v>
                </c:pt>
                <c:pt idx="212">
                  <c:v>7.6557599999999999</c:v>
                </c:pt>
                <c:pt idx="213">
                  <c:v>7.6544600000000003</c:v>
                </c:pt>
                <c:pt idx="214">
                  <c:v>7.6530899999999997</c:v>
                </c:pt>
                <c:pt idx="215">
                  <c:v>7.6530899999999997</c:v>
                </c:pt>
                <c:pt idx="216">
                  <c:v>7.6530899999999997</c:v>
                </c:pt>
                <c:pt idx="217">
                  <c:v>7.6509</c:v>
                </c:pt>
                <c:pt idx="218">
                  <c:v>7.65144</c:v>
                </c:pt>
                <c:pt idx="219">
                  <c:v>7.6535299999999999</c:v>
                </c:pt>
                <c:pt idx="220">
                  <c:v>7.6577500000000001</c:v>
                </c:pt>
                <c:pt idx="221">
                  <c:v>7.6651699999999998</c:v>
                </c:pt>
                <c:pt idx="222">
                  <c:v>7.6651699999999998</c:v>
                </c:pt>
                <c:pt idx="223">
                  <c:v>7.6651699999999998</c:v>
                </c:pt>
                <c:pt idx="224">
                  <c:v>7.6651699999999998</c:v>
                </c:pt>
                <c:pt idx="225">
                  <c:v>7.6614000000000004</c:v>
                </c:pt>
                <c:pt idx="226">
                  <c:v>7.6658200000000001</c:v>
                </c:pt>
                <c:pt idx="227">
                  <c:v>7.67075</c:v>
                </c:pt>
                <c:pt idx="228">
                  <c:v>7.6679500000000003</c:v>
                </c:pt>
                <c:pt idx="229">
                  <c:v>7.6679500000000003</c:v>
                </c:pt>
                <c:pt idx="230">
                  <c:v>7.6679500000000003</c:v>
                </c:pt>
                <c:pt idx="231">
                  <c:v>7.6670600000000002</c:v>
                </c:pt>
                <c:pt idx="232">
                  <c:v>7.6632600000000002</c:v>
                </c:pt>
                <c:pt idx="233">
                  <c:v>7.6676399999999996</c:v>
                </c:pt>
                <c:pt idx="234">
                  <c:v>7.6694500000000003</c:v>
                </c:pt>
                <c:pt idx="235">
                  <c:v>7.6691500000000001</c:v>
                </c:pt>
                <c:pt idx="236">
                  <c:v>7.6691500000000001</c:v>
                </c:pt>
                <c:pt idx="237">
                  <c:v>7.6691500000000001</c:v>
                </c:pt>
                <c:pt idx="238">
                  <c:v>7.6647499999999997</c:v>
                </c:pt>
                <c:pt idx="239">
                  <c:v>7.6661200000000003</c:v>
                </c:pt>
                <c:pt idx="240">
                  <c:v>7.6664199999999996</c:v>
                </c:pt>
                <c:pt idx="241">
                  <c:v>7.6670299999999996</c:v>
                </c:pt>
                <c:pt idx="242">
                  <c:v>7.6669200000000002</c:v>
                </c:pt>
                <c:pt idx="243">
                  <c:v>7.6669200000000002</c:v>
                </c:pt>
                <c:pt idx="244">
                  <c:v>7.6669200000000002</c:v>
                </c:pt>
                <c:pt idx="245">
                  <c:v>7.6690300000000002</c:v>
                </c:pt>
                <c:pt idx="246">
                  <c:v>7.6677400000000002</c:v>
                </c:pt>
                <c:pt idx="247">
                  <c:v>7.67577</c:v>
                </c:pt>
                <c:pt idx="248">
                  <c:v>7.6731800000000003</c:v>
                </c:pt>
                <c:pt idx="249">
                  <c:v>7.6818999999999997</c:v>
                </c:pt>
                <c:pt idx="250">
                  <c:v>7.6818999999999997</c:v>
                </c:pt>
                <c:pt idx="251">
                  <c:v>7.6818999999999997</c:v>
                </c:pt>
                <c:pt idx="252">
                  <c:v>7.6776499999999999</c:v>
                </c:pt>
                <c:pt idx="253">
                  <c:v>7.6843399999999997</c:v>
                </c:pt>
                <c:pt idx="254">
                  <c:v>7.6955200000000001</c:v>
                </c:pt>
                <c:pt idx="255">
                  <c:v>7.7075800000000001</c:v>
                </c:pt>
                <c:pt idx="256">
                  <c:v>7.7124199999999998</c:v>
                </c:pt>
                <c:pt idx="257">
                  <c:v>7.7124199999999998</c:v>
                </c:pt>
                <c:pt idx="258">
                  <c:v>7.7124199999999998</c:v>
                </c:pt>
                <c:pt idx="259">
                  <c:v>7.7046599999999996</c:v>
                </c:pt>
                <c:pt idx="260">
                  <c:v>7.7070299999999996</c:v>
                </c:pt>
                <c:pt idx="261">
                  <c:v>7.7207400000000002</c:v>
                </c:pt>
                <c:pt idx="262">
                  <c:v>7.7260900000000001</c:v>
                </c:pt>
                <c:pt idx="263">
                  <c:v>7.7320599999999997</c:v>
                </c:pt>
                <c:pt idx="264">
                  <c:v>7.7320599999999997</c:v>
                </c:pt>
                <c:pt idx="265">
                  <c:v>7.7320599999999997</c:v>
                </c:pt>
                <c:pt idx="266">
                  <c:v>7.7310400000000001</c:v>
                </c:pt>
                <c:pt idx="267">
                  <c:v>7.7328099999999997</c:v>
                </c:pt>
                <c:pt idx="268">
                  <c:v>7.7388599999999999</c:v>
                </c:pt>
                <c:pt idx="269">
                  <c:v>7.7388899999999996</c:v>
                </c:pt>
                <c:pt idx="270">
                  <c:v>7.7404599999999997</c:v>
                </c:pt>
                <c:pt idx="271">
                  <c:v>7.7404599999999997</c:v>
                </c:pt>
                <c:pt idx="272">
                  <c:v>7.7404599999999997</c:v>
                </c:pt>
                <c:pt idx="273">
                  <c:v>7.7410199999999998</c:v>
                </c:pt>
                <c:pt idx="274">
                  <c:v>7.7496900000000002</c:v>
                </c:pt>
                <c:pt idx="275">
                  <c:v>7.7474499999999997</c:v>
                </c:pt>
                <c:pt idx="276">
                  <c:v>7.7510399999999997</c:v>
                </c:pt>
                <c:pt idx="277">
                  <c:v>7.7588999999999997</c:v>
                </c:pt>
                <c:pt idx="278">
                  <c:v>7.7588999999999997</c:v>
                </c:pt>
                <c:pt idx="279">
                  <c:v>7.7588999999999997</c:v>
                </c:pt>
                <c:pt idx="280">
                  <c:v>7.7540399999999998</c:v>
                </c:pt>
                <c:pt idx="281">
                  <c:v>7.7598000000000003</c:v>
                </c:pt>
                <c:pt idx="282">
                  <c:v>7.7581899999999999</c:v>
                </c:pt>
                <c:pt idx="283">
                  <c:v>7.7560799999999999</c:v>
                </c:pt>
                <c:pt idx="284">
                  <c:v>7.7560799999999999</c:v>
                </c:pt>
                <c:pt idx="285">
                  <c:v>7.7560799999999999</c:v>
                </c:pt>
                <c:pt idx="286">
                  <c:v>7.7560799999999999</c:v>
                </c:pt>
                <c:pt idx="287">
                  <c:v>7.7560799999999999</c:v>
                </c:pt>
                <c:pt idx="288">
                  <c:v>7.7528100000000002</c:v>
                </c:pt>
                <c:pt idx="289">
                  <c:v>7.74979</c:v>
                </c:pt>
                <c:pt idx="290">
                  <c:v>7.7465900000000003</c:v>
                </c:pt>
                <c:pt idx="291">
                  <c:v>7.7471199999999998</c:v>
                </c:pt>
                <c:pt idx="292">
                  <c:v>7.7471199999999998</c:v>
                </c:pt>
                <c:pt idx="293">
                  <c:v>7.7471199999999998</c:v>
                </c:pt>
                <c:pt idx="294">
                  <c:v>7.7436999999999996</c:v>
                </c:pt>
                <c:pt idx="295">
                  <c:v>7.7402800000000003</c:v>
                </c:pt>
                <c:pt idx="296">
                  <c:v>7.7385900000000003</c:v>
                </c:pt>
                <c:pt idx="297">
                  <c:v>7.7352600000000002</c:v>
                </c:pt>
                <c:pt idx="298">
                  <c:v>7.7355600000000004</c:v>
                </c:pt>
                <c:pt idx="299">
                  <c:v>7.7355600000000004</c:v>
                </c:pt>
                <c:pt idx="300">
                  <c:v>7.7355600000000004</c:v>
                </c:pt>
                <c:pt idx="301">
                  <c:v>7.7315899999999997</c:v>
                </c:pt>
                <c:pt idx="302">
                  <c:v>7.7279299999999997</c:v>
                </c:pt>
                <c:pt idx="303">
                  <c:v>7.7317400000000003</c:v>
                </c:pt>
                <c:pt idx="304">
                  <c:v>7.7292399999999999</c:v>
                </c:pt>
                <c:pt idx="305">
                  <c:v>7.7305200000000003</c:v>
                </c:pt>
                <c:pt idx="306">
                  <c:v>7.7305200000000003</c:v>
                </c:pt>
                <c:pt idx="307">
                  <c:v>7.7305200000000003</c:v>
                </c:pt>
                <c:pt idx="308">
                  <c:v>7.7278000000000002</c:v>
                </c:pt>
                <c:pt idx="309">
                  <c:v>7.7283299999999997</c:v>
                </c:pt>
                <c:pt idx="310">
                  <c:v>7.7317099999999996</c:v>
                </c:pt>
                <c:pt idx="311">
                  <c:v>7.7348499999999998</c:v>
                </c:pt>
                <c:pt idx="312">
                  <c:v>7.7365399999999998</c:v>
                </c:pt>
                <c:pt idx="313">
                  <c:v>7.7365399999999998</c:v>
                </c:pt>
                <c:pt idx="314">
                  <c:v>7.7365399999999998</c:v>
                </c:pt>
                <c:pt idx="315">
                  <c:v>7.7294600000000004</c:v>
                </c:pt>
                <c:pt idx="316">
                  <c:v>7.7284800000000002</c:v>
                </c:pt>
                <c:pt idx="317">
                  <c:v>7.73292</c:v>
                </c:pt>
                <c:pt idx="318">
                  <c:v>7.7332999999999998</c:v>
                </c:pt>
                <c:pt idx="319">
                  <c:v>7.7333699999999999</c:v>
                </c:pt>
                <c:pt idx="320">
                  <c:v>7.7333699999999999</c:v>
                </c:pt>
                <c:pt idx="321">
                  <c:v>7.7333699999999999</c:v>
                </c:pt>
                <c:pt idx="322">
                  <c:v>7.7298900000000001</c:v>
                </c:pt>
                <c:pt idx="323">
                  <c:v>7.7257999999999996</c:v>
                </c:pt>
                <c:pt idx="324">
                  <c:v>7.7324799999999998</c:v>
                </c:pt>
                <c:pt idx="325">
                  <c:v>7.7313200000000002</c:v>
                </c:pt>
                <c:pt idx="326">
                  <c:v>7.734</c:v>
                </c:pt>
                <c:pt idx="327">
                  <c:v>7.734</c:v>
                </c:pt>
                <c:pt idx="328">
                  <c:v>7.734</c:v>
                </c:pt>
                <c:pt idx="329">
                  <c:v>7.734</c:v>
                </c:pt>
                <c:pt idx="330">
                  <c:v>7.7264900000000001</c:v>
                </c:pt>
                <c:pt idx="331">
                  <c:v>7.72851</c:v>
                </c:pt>
                <c:pt idx="332">
                  <c:v>7.73095</c:v>
                </c:pt>
                <c:pt idx="333">
                  <c:v>7.7278000000000002</c:v>
                </c:pt>
                <c:pt idx="334">
                  <c:v>7.7278000000000002</c:v>
                </c:pt>
                <c:pt idx="335">
                  <c:v>7.7278000000000002</c:v>
                </c:pt>
                <c:pt idx="336">
                  <c:v>7.7271599999999996</c:v>
                </c:pt>
                <c:pt idx="337">
                  <c:v>7.7281500000000003</c:v>
                </c:pt>
                <c:pt idx="338">
                  <c:v>7.7305299999999999</c:v>
                </c:pt>
                <c:pt idx="339">
                  <c:v>7.7337999999999996</c:v>
                </c:pt>
                <c:pt idx="340">
                  <c:v>7.7336799999999997</c:v>
                </c:pt>
                <c:pt idx="341">
                  <c:v>7.7336799999999997</c:v>
                </c:pt>
                <c:pt idx="342">
                  <c:v>7.7336799999999997</c:v>
                </c:pt>
                <c:pt idx="343">
                  <c:v>7.7314699999999998</c:v>
                </c:pt>
                <c:pt idx="344">
                  <c:v>7.7309900000000003</c:v>
                </c:pt>
                <c:pt idx="345">
                  <c:v>7.7381900000000003</c:v>
                </c:pt>
                <c:pt idx="346">
                  <c:v>7.7408000000000001</c:v>
                </c:pt>
                <c:pt idx="347">
                  <c:v>7.74268</c:v>
                </c:pt>
                <c:pt idx="348">
                  <c:v>7.74268</c:v>
                </c:pt>
                <c:pt idx="349">
                  <c:v>7.74268</c:v>
                </c:pt>
                <c:pt idx="350">
                  <c:v>7.7410800000000002</c:v>
                </c:pt>
                <c:pt idx="351">
                  <c:v>7.7575500000000002</c:v>
                </c:pt>
                <c:pt idx="352">
                  <c:v>7.7584200000000001</c:v>
                </c:pt>
                <c:pt idx="353">
                  <c:v>7.7789299999999999</c:v>
                </c:pt>
                <c:pt idx="354">
                  <c:v>7.7968799999999998</c:v>
                </c:pt>
                <c:pt idx="355">
                  <c:v>7.7968799999999998</c:v>
                </c:pt>
                <c:pt idx="356">
                  <c:v>7.7968799999999998</c:v>
                </c:pt>
                <c:pt idx="357">
                  <c:v>7.7877400000000003</c:v>
                </c:pt>
                <c:pt idx="358">
                  <c:v>7.7889799999999996</c:v>
                </c:pt>
                <c:pt idx="359">
                  <c:v>7.7958499999999997</c:v>
                </c:pt>
                <c:pt idx="360">
                  <c:v>7.7958499999999997</c:v>
                </c:pt>
                <c:pt idx="361">
                  <c:v>7.7962600000000002</c:v>
                </c:pt>
                <c:pt idx="362">
                  <c:v>7.7962600000000002</c:v>
                </c:pt>
                <c:pt idx="363">
                  <c:v>7.7962600000000002</c:v>
                </c:pt>
                <c:pt idx="364">
                  <c:v>7.7998599999999998</c:v>
                </c:pt>
                <c:pt idx="365">
                  <c:v>7.80091</c:v>
                </c:pt>
                <c:pt idx="366">
                  <c:v>7.8138399999999999</c:v>
                </c:pt>
                <c:pt idx="367">
                  <c:v>7.8297499999999998</c:v>
                </c:pt>
                <c:pt idx="368">
                  <c:v>7.8419999999999996</c:v>
                </c:pt>
                <c:pt idx="369">
                  <c:v>7.8419999999999996</c:v>
                </c:pt>
                <c:pt idx="370">
                  <c:v>7.8419999999999996</c:v>
                </c:pt>
                <c:pt idx="371">
                  <c:v>7.8421799999999999</c:v>
                </c:pt>
                <c:pt idx="372">
                  <c:v>7.8457800000000004</c:v>
                </c:pt>
                <c:pt idx="373">
                  <c:v>7.85501</c:v>
                </c:pt>
                <c:pt idx="374">
                  <c:v>7.8628400000000003</c:v>
                </c:pt>
                <c:pt idx="375">
                  <c:v>7.88368</c:v>
                </c:pt>
                <c:pt idx="376">
                  <c:v>7.88368</c:v>
                </c:pt>
                <c:pt idx="377">
                  <c:v>7.88368</c:v>
                </c:pt>
                <c:pt idx="378">
                  <c:v>7.8985599999999998</c:v>
                </c:pt>
                <c:pt idx="379">
                  <c:v>7.9096299999999999</c:v>
                </c:pt>
                <c:pt idx="380">
                  <c:v>7.9123299999999999</c:v>
                </c:pt>
                <c:pt idx="381">
                  <c:v>7.9025999999999996</c:v>
                </c:pt>
                <c:pt idx="382">
                  <c:v>7.8933400000000002</c:v>
                </c:pt>
                <c:pt idx="383">
                  <c:v>7.8933400000000002</c:v>
                </c:pt>
                <c:pt idx="384">
                  <c:v>7.8933400000000002</c:v>
                </c:pt>
                <c:pt idx="385">
                  <c:v>7.87662</c:v>
                </c:pt>
                <c:pt idx="386">
                  <c:v>7.8757000000000001</c:v>
                </c:pt>
                <c:pt idx="387">
                  <c:v>7.8757000000000001</c:v>
                </c:pt>
                <c:pt idx="388">
                  <c:v>7.86625</c:v>
                </c:pt>
                <c:pt idx="389">
                  <c:v>7.86252</c:v>
                </c:pt>
                <c:pt idx="390">
                  <c:v>7.86252</c:v>
                </c:pt>
                <c:pt idx="391">
                  <c:v>7.86252</c:v>
                </c:pt>
                <c:pt idx="392">
                  <c:v>7.8576800000000002</c:v>
                </c:pt>
                <c:pt idx="393">
                  <c:v>7.8527500000000003</c:v>
                </c:pt>
                <c:pt idx="394">
                  <c:v>7.8515699999999997</c:v>
                </c:pt>
                <c:pt idx="395">
                  <c:v>7.8515699999999997</c:v>
                </c:pt>
                <c:pt idx="396">
                  <c:v>7.8483099999999997</c:v>
                </c:pt>
                <c:pt idx="397">
                  <c:v>7.8483099999999997</c:v>
                </c:pt>
                <c:pt idx="398">
                  <c:v>7.8483099999999997</c:v>
                </c:pt>
                <c:pt idx="399">
                  <c:v>7.8424800000000001</c:v>
                </c:pt>
                <c:pt idx="400">
                  <c:v>7.84511</c:v>
                </c:pt>
                <c:pt idx="401">
                  <c:v>7.8439899999999998</c:v>
                </c:pt>
                <c:pt idx="402">
                  <c:v>7.8365499999999999</c:v>
                </c:pt>
                <c:pt idx="403">
                  <c:v>7.83772</c:v>
                </c:pt>
                <c:pt idx="404">
                  <c:v>7.83772</c:v>
                </c:pt>
                <c:pt idx="405">
                  <c:v>7.83772</c:v>
                </c:pt>
                <c:pt idx="406">
                  <c:v>7.82857</c:v>
                </c:pt>
                <c:pt idx="407">
                  <c:v>7.82857</c:v>
                </c:pt>
                <c:pt idx="408">
                  <c:v>7.8249700000000004</c:v>
                </c:pt>
                <c:pt idx="409">
                  <c:v>7.8278400000000001</c:v>
                </c:pt>
                <c:pt idx="410">
                  <c:v>7.8219599999999998</c:v>
                </c:pt>
                <c:pt idx="411">
                  <c:v>7.8219599999999998</c:v>
                </c:pt>
                <c:pt idx="412">
                  <c:v>7.8219599999999998</c:v>
                </c:pt>
                <c:pt idx="413">
                  <c:v>7.8189799999999998</c:v>
                </c:pt>
                <c:pt idx="414">
                  <c:v>7.8131399999999998</c:v>
                </c:pt>
                <c:pt idx="415">
                  <c:v>7.8125900000000001</c:v>
                </c:pt>
                <c:pt idx="416">
                  <c:v>7.8116000000000003</c:v>
                </c:pt>
                <c:pt idx="417">
                  <c:v>7.8069199999999999</c:v>
                </c:pt>
                <c:pt idx="418">
                  <c:v>7.8069199999999999</c:v>
                </c:pt>
                <c:pt idx="419">
                  <c:v>7.8069199999999999</c:v>
                </c:pt>
                <c:pt idx="420">
                  <c:v>7.8053600000000003</c:v>
                </c:pt>
                <c:pt idx="421">
                  <c:v>7.7982300000000002</c:v>
                </c:pt>
                <c:pt idx="422">
                  <c:v>7.7983900000000004</c:v>
                </c:pt>
                <c:pt idx="423">
                  <c:v>7.7993600000000001</c:v>
                </c:pt>
                <c:pt idx="424">
                  <c:v>7.7977299999999996</c:v>
                </c:pt>
                <c:pt idx="425">
                  <c:v>7.7977299999999996</c:v>
                </c:pt>
                <c:pt idx="426">
                  <c:v>7.7977299999999996</c:v>
                </c:pt>
                <c:pt idx="427">
                  <c:v>7.7937200000000004</c:v>
                </c:pt>
                <c:pt idx="428">
                  <c:v>7.80497</c:v>
                </c:pt>
                <c:pt idx="429">
                  <c:v>7.8146800000000001</c:v>
                </c:pt>
                <c:pt idx="430">
                  <c:v>7.8182999999999998</c:v>
                </c:pt>
                <c:pt idx="431">
                  <c:v>7.8261900000000004</c:v>
                </c:pt>
                <c:pt idx="432">
                  <c:v>7.8261900000000004</c:v>
                </c:pt>
                <c:pt idx="433">
                  <c:v>7.8261900000000004</c:v>
                </c:pt>
                <c:pt idx="434">
                  <c:v>7.8199800000000002</c:v>
                </c:pt>
                <c:pt idx="435">
                  <c:v>7.8276599999999998</c:v>
                </c:pt>
                <c:pt idx="436">
                  <c:v>7.8413399999999998</c:v>
                </c:pt>
                <c:pt idx="437">
                  <c:v>7.8414299999999999</c:v>
                </c:pt>
                <c:pt idx="438">
                  <c:v>7.8587499999999997</c:v>
                </c:pt>
                <c:pt idx="439">
                  <c:v>7.8587499999999997</c:v>
                </c:pt>
                <c:pt idx="440">
                  <c:v>7.8587499999999997</c:v>
                </c:pt>
                <c:pt idx="441">
                  <c:v>7.8753399999999996</c:v>
                </c:pt>
                <c:pt idx="442">
                  <c:v>7.9091199999999997</c:v>
                </c:pt>
                <c:pt idx="443">
                  <c:v>7.9302400000000004</c:v>
                </c:pt>
                <c:pt idx="444">
                  <c:v>7.9090100000000003</c:v>
                </c:pt>
                <c:pt idx="445">
                  <c:v>7.8963400000000004</c:v>
                </c:pt>
                <c:pt idx="446">
                  <c:v>7.8963400000000004</c:v>
                </c:pt>
                <c:pt idx="447">
                  <c:v>7.8963400000000004</c:v>
                </c:pt>
                <c:pt idx="448">
                  <c:v>7.8817399999999997</c:v>
                </c:pt>
                <c:pt idx="449">
                  <c:v>7.8740199999999998</c:v>
                </c:pt>
                <c:pt idx="450">
                  <c:v>7.8770199999999999</c:v>
                </c:pt>
                <c:pt idx="451">
                  <c:v>7.8662700000000001</c:v>
                </c:pt>
                <c:pt idx="452">
                  <c:v>7.8691199999999997</c:v>
                </c:pt>
                <c:pt idx="453">
                  <c:v>7.8691199999999997</c:v>
                </c:pt>
                <c:pt idx="454">
                  <c:v>7.8691199999999997</c:v>
                </c:pt>
                <c:pt idx="455">
                  <c:v>7.8583600000000002</c:v>
                </c:pt>
                <c:pt idx="456">
                  <c:v>7.8559900000000003</c:v>
                </c:pt>
                <c:pt idx="457">
                  <c:v>7.85419</c:v>
                </c:pt>
                <c:pt idx="458">
                  <c:v>7.85527</c:v>
                </c:pt>
                <c:pt idx="459">
                  <c:v>7.8491400000000002</c:v>
                </c:pt>
                <c:pt idx="460">
                  <c:v>7.8491400000000002</c:v>
                </c:pt>
                <c:pt idx="461">
                  <c:v>7.8491400000000002</c:v>
                </c:pt>
                <c:pt idx="462">
                  <c:v>7.8491400000000002</c:v>
                </c:pt>
                <c:pt idx="463">
                  <c:v>7.8473899999999999</c:v>
                </c:pt>
                <c:pt idx="464">
                  <c:v>7.8502799999999997</c:v>
                </c:pt>
                <c:pt idx="465">
                  <c:v>7.85222</c:v>
                </c:pt>
                <c:pt idx="466">
                  <c:v>7.85222</c:v>
                </c:pt>
                <c:pt idx="467">
                  <c:v>7.85222</c:v>
                </c:pt>
                <c:pt idx="468">
                  <c:v>7.85222</c:v>
                </c:pt>
                <c:pt idx="469">
                  <c:v>7.85222</c:v>
                </c:pt>
                <c:pt idx="470">
                  <c:v>7.8477300000000003</c:v>
                </c:pt>
                <c:pt idx="471">
                  <c:v>7.8490599999999997</c:v>
                </c:pt>
                <c:pt idx="472">
                  <c:v>7.8522100000000004</c:v>
                </c:pt>
                <c:pt idx="473">
                  <c:v>7.84856</c:v>
                </c:pt>
                <c:pt idx="474">
                  <c:v>7.84856</c:v>
                </c:pt>
                <c:pt idx="475">
                  <c:v>7.84856</c:v>
                </c:pt>
                <c:pt idx="476">
                  <c:v>7.8462800000000001</c:v>
                </c:pt>
                <c:pt idx="477">
                  <c:v>7.8439500000000004</c:v>
                </c:pt>
                <c:pt idx="478">
                  <c:v>7.8487999999999998</c:v>
                </c:pt>
                <c:pt idx="479">
                  <c:v>7.85</c:v>
                </c:pt>
                <c:pt idx="480">
                  <c:v>7.8494200000000003</c:v>
                </c:pt>
                <c:pt idx="481">
                  <c:v>7.8494200000000003</c:v>
                </c:pt>
                <c:pt idx="482">
                  <c:v>7.8494200000000003</c:v>
                </c:pt>
                <c:pt idx="483">
                  <c:v>7.8431899999999999</c:v>
                </c:pt>
                <c:pt idx="484">
                  <c:v>7.84762</c:v>
                </c:pt>
                <c:pt idx="485">
                  <c:v>7.8483400000000003</c:v>
                </c:pt>
                <c:pt idx="486">
                  <c:v>7.8500699999999997</c:v>
                </c:pt>
                <c:pt idx="487">
                  <c:v>7.8507800000000003</c:v>
                </c:pt>
                <c:pt idx="488">
                  <c:v>7.8507800000000003</c:v>
                </c:pt>
                <c:pt idx="489">
                  <c:v>7.8507800000000003</c:v>
                </c:pt>
                <c:pt idx="490">
                  <c:v>7.8429500000000001</c:v>
                </c:pt>
                <c:pt idx="491">
                  <c:v>7.8437900000000003</c:v>
                </c:pt>
                <c:pt idx="492">
                  <c:v>7.8488300000000004</c:v>
                </c:pt>
                <c:pt idx="493">
                  <c:v>7.8506900000000002</c:v>
                </c:pt>
                <c:pt idx="494">
                  <c:v>7.8521200000000002</c:v>
                </c:pt>
                <c:pt idx="495">
                  <c:v>7.8521200000000002</c:v>
                </c:pt>
                <c:pt idx="496">
                  <c:v>7.8521200000000002</c:v>
                </c:pt>
                <c:pt idx="497">
                  <c:v>7.8488600000000002</c:v>
                </c:pt>
                <c:pt idx="498">
                  <c:v>7.8485500000000004</c:v>
                </c:pt>
                <c:pt idx="499">
                  <c:v>7.8495699999999999</c:v>
                </c:pt>
                <c:pt idx="500">
                  <c:v>7.8466699999999996</c:v>
                </c:pt>
                <c:pt idx="501">
                  <c:v>7.8471399999999996</c:v>
                </c:pt>
                <c:pt idx="502">
                  <c:v>7.8471399999999996</c:v>
                </c:pt>
                <c:pt idx="503">
                  <c:v>7.8471399999999996</c:v>
                </c:pt>
                <c:pt idx="504">
                  <c:v>7.8430600000000004</c:v>
                </c:pt>
                <c:pt idx="505">
                  <c:v>7.8429799999999998</c:v>
                </c:pt>
                <c:pt idx="506">
                  <c:v>7.8428199999999997</c:v>
                </c:pt>
                <c:pt idx="507">
                  <c:v>7.8420800000000002</c:v>
                </c:pt>
                <c:pt idx="508">
                  <c:v>7.8379200000000004</c:v>
                </c:pt>
                <c:pt idx="509">
                  <c:v>7.8379200000000004</c:v>
                </c:pt>
                <c:pt idx="510">
                  <c:v>7.8379200000000004</c:v>
                </c:pt>
                <c:pt idx="511">
                  <c:v>7.8356700000000004</c:v>
                </c:pt>
                <c:pt idx="512">
                  <c:v>7.83256</c:v>
                </c:pt>
                <c:pt idx="513">
                  <c:v>7.8312999999999997</c:v>
                </c:pt>
                <c:pt idx="514">
                  <c:v>7.82864</c:v>
                </c:pt>
                <c:pt idx="515">
                  <c:v>7.8263800000000003</c:v>
                </c:pt>
                <c:pt idx="516">
                  <c:v>7.8263800000000003</c:v>
                </c:pt>
                <c:pt idx="517">
                  <c:v>7.8263800000000003</c:v>
                </c:pt>
                <c:pt idx="518">
                  <c:v>7.8182099999999997</c:v>
                </c:pt>
                <c:pt idx="519">
                  <c:v>7.8212900000000003</c:v>
                </c:pt>
                <c:pt idx="520">
                  <c:v>7.8159599999999996</c:v>
                </c:pt>
                <c:pt idx="521">
                  <c:v>7.8169599999999999</c:v>
                </c:pt>
                <c:pt idx="522">
                  <c:v>7.8178999999999998</c:v>
                </c:pt>
                <c:pt idx="523">
                  <c:v>7.8178999999999998</c:v>
                </c:pt>
                <c:pt idx="524">
                  <c:v>7.8178999999999998</c:v>
                </c:pt>
                <c:pt idx="525">
                  <c:v>7.8154899999999996</c:v>
                </c:pt>
                <c:pt idx="526">
                  <c:v>7.8149300000000004</c:v>
                </c:pt>
                <c:pt idx="527">
                  <c:v>7.8152499999999998</c:v>
                </c:pt>
                <c:pt idx="528">
                  <c:v>7.8185900000000004</c:v>
                </c:pt>
                <c:pt idx="529">
                  <c:v>7.8135899999999996</c:v>
                </c:pt>
                <c:pt idx="530">
                  <c:v>7.8135899999999996</c:v>
                </c:pt>
                <c:pt idx="531">
                  <c:v>7.8135899999999996</c:v>
                </c:pt>
                <c:pt idx="532">
                  <c:v>7.8119899999999998</c:v>
                </c:pt>
                <c:pt idx="533">
                  <c:v>7.8039699999999996</c:v>
                </c:pt>
                <c:pt idx="534">
                  <c:v>7.8097300000000001</c:v>
                </c:pt>
                <c:pt idx="535">
                  <c:v>7.8075400000000004</c:v>
                </c:pt>
                <c:pt idx="536">
                  <c:v>7.80715</c:v>
                </c:pt>
                <c:pt idx="537">
                  <c:v>7.80715</c:v>
                </c:pt>
                <c:pt idx="538">
                  <c:v>7.80715</c:v>
                </c:pt>
                <c:pt idx="539">
                  <c:v>7.7994700000000003</c:v>
                </c:pt>
                <c:pt idx="540">
                  <c:v>7.7973100000000004</c:v>
                </c:pt>
                <c:pt idx="541">
                  <c:v>7.7983399999999996</c:v>
                </c:pt>
                <c:pt idx="542">
                  <c:v>7.8041200000000002</c:v>
                </c:pt>
                <c:pt idx="543">
                  <c:v>7.8024300000000002</c:v>
                </c:pt>
                <c:pt idx="544">
                  <c:v>7.8024300000000002</c:v>
                </c:pt>
                <c:pt idx="545">
                  <c:v>7.8024300000000002</c:v>
                </c:pt>
                <c:pt idx="546">
                  <c:v>7.7963100000000001</c:v>
                </c:pt>
                <c:pt idx="547">
                  <c:v>7.79352</c:v>
                </c:pt>
                <c:pt idx="548">
                  <c:v>7.8025599999999997</c:v>
                </c:pt>
                <c:pt idx="549">
                  <c:v>7.8038699999999999</c:v>
                </c:pt>
                <c:pt idx="550">
                  <c:v>7.80518</c:v>
                </c:pt>
                <c:pt idx="551">
                  <c:v>7.80518</c:v>
                </c:pt>
                <c:pt idx="552">
                  <c:v>7.80518</c:v>
                </c:pt>
                <c:pt idx="553">
                  <c:v>7.7986899999999997</c:v>
                </c:pt>
                <c:pt idx="554">
                  <c:v>7.7991200000000003</c:v>
                </c:pt>
                <c:pt idx="555">
                  <c:v>7.8031699999999997</c:v>
                </c:pt>
                <c:pt idx="556">
                  <c:v>7.8023400000000001</c:v>
                </c:pt>
                <c:pt idx="557">
                  <c:v>7.80335</c:v>
                </c:pt>
                <c:pt idx="558">
                  <c:v>7.80335</c:v>
                </c:pt>
                <c:pt idx="559">
                  <c:v>7.80335</c:v>
                </c:pt>
                <c:pt idx="560">
                  <c:v>7.7969099999999996</c:v>
                </c:pt>
                <c:pt idx="561">
                  <c:v>7.7943100000000003</c:v>
                </c:pt>
                <c:pt idx="562">
                  <c:v>7.7932899999999998</c:v>
                </c:pt>
                <c:pt idx="563">
                  <c:v>7.7932899999999998</c:v>
                </c:pt>
                <c:pt idx="564">
                  <c:v>7.7932899999999998</c:v>
                </c:pt>
                <c:pt idx="565">
                  <c:v>7.7932899999999998</c:v>
                </c:pt>
                <c:pt idx="566">
                  <c:v>7.7932899999999998</c:v>
                </c:pt>
                <c:pt idx="567">
                  <c:v>7.7992100000000004</c:v>
                </c:pt>
                <c:pt idx="568">
                  <c:v>7.7950100000000004</c:v>
                </c:pt>
                <c:pt idx="569">
                  <c:v>7.7986599999999999</c:v>
                </c:pt>
                <c:pt idx="570">
                  <c:v>7.7962499999999997</c:v>
                </c:pt>
                <c:pt idx="571">
                  <c:v>7.8026099999999996</c:v>
                </c:pt>
                <c:pt idx="572">
                  <c:v>7.8026099999999996</c:v>
                </c:pt>
                <c:pt idx="573">
                  <c:v>7.8026099999999996</c:v>
                </c:pt>
                <c:pt idx="574">
                  <c:v>7.8006000000000002</c:v>
                </c:pt>
                <c:pt idx="575">
                  <c:v>7.7967000000000004</c:v>
                </c:pt>
                <c:pt idx="576">
                  <c:v>7.7989800000000002</c:v>
                </c:pt>
                <c:pt idx="577">
                  <c:v>7.7992499999999998</c:v>
                </c:pt>
                <c:pt idx="578">
                  <c:v>7.7996400000000001</c:v>
                </c:pt>
                <c:pt idx="579">
                  <c:v>7.7996400000000001</c:v>
                </c:pt>
                <c:pt idx="580">
                  <c:v>7.7996400000000001</c:v>
                </c:pt>
                <c:pt idx="581">
                  <c:v>7.7970199999999998</c:v>
                </c:pt>
                <c:pt idx="582">
                  <c:v>7.7957200000000002</c:v>
                </c:pt>
                <c:pt idx="583">
                  <c:v>7.8019800000000004</c:v>
                </c:pt>
                <c:pt idx="584">
                  <c:v>7.8042400000000001</c:v>
                </c:pt>
                <c:pt idx="585">
                  <c:v>7.8082599999999998</c:v>
                </c:pt>
                <c:pt idx="586">
                  <c:v>7.8082599999999998</c:v>
                </c:pt>
                <c:pt idx="587">
                  <c:v>7.8082599999999998</c:v>
                </c:pt>
                <c:pt idx="588">
                  <c:v>7.8082599999999998</c:v>
                </c:pt>
                <c:pt idx="589">
                  <c:v>7.8005500000000003</c:v>
                </c:pt>
                <c:pt idx="590">
                  <c:v>7.8067299999999999</c:v>
                </c:pt>
                <c:pt idx="591">
                  <c:v>7.80938</c:v>
                </c:pt>
                <c:pt idx="592">
                  <c:v>7.8073899999999998</c:v>
                </c:pt>
                <c:pt idx="593">
                  <c:v>7.8073899999999998</c:v>
                </c:pt>
                <c:pt idx="594">
                  <c:v>7.8073899999999998</c:v>
                </c:pt>
                <c:pt idx="595">
                  <c:v>7.8028000000000004</c:v>
                </c:pt>
                <c:pt idx="596">
                  <c:v>7.8056799999999997</c:v>
                </c:pt>
                <c:pt idx="597">
                  <c:v>7.8060099999999997</c:v>
                </c:pt>
                <c:pt idx="598">
                  <c:v>7.8037900000000002</c:v>
                </c:pt>
                <c:pt idx="599">
                  <c:v>7.8064900000000002</c:v>
                </c:pt>
                <c:pt idx="600">
                  <c:v>7.8064900000000002</c:v>
                </c:pt>
                <c:pt idx="601">
                  <c:v>7.8064900000000002</c:v>
                </c:pt>
                <c:pt idx="602">
                  <c:v>7.8022299999999998</c:v>
                </c:pt>
                <c:pt idx="603">
                  <c:v>7.8032300000000001</c:v>
                </c:pt>
                <c:pt idx="604">
                  <c:v>7.8015600000000003</c:v>
                </c:pt>
                <c:pt idx="605">
                  <c:v>7.8049499999999998</c:v>
                </c:pt>
                <c:pt idx="606">
                  <c:v>7.8039899999999998</c:v>
                </c:pt>
                <c:pt idx="607">
                  <c:v>7.8039899999999998</c:v>
                </c:pt>
                <c:pt idx="608">
                  <c:v>7.8039899999999998</c:v>
                </c:pt>
                <c:pt idx="609">
                  <c:v>7.8045299999999997</c:v>
                </c:pt>
                <c:pt idx="610">
                  <c:v>7.8035399999999999</c:v>
                </c:pt>
                <c:pt idx="611">
                  <c:v>7.8097399999999997</c:v>
                </c:pt>
                <c:pt idx="612">
                  <c:v>7.8168499999999996</c:v>
                </c:pt>
                <c:pt idx="613">
                  <c:v>7.8214499999999996</c:v>
                </c:pt>
                <c:pt idx="614">
                  <c:v>7.8214499999999996</c:v>
                </c:pt>
                <c:pt idx="615">
                  <c:v>7.8214499999999996</c:v>
                </c:pt>
                <c:pt idx="616">
                  <c:v>7.82029</c:v>
                </c:pt>
                <c:pt idx="617">
                  <c:v>7.8288599999999997</c:v>
                </c:pt>
                <c:pt idx="618">
                  <c:v>7.8301400000000001</c:v>
                </c:pt>
                <c:pt idx="619">
                  <c:v>7.8365999999999998</c:v>
                </c:pt>
                <c:pt idx="620">
                  <c:v>7.8380900000000002</c:v>
                </c:pt>
                <c:pt idx="621">
                  <c:v>7.8380900000000002</c:v>
                </c:pt>
                <c:pt idx="622">
                  <c:v>7.8380900000000002</c:v>
                </c:pt>
                <c:pt idx="623">
                  <c:v>7.8295899999999996</c:v>
                </c:pt>
                <c:pt idx="624">
                  <c:v>7.8291899999999996</c:v>
                </c:pt>
                <c:pt idx="625">
                  <c:v>7.8374300000000003</c:v>
                </c:pt>
                <c:pt idx="626">
                  <c:v>7.8375500000000002</c:v>
                </c:pt>
                <c:pt idx="627">
                  <c:v>7.8385199999999999</c:v>
                </c:pt>
                <c:pt idx="628">
                  <c:v>7.8385199999999999</c:v>
                </c:pt>
                <c:pt idx="629">
                  <c:v>7.8385199999999999</c:v>
                </c:pt>
                <c:pt idx="630">
                  <c:v>7.83317</c:v>
                </c:pt>
                <c:pt idx="631">
                  <c:v>7.8332100000000002</c:v>
                </c:pt>
                <c:pt idx="632">
                  <c:v>7.8337899999999996</c:v>
                </c:pt>
                <c:pt idx="633">
                  <c:v>7.8390899999999997</c:v>
                </c:pt>
                <c:pt idx="634">
                  <c:v>7.8392400000000002</c:v>
                </c:pt>
                <c:pt idx="635">
                  <c:v>7.8392400000000002</c:v>
                </c:pt>
                <c:pt idx="636">
                  <c:v>7.8392400000000002</c:v>
                </c:pt>
                <c:pt idx="637">
                  <c:v>7.8337300000000001</c:v>
                </c:pt>
                <c:pt idx="638">
                  <c:v>7.8421500000000002</c:v>
                </c:pt>
                <c:pt idx="639">
                  <c:v>7.8376999999999999</c:v>
                </c:pt>
                <c:pt idx="640">
                  <c:v>7.8396299999999997</c:v>
                </c:pt>
                <c:pt idx="641">
                  <c:v>7.8430799999999996</c:v>
                </c:pt>
                <c:pt idx="642">
                  <c:v>7.8430799999999996</c:v>
                </c:pt>
                <c:pt idx="643">
                  <c:v>7.8430799999999996</c:v>
                </c:pt>
                <c:pt idx="644">
                  <c:v>7.8344500000000004</c:v>
                </c:pt>
                <c:pt idx="645">
                  <c:v>7.8406900000000004</c:v>
                </c:pt>
                <c:pt idx="646">
                  <c:v>7.8432599999999999</c:v>
                </c:pt>
                <c:pt idx="647">
                  <c:v>7.8457600000000003</c:v>
                </c:pt>
                <c:pt idx="648">
                  <c:v>7.8457600000000003</c:v>
                </c:pt>
                <c:pt idx="649">
                  <c:v>7.8410700000000002</c:v>
                </c:pt>
                <c:pt idx="650">
                  <c:v>7.84314</c:v>
                </c:pt>
                <c:pt idx="651">
                  <c:v>7.84314</c:v>
                </c:pt>
                <c:pt idx="652">
                  <c:v>7.84314</c:v>
                </c:pt>
                <c:pt idx="653">
                  <c:v>7.8389499999999996</c:v>
                </c:pt>
                <c:pt idx="654">
                  <c:v>7.8411600000000004</c:v>
                </c:pt>
                <c:pt idx="655">
                  <c:v>7.8407499999999999</c:v>
                </c:pt>
                <c:pt idx="656">
                  <c:v>7.8398399999999997</c:v>
                </c:pt>
                <c:pt idx="657">
                  <c:v>7.8398399999999997</c:v>
                </c:pt>
                <c:pt idx="658">
                  <c:v>7.8398399999999997</c:v>
                </c:pt>
                <c:pt idx="659">
                  <c:v>7.8398399999999997</c:v>
                </c:pt>
                <c:pt idx="660">
                  <c:v>7.8365299999999998</c:v>
                </c:pt>
                <c:pt idx="661">
                  <c:v>7.8338599999999996</c:v>
                </c:pt>
                <c:pt idx="662">
                  <c:v>7.8380700000000001</c:v>
                </c:pt>
                <c:pt idx="663">
                  <c:v>7.84253</c:v>
                </c:pt>
                <c:pt idx="664">
                  <c:v>7.84232</c:v>
                </c:pt>
                <c:pt idx="665">
                  <c:v>7.84232</c:v>
                </c:pt>
                <c:pt idx="666">
                  <c:v>7.84232</c:v>
                </c:pt>
                <c:pt idx="667">
                  <c:v>7.8371399999999998</c:v>
                </c:pt>
                <c:pt idx="668">
                  <c:v>7.8325199999999997</c:v>
                </c:pt>
                <c:pt idx="669">
                  <c:v>7.8325199999999997</c:v>
                </c:pt>
                <c:pt idx="670">
                  <c:v>7.8322000000000003</c:v>
                </c:pt>
                <c:pt idx="671">
                  <c:v>7.83155</c:v>
                </c:pt>
                <c:pt idx="672">
                  <c:v>7.83155</c:v>
                </c:pt>
                <c:pt idx="673">
                  <c:v>7.83155</c:v>
                </c:pt>
                <c:pt idx="674">
                  <c:v>7.8274100000000004</c:v>
                </c:pt>
                <c:pt idx="675">
                  <c:v>7.8262900000000002</c:v>
                </c:pt>
                <c:pt idx="676">
                  <c:v>7.82423</c:v>
                </c:pt>
                <c:pt idx="677">
                  <c:v>7.8269500000000001</c:v>
                </c:pt>
                <c:pt idx="678">
                  <c:v>7.8255800000000004</c:v>
                </c:pt>
                <c:pt idx="679">
                  <c:v>7.8255800000000004</c:v>
                </c:pt>
                <c:pt idx="680">
                  <c:v>7.8255800000000004</c:v>
                </c:pt>
                <c:pt idx="681">
                  <c:v>7.8247299999999997</c:v>
                </c:pt>
                <c:pt idx="682">
                  <c:v>7.82179</c:v>
                </c:pt>
                <c:pt idx="683">
                  <c:v>7.8275100000000002</c:v>
                </c:pt>
                <c:pt idx="684">
                  <c:v>7.82592</c:v>
                </c:pt>
                <c:pt idx="685">
                  <c:v>7.8287100000000001</c:v>
                </c:pt>
                <c:pt idx="686">
                  <c:v>7.8287100000000001</c:v>
                </c:pt>
                <c:pt idx="687">
                  <c:v>7.8287100000000001</c:v>
                </c:pt>
                <c:pt idx="688">
                  <c:v>7.8231099999999998</c:v>
                </c:pt>
                <c:pt idx="689">
                  <c:v>7.82524</c:v>
                </c:pt>
                <c:pt idx="690">
                  <c:v>7.8262700000000001</c:v>
                </c:pt>
                <c:pt idx="691">
                  <c:v>7.8273799999999998</c:v>
                </c:pt>
                <c:pt idx="692">
                  <c:v>7.8285900000000002</c:v>
                </c:pt>
                <c:pt idx="693">
                  <c:v>7.8285900000000002</c:v>
                </c:pt>
                <c:pt idx="694">
                  <c:v>7.8285900000000002</c:v>
                </c:pt>
                <c:pt idx="695">
                  <c:v>7.8256800000000002</c:v>
                </c:pt>
                <c:pt idx="696">
                  <c:v>7.8237100000000002</c:v>
                </c:pt>
                <c:pt idx="697">
                  <c:v>7.8287800000000001</c:v>
                </c:pt>
                <c:pt idx="698">
                  <c:v>7.82836</c:v>
                </c:pt>
                <c:pt idx="699">
                  <c:v>7.8270200000000001</c:v>
                </c:pt>
                <c:pt idx="700">
                  <c:v>7.8270200000000001</c:v>
                </c:pt>
                <c:pt idx="701">
                  <c:v>7.8270200000000001</c:v>
                </c:pt>
                <c:pt idx="702">
                  <c:v>7.8230000000000004</c:v>
                </c:pt>
                <c:pt idx="703">
                  <c:v>7.8243</c:v>
                </c:pt>
                <c:pt idx="704">
                  <c:v>7.8226199999999997</c:v>
                </c:pt>
                <c:pt idx="705">
                  <c:v>7.8263600000000002</c:v>
                </c:pt>
                <c:pt idx="706">
                  <c:v>7.8239299999999998</c:v>
                </c:pt>
                <c:pt idx="707">
                  <c:v>7.8239299999999998</c:v>
                </c:pt>
                <c:pt idx="708">
                  <c:v>7.8239299999999998</c:v>
                </c:pt>
                <c:pt idx="709">
                  <c:v>7.8212799999999998</c:v>
                </c:pt>
                <c:pt idx="710">
                  <c:v>7.8228799999999996</c:v>
                </c:pt>
                <c:pt idx="711">
                  <c:v>7.8202199999999999</c:v>
                </c:pt>
                <c:pt idx="712">
                  <c:v>7.82158</c:v>
                </c:pt>
                <c:pt idx="713">
                  <c:v>7.8239900000000002</c:v>
                </c:pt>
                <c:pt idx="714">
                  <c:v>7.8239900000000002</c:v>
                </c:pt>
                <c:pt idx="715">
                  <c:v>7.8239900000000002</c:v>
                </c:pt>
                <c:pt idx="716">
                  <c:v>7.8205299999999998</c:v>
                </c:pt>
                <c:pt idx="717">
                  <c:v>7.8198699999999999</c:v>
                </c:pt>
                <c:pt idx="718">
                  <c:v>7.8199899999999998</c:v>
                </c:pt>
                <c:pt idx="719">
                  <c:v>7.8224799999999997</c:v>
                </c:pt>
                <c:pt idx="720">
                  <c:v>7.8243400000000003</c:v>
                </c:pt>
                <c:pt idx="721">
                  <c:v>7.8243400000000003</c:v>
                </c:pt>
                <c:pt idx="722">
                  <c:v>7.8243400000000003</c:v>
                </c:pt>
                <c:pt idx="723">
                  <c:v>7.8243400000000003</c:v>
                </c:pt>
                <c:pt idx="724">
                  <c:v>7.8301400000000001</c:v>
                </c:pt>
                <c:pt idx="725">
                  <c:v>7.8235000000000001</c:v>
                </c:pt>
                <c:pt idx="726">
                  <c:v>7.8270200000000001</c:v>
                </c:pt>
                <c:pt idx="727">
                  <c:v>7.8270200000000001</c:v>
                </c:pt>
                <c:pt idx="728">
                  <c:v>7.8270200000000001</c:v>
                </c:pt>
                <c:pt idx="729">
                  <c:v>7.8270200000000001</c:v>
                </c:pt>
                <c:pt idx="730">
                  <c:v>7.8270200000000001</c:v>
                </c:pt>
                <c:pt idx="731">
                  <c:v>7.8248100000000003</c:v>
                </c:pt>
                <c:pt idx="732">
                  <c:v>7.8244499999999997</c:v>
                </c:pt>
                <c:pt idx="733">
                  <c:v>7.82409</c:v>
                </c:pt>
                <c:pt idx="734">
                  <c:v>7.8232200000000001</c:v>
                </c:pt>
                <c:pt idx="735">
                  <c:v>7.8232200000000001</c:v>
                </c:pt>
                <c:pt idx="736">
                  <c:v>7.8232200000000001</c:v>
                </c:pt>
                <c:pt idx="737">
                  <c:v>7.8194100000000004</c:v>
                </c:pt>
                <c:pt idx="738">
                  <c:v>7.8168600000000001</c:v>
                </c:pt>
              </c:numCache>
            </c:numRef>
          </c:val>
          <c:smooth val="1"/>
          <c:extLst>
            <c:ext xmlns:c16="http://schemas.microsoft.com/office/drawing/2014/chart" uri="{C3380CC4-5D6E-409C-BE32-E72D297353CC}">
              <c16:uniqueId val="{00000007-E965-4F5F-AA1D-ACD155F59BEB}"/>
            </c:ext>
          </c:extLst>
        </c:ser>
        <c:dLbls>
          <c:showLegendKey val="0"/>
          <c:showVal val="0"/>
          <c:showCatName val="0"/>
          <c:showSerName val="0"/>
          <c:showPercent val="0"/>
          <c:showBubbleSize val="0"/>
        </c:dLbls>
        <c:smooth val="0"/>
        <c:axId val="2118791784"/>
        <c:axId val="2140495176"/>
      </c:lineChart>
      <c:dateAx>
        <c:axId val="2118791784"/>
        <c:scaling>
          <c:orientation val="minMax"/>
          <c:max val="45291"/>
          <c:min val="44713"/>
        </c:scaling>
        <c:delete val="0"/>
        <c:axPos val="b"/>
        <c:numFmt formatCode="mmm\-yy" sourceLinked="0"/>
        <c:majorTickMark val="none"/>
        <c:minorTickMark val="none"/>
        <c:tickLblPos val="low"/>
        <c:txPr>
          <a:bodyPr/>
          <a:lstStyle/>
          <a:p>
            <a:pPr>
              <a:defRPr sz="700">
                <a:latin typeface="Times New Roman" panose="02020603050405020304" pitchFamily="18" charset="0"/>
                <a:cs typeface="Times New Roman" panose="02020603050405020304" pitchFamily="18" charset="0"/>
              </a:defRPr>
            </a:pPr>
            <a:endParaRPr lang="es-GT"/>
          </a:p>
        </c:txPr>
        <c:crossAx val="2140495176"/>
        <c:crosses val="autoZero"/>
        <c:auto val="1"/>
        <c:lblOffset val="100"/>
        <c:baseTimeUnit val="days"/>
        <c:majorUnit val="2"/>
        <c:majorTimeUnit val="months"/>
      </c:dateAx>
      <c:valAx>
        <c:axId val="2140495176"/>
        <c:scaling>
          <c:orientation val="minMax"/>
        </c:scaling>
        <c:delete val="0"/>
        <c:axPos val="l"/>
        <c:title>
          <c:tx>
            <c:rich>
              <a:bodyPr/>
              <a:lstStyle/>
              <a:p>
                <a:pPr>
                  <a:defRPr sz="700">
                    <a:latin typeface="Times New Roman" panose="02020603050405020304" pitchFamily="18" charset="0"/>
                    <a:cs typeface="Times New Roman" panose="02020603050405020304" pitchFamily="18" charset="0"/>
                  </a:defRPr>
                </a:pPr>
                <a:r>
                  <a:rPr lang="es-GT" sz="700">
                    <a:latin typeface="Times New Roman" panose="02020603050405020304" pitchFamily="18" charset="0"/>
                    <a:cs typeface="Times New Roman" panose="02020603050405020304" pitchFamily="18" charset="0"/>
                  </a:rPr>
                  <a:t>Qx1$USD</a:t>
                </a:r>
              </a:p>
            </c:rich>
          </c:tx>
          <c:layout>
            <c:manualLayout>
              <c:xMode val="edge"/>
              <c:yMode val="edge"/>
              <c:x val="3.5828854726492523E-3"/>
              <c:y val="0.33581719227121237"/>
            </c:manualLayout>
          </c:layout>
          <c:overlay val="0"/>
        </c:title>
        <c:numFmt formatCode="General" sourceLinked="0"/>
        <c:majorTickMark val="out"/>
        <c:minorTickMark val="none"/>
        <c:tickLblPos val="nextTo"/>
        <c:spPr>
          <a:ln>
            <a:solidFill>
              <a:srgbClr val="FFFFFF"/>
            </a:solidFill>
          </a:ln>
        </c:spPr>
        <c:txPr>
          <a:bodyPr/>
          <a:lstStyle/>
          <a:p>
            <a:pPr>
              <a:defRPr sz="800" b="0">
                <a:latin typeface="Times New Roman" panose="02020603050405020304" pitchFamily="18" charset="0"/>
                <a:cs typeface="Times New Roman" panose="02020603050405020304" pitchFamily="18" charset="0"/>
              </a:defRPr>
            </a:pPr>
            <a:endParaRPr lang="es-GT"/>
          </a:p>
        </c:txPr>
        <c:crossAx val="2118791784"/>
        <c:crosses val="autoZero"/>
        <c:crossBetween val="between"/>
      </c:valAx>
    </c:plotArea>
    <c:plotVisOnly val="1"/>
    <c:dispBlanksAs val="gap"/>
    <c:showDLblsOverMax val="0"/>
  </c:chart>
  <c:spPr>
    <a:ln>
      <a:noFill/>
    </a:ln>
  </c:spPr>
  <c:txPr>
    <a:bodyPr/>
    <a:lstStyle/>
    <a:p>
      <a:pPr>
        <a:defRPr sz="1800"/>
      </a:pPr>
      <a:endParaRPr lang="es-GT"/>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31375536925046"/>
          <c:y val="6.6085911685190749E-2"/>
          <c:w val="0.81787006900604042"/>
          <c:h val="0.73992379069167868"/>
        </c:manualLayout>
      </c:layout>
      <c:lineChart>
        <c:grouping val="standard"/>
        <c:varyColors val="0"/>
        <c:ser>
          <c:idx val="0"/>
          <c:order val="0"/>
          <c:tx>
            <c:strRef>
              <c:f>Sheet1!$B$1</c:f>
              <c:strCache>
                <c:ptCount val="1"/>
                <c:pt idx="0">
                  <c:v>tpm</c:v>
                </c:pt>
              </c:strCache>
            </c:strRef>
          </c:tx>
          <c:spPr>
            <a:ln w="15875">
              <a:solidFill>
                <a:srgbClr val="4472C4"/>
              </a:solidFill>
            </a:ln>
          </c:spPr>
          <c:marker>
            <c:symbol val="none"/>
          </c:marker>
          <c:dLbls>
            <c:dLbl>
              <c:idx val="14"/>
              <c:layout>
                <c:manualLayout>
                  <c:x val="-0.13261407057765789"/>
                  <c:y val="-6.68769716088328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37-485B-82DF-BD0DCE35A291}"/>
                </c:ext>
              </c:extLst>
            </c:dLbl>
            <c:dLbl>
              <c:idx val="27"/>
              <c:layout>
                <c:manualLayout>
                  <c:x val="-9.215554057091481E-2"/>
                  <c:y val="-6.68769716088328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37-485B-82DF-BD0DCE35A291}"/>
                </c:ext>
              </c:extLst>
            </c:dLbl>
            <c:dLbl>
              <c:idx val="34"/>
              <c:layout>
                <c:manualLayout>
                  <c:x val="-0.11013710946280071"/>
                  <c:y val="-9.21135646687697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37-485B-82DF-BD0DCE35A291}"/>
                </c:ext>
              </c:extLst>
            </c:dLbl>
            <c:dLbl>
              <c:idx val="45"/>
              <c:tx>
                <c:rich>
                  <a:bodyPr/>
                  <a:lstStyle/>
                  <a:p>
                    <a:r>
                      <a:rPr lang="en-US"/>
                      <a:t>5.0</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937-485B-82DF-BD0DCE35A291}"/>
                </c:ext>
              </c:extLst>
            </c:dLbl>
            <c:numFmt formatCode="#,##0.00" sourceLinked="0"/>
            <c:spPr>
              <a:noFill/>
              <a:ln>
                <a:noFill/>
              </a:ln>
              <a:effectLst/>
            </c:spPr>
            <c:txPr>
              <a:bodyPr/>
              <a:lstStyle/>
              <a:p>
                <a:pPr>
                  <a:defRPr sz="800" b="1">
                    <a:solidFill>
                      <a:srgbClr val="4472C4"/>
                    </a:solidFill>
                    <a:latin typeface="Times New Roman" panose="02020603050405020304" pitchFamily="18" charset="0"/>
                    <a:cs typeface="Times New Roman" panose="02020603050405020304" pitchFamily="18" charset="0"/>
                  </a:defRPr>
                </a:pPr>
                <a:endParaRPr lang="es-GT"/>
              </a:p>
            </c:txPr>
            <c:dLblPos val="t"/>
            <c:showLegendKey val="0"/>
            <c:showVal val="0"/>
            <c:showCatName val="0"/>
            <c:showSerName val="0"/>
            <c:showPercent val="0"/>
            <c:showBubbleSize val="0"/>
            <c:extLst>
              <c:ext xmlns:c15="http://schemas.microsoft.com/office/drawing/2012/chart" uri="{CE6537A1-D6FC-4f65-9D91-7224C49458BB}">
                <c15:showLeaderLines val="0"/>
              </c:ext>
            </c:extLst>
          </c:dLbls>
          <c:cat>
            <c:numRef>
              <c:f>Sheet1!$A$2:$A$47</c:f>
              <c:numCache>
                <c:formatCode>yyyy\-mm\-dd</c:formatCode>
                <c:ptCount val="46"/>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pt idx="24">
                  <c:v>44562</c:v>
                </c:pt>
                <c:pt idx="25">
                  <c:v>44593</c:v>
                </c:pt>
                <c:pt idx="26">
                  <c:v>44621</c:v>
                </c:pt>
                <c:pt idx="27">
                  <c:v>44652</c:v>
                </c:pt>
                <c:pt idx="28">
                  <c:v>44682</c:v>
                </c:pt>
                <c:pt idx="29">
                  <c:v>44713</c:v>
                </c:pt>
                <c:pt idx="30">
                  <c:v>44743</c:v>
                </c:pt>
                <c:pt idx="31">
                  <c:v>44774</c:v>
                </c:pt>
                <c:pt idx="32">
                  <c:v>44805</c:v>
                </c:pt>
                <c:pt idx="33">
                  <c:v>44835</c:v>
                </c:pt>
                <c:pt idx="34">
                  <c:v>44866</c:v>
                </c:pt>
                <c:pt idx="35">
                  <c:v>44896</c:v>
                </c:pt>
                <c:pt idx="36">
                  <c:v>44927</c:v>
                </c:pt>
                <c:pt idx="37">
                  <c:v>44958</c:v>
                </c:pt>
                <c:pt idx="38">
                  <c:v>44986</c:v>
                </c:pt>
                <c:pt idx="39">
                  <c:v>45017</c:v>
                </c:pt>
                <c:pt idx="40">
                  <c:v>45047</c:v>
                </c:pt>
                <c:pt idx="41">
                  <c:v>45078</c:v>
                </c:pt>
                <c:pt idx="42">
                  <c:v>45108</c:v>
                </c:pt>
                <c:pt idx="43">
                  <c:v>45139</c:v>
                </c:pt>
                <c:pt idx="44">
                  <c:v>45170</c:v>
                </c:pt>
                <c:pt idx="45">
                  <c:v>45200</c:v>
                </c:pt>
              </c:numCache>
            </c:numRef>
          </c:cat>
          <c:val>
            <c:numRef>
              <c:f>Sheet1!$B$2:$B$47</c:f>
              <c:numCache>
                <c:formatCode>General</c:formatCode>
                <c:ptCount val="46"/>
                <c:pt idx="0">
                  <c:v>2.75</c:v>
                </c:pt>
                <c:pt idx="1">
                  <c:v>2.75</c:v>
                </c:pt>
                <c:pt idx="2">
                  <c:v>2</c:v>
                </c:pt>
                <c:pt idx="3">
                  <c:v>2</c:v>
                </c:pt>
                <c:pt idx="4">
                  <c:v>2</c:v>
                </c:pt>
                <c:pt idx="5">
                  <c:v>1.75</c:v>
                </c:pt>
                <c:pt idx="6">
                  <c:v>1.75</c:v>
                </c:pt>
                <c:pt idx="7">
                  <c:v>1.75</c:v>
                </c:pt>
                <c:pt idx="8">
                  <c:v>1.75</c:v>
                </c:pt>
                <c:pt idx="9">
                  <c:v>1.75</c:v>
                </c:pt>
                <c:pt idx="10">
                  <c:v>1.75</c:v>
                </c:pt>
                <c:pt idx="11">
                  <c:v>1.75</c:v>
                </c:pt>
                <c:pt idx="12">
                  <c:v>1.75</c:v>
                </c:pt>
                <c:pt idx="13">
                  <c:v>1.75</c:v>
                </c:pt>
                <c:pt idx="14">
                  <c:v>1.75</c:v>
                </c:pt>
                <c:pt idx="15">
                  <c:v>1.75</c:v>
                </c:pt>
                <c:pt idx="16">
                  <c:v>1.75</c:v>
                </c:pt>
                <c:pt idx="17">
                  <c:v>1.75</c:v>
                </c:pt>
                <c:pt idx="18">
                  <c:v>1.75</c:v>
                </c:pt>
                <c:pt idx="19">
                  <c:v>1.75</c:v>
                </c:pt>
                <c:pt idx="20">
                  <c:v>1.75</c:v>
                </c:pt>
                <c:pt idx="21">
                  <c:v>1.75</c:v>
                </c:pt>
                <c:pt idx="22">
                  <c:v>1.75</c:v>
                </c:pt>
                <c:pt idx="23">
                  <c:v>1.75</c:v>
                </c:pt>
                <c:pt idx="24">
                  <c:v>1.75</c:v>
                </c:pt>
                <c:pt idx="25">
                  <c:v>1.75</c:v>
                </c:pt>
                <c:pt idx="26">
                  <c:v>1.75</c:v>
                </c:pt>
                <c:pt idx="27">
                  <c:v>1.75</c:v>
                </c:pt>
                <c:pt idx="28">
                  <c:v>2</c:v>
                </c:pt>
                <c:pt idx="29">
                  <c:v>2.25</c:v>
                </c:pt>
                <c:pt idx="30">
                  <c:v>2.25</c:v>
                </c:pt>
                <c:pt idx="31">
                  <c:v>2.75</c:v>
                </c:pt>
                <c:pt idx="32">
                  <c:v>3</c:v>
                </c:pt>
                <c:pt idx="33">
                  <c:v>3</c:v>
                </c:pt>
                <c:pt idx="34">
                  <c:v>3</c:v>
                </c:pt>
                <c:pt idx="35">
                  <c:v>3.75</c:v>
                </c:pt>
                <c:pt idx="36">
                  <c:v>4.25</c:v>
                </c:pt>
                <c:pt idx="37">
                  <c:v>4.5</c:v>
                </c:pt>
                <c:pt idx="38">
                  <c:v>4.75</c:v>
                </c:pt>
                <c:pt idx="39">
                  <c:v>5</c:v>
                </c:pt>
                <c:pt idx="40">
                  <c:v>5</c:v>
                </c:pt>
                <c:pt idx="41">
                  <c:v>5</c:v>
                </c:pt>
                <c:pt idx="42">
                  <c:v>5</c:v>
                </c:pt>
                <c:pt idx="43">
                  <c:v>5</c:v>
                </c:pt>
                <c:pt idx="44">
                  <c:v>5</c:v>
                </c:pt>
                <c:pt idx="45">
                  <c:v>5</c:v>
                </c:pt>
              </c:numCache>
            </c:numRef>
          </c:val>
          <c:smooth val="1"/>
          <c:extLst>
            <c:ext xmlns:c16="http://schemas.microsoft.com/office/drawing/2014/chart" uri="{C3380CC4-5D6E-409C-BE32-E72D297353CC}">
              <c16:uniqueId val="{00000004-1937-485B-82DF-BD0DCE35A291}"/>
            </c:ext>
          </c:extLst>
        </c:ser>
        <c:dLbls>
          <c:showLegendKey val="0"/>
          <c:showVal val="0"/>
          <c:showCatName val="0"/>
          <c:showSerName val="0"/>
          <c:showPercent val="0"/>
          <c:showBubbleSize val="0"/>
        </c:dLbls>
        <c:smooth val="0"/>
        <c:axId val="2118791784"/>
        <c:axId val="2140495176"/>
      </c:lineChart>
      <c:dateAx>
        <c:axId val="2118791784"/>
        <c:scaling>
          <c:orientation val="minMax"/>
          <c:max val="45261"/>
          <c:min val="43983"/>
        </c:scaling>
        <c:delete val="0"/>
        <c:axPos val="b"/>
        <c:numFmt formatCode="mmm\-yy" sourceLinked="0"/>
        <c:majorTickMark val="none"/>
        <c:minorTickMark val="none"/>
        <c:tickLblPos val="low"/>
        <c:txPr>
          <a:bodyPr/>
          <a:lstStyle/>
          <a:p>
            <a:pPr>
              <a:defRPr sz="800">
                <a:latin typeface="Times New Roman" panose="02020603050405020304" pitchFamily="18" charset="0"/>
                <a:cs typeface="Times New Roman" panose="02020603050405020304" pitchFamily="18" charset="0"/>
              </a:defRPr>
            </a:pPr>
            <a:endParaRPr lang="es-GT"/>
          </a:p>
        </c:txPr>
        <c:crossAx val="2140495176"/>
        <c:crosses val="autoZero"/>
        <c:auto val="1"/>
        <c:lblOffset val="100"/>
        <c:baseTimeUnit val="days"/>
        <c:majorUnit val="6"/>
        <c:majorTimeUnit val="months"/>
      </c:dateAx>
      <c:valAx>
        <c:axId val="2140495176"/>
        <c:scaling>
          <c:orientation val="minMax"/>
        </c:scaling>
        <c:delete val="0"/>
        <c:axPos val="l"/>
        <c:title>
          <c:tx>
            <c:rich>
              <a:bodyPr/>
              <a:lstStyle/>
              <a:p>
                <a:pPr>
                  <a:defRPr sz="800">
                    <a:latin typeface="Times New Roman" panose="02020603050405020304" pitchFamily="18" charset="0"/>
                    <a:cs typeface="Times New Roman" panose="02020603050405020304" pitchFamily="18" charset="0"/>
                  </a:defRPr>
                </a:pPr>
                <a:r>
                  <a:rPr lang="es-GT" sz="800">
                    <a:latin typeface="Times New Roman" panose="02020603050405020304" pitchFamily="18" charset="0"/>
                    <a:cs typeface="Times New Roman" panose="02020603050405020304" pitchFamily="18" charset="0"/>
                  </a:rPr>
                  <a:t>Porcentaje (%)</a:t>
                </a:r>
              </a:p>
            </c:rich>
          </c:tx>
          <c:layout>
            <c:manualLayout>
              <c:xMode val="edge"/>
              <c:yMode val="edge"/>
              <c:x val="4.4953922229714546E-3"/>
              <c:y val="0.24164973520695016"/>
            </c:manualLayout>
          </c:layout>
          <c:overlay val="0"/>
        </c:title>
        <c:numFmt formatCode="General" sourceLinked="0"/>
        <c:majorTickMark val="out"/>
        <c:minorTickMark val="none"/>
        <c:tickLblPos val="nextTo"/>
        <c:spPr>
          <a:ln>
            <a:solidFill>
              <a:srgbClr val="FFFFFF"/>
            </a:solidFill>
          </a:ln>
        </c:spPr>
        <c:txPr>
          <a:bodyPr/>
          <a:lstStyle/>
          <a:p>
            <a:pPr>
              <a:defRPr sz="800" b="0">
                <a:latin typeface="Times New Roman" panose="02020603050405020304" pitchFamily="18" charset="0"/>
                <a:cs typeface="Times New Roman" panose="02020603050405020304" pitchFamily="18" charset="0"/>
              </a:defRPr>
            </a:pPr>
            <a:endParaRPr lang="es-GT"/>
          </a:p>
        </c:txPr>
        <c:crossAx val="2118791784"/>
        <c:crosses val="autoZero"/>
        <c:crossBetween val="between"/>
      </c:valAx>
    </c:plotArea>
    <c:plotVisOnly val="1"/>
    <c:dispBlanksAs val="gap"/>
    <c:showDLblsOverMax val="0"/>
  </c:chart>
  <c:spPr>
    <a:ln>
      <a:noFill/>
    </a:ln>
  </c:spPr>
  <c:txPr>
    <a:bodyPr/>
    <a:lstStyle/>
    <a:p>
      <a:pPr>
        <a:defRPr sz="1800"/>
      </a:pPr>
      <a:endParaRPr lang="es-G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345353986112783E-2"/>
          <c:y val="3.2407407407407406E-2"/>
          <c:w val="0.92471372697668808"/>
          <c:h val="0.81631014873140861"/>
        </c:manualLayout>
      </c:layout>
      <c:barChart>
        <c:barDir val="col"/>
        <c:grouping val="clustered"/>
        <c:varyColors val="0"/>
        <c:ser>
          <c:idx val="1"/>
          <c:order val="1"/>
          <c:tx>
            <c:strRef>
              <c:f>Hoja1!$E$24</c:f>
              <c:strCache>
                <c:ptCount val="1"/>
                <c:pt idx="0">
                  <c:v>Obs2023-Pres</c:v>
                </c:pt>
              </c:strCache>
            </c:strRef>
          </c:tx>
          <c:spPr>
            <a:solidFill>
              <a:schemeClr val="accent1"/>
            </a:solidFill>
            <a:ln>
              <a:noFill/>
            </a:ln>
            <a:effectLst/>
          </c:spPr>
          <c:invertIfNegative val="0"/>
          <c:dLbls>
            <c:dLbl>
              <c:idx val="0"/>
              <c:layout>
                <c:manualLayout>
                  <c:x val="-1.2731334408019993E-17"/>
                  <c:y val="9.25925925925923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596-48AE-8BCF-D8A2F25F3AF7}"/>
                </c:ext>
              </c:extLst>
            </c:dLbl>
            <c:dLbl>
              <c:idx val="1"/>
              <c:layout>
                <c:manualLayout>
                  <c:x val="0"/>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96-48AE-8BCF-D8A2F25F3AF7}"/>
                </c:ext>
              </c:extLst>
            </c:dLbl>
            <c:dLbl>
              <c:idx val="3"/>
              <c:layout>
                <c:manualLayout>
                  <c:x val="-2.7777777777777779E-3"/>
                  <c:y val="-9.2592592592592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596-48AE-8BCF-D8A2F25F3AF7}"/>
                </c:ext>
              </c:extLst>
            </c:dLbl>
            <c:dLbl>
              <c:idx val="4"/>
              <c:layout>
                <c:manualLayout>
                  <c:x val="-5.0925337632079971E-17"/>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96-48AE-8BCF-D8A2F25F3AF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Hoja1!$C$25:$C$36</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Hoja1!$E$25:$E$36</c:f>
              <c:numCache>
                <c:formatCode>General</c:formatCode>
                <c:ptCount val="12"/>
                <c:pt idx="0">
                  <c:v>370.18867902999955</c:v>
                </c:pt>
                <c:pt idx="1">
                  <c:v>211.43855855999982</c:v>
                </c:pt>
                <c:pt idx="2">
                  <c:v>276.62893208000014</c:v>
                </c:pt>
                <c:pt idx="3">
                  <c:v>130.71922708000011</c:v>
                </c:pt>
                <c:pt idx="4">
                  <c:v>325.11132726999949</c:v>
                </c:pt>
                <c:pt idx="5">
                  <c:v>268.83732401999987</c:v>
                </c:pt>
                <c:pt idx="6">
                  <c:v>100.9307945999999</c:v>
                </c:pt>
                <c:pt idx="7">
                  <c:v>276.15961197999968</c:v>
                </c:pt>
                <c:pt idx="8">
                  <c:v>277.3316509199999</c:v>
                </c:pt>
                <c:pt idx="9">
                  <c:v>243.14639097999998</c:v>
                </c:pt>
                <c:pt idx="10">
                  <c:v>400.34296644999995</c:v>
                </c:pt>
                <c:pt idx="11">
                  <c:v>454.20160485999986</c:v>
                </c:pt>
              </c:numCache>
            </c:numRef>
          </c:val>
          <c:extLst>
            <c:ext xmlns:c16="http://schemas.microsoft.com/office/drawing/2014/chart" uri="{C3380CC4-5D6E-409C-BE32-E72D297353CC}">
              <c16:uniqueId val="{00000004-2596-48AE-8BCF-D8A2F25F3AF7}"/>
            </c:ext>
          </c:extLst>
        </c:ser>
        <c:dLbls>
          <c:showLegendKey val="0"/>
          <c:showVal val="0"/>
          <c:showCatName val="0"/>
          <c:showSerName val="0"/>
          <c:showPercent val="0"/>
          <c:showBubbleSize val="0"/>
        </c:dLbls>
        <c:gapWidth val="25"/>
        <c:axId val="1836596176"/>
        <c:axId val="1836616144"/>
      </c:barChart>
      <c:lineChart>
        <c:grouping val="standard"/>
        <c:varyColors val="0"/>
        <c:ser>
          <c:idx val="0"/>
          <c:order val="0"/>
          <c:tx>
            <c:strRef>
              <c:f>Hoja1!$D$24</c:f>
              <c:strCache>
                <c:ptCount val="1"/>
                <c:pt idx="0">
                  <c:v>Obs2023-obs2022</c:v>
                </c:pt>
              </c:strCache>
            </c:strRef>
          </c:tx>
          <c:spPr>
            <a:ln w="25400" cap="rnd">
              <a:solidFill>
                <a:schemeClr val="accent2"/>
              </a:solidFill>
              <a:prstDash val="sysDot"/>
              <a:round/>
            </a:ln>
            <a:effectLst/>
          </c:spPr>
          <c:marker>
            <c:symbol val="circle"/>
            <c:size val="5"/>
            <c:spPr>
              <a:solidFill>
                <a:schemeClr val="bg1"/>
              </a:solidFill>
              <a:ln w="9525">
                <a:solidFill>
                  <a:schemeClr val="accent2"/>
                </a:solidFill>
              </a:ln>
              <a:effectLst/>
            </c:spPr>
          </c:marker>
          <c:dLbls>
            <c:dLbl>
              <c:idx val="0"/>
              <c:layout>
                <c:manualLayout>
                  <c:x val="-8.3333333333333592E-3"/>
                  <c:y val="-4.16666666666666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596-48AE-8BCF-D8A2F25F3AF7}"/>
                </c:ext>
              </c:extLst>
            </c:dLbl>
            <c:dLbl>
              <c:idx val="1"/>
              <c:layout>
                <c:manualLayout>
                  <c:x val="-2.5000000000000026E-2"/>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596-48AE-8BCF-D8A2F25F3AF7}"/>
                </c:ext>
              </c:extLst>
            </c:dLbl>
            <c:dLbl>
              <c:idx val="2"/>
              <c:layout>
                <c:manualLayout>
                  <c:x val="-3.9410581291551755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596-48AE-8BCF-D8A2F25F3AF7}"/>
                </c:ext>
              </c:extLst>
            </c:dLbl>
            <c:dLbl>
              <c:idx val="3"/>
              <c:layout>
                <c:manualLayout>
                  <c:x val="-3.4898454952014289E-2"/>
                  <c:y val="6.94444444444443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596-48AE-8BCF-D8A2F25F3AF7}"/>
                </c:ext>
              </c:extLst>
            </c:dLbl>
            <c:dLbl>
              <c:idx val="4"/>
              <c:layout>
                <c:manualLayout>
                  <c:x val="-4.1666666666666664E-2"/>
                  <c:y val="9.7222222222222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596-48AE-8BCF-D8A2F25F3AF7}"/>
                </c:ext>
              </c:extLst>
            </c:dLbl>
            <c:dLbl>
              <c:idx val="5"/>
              <c:layout>
                <c:manualLayout>
                  <c:x val="-3.7154518121782998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596-48AE-8BCF-D8A2F25F3AF7}"/>
                </c:ext>
              </c:extLst>
            </c:dLbl>
            <c:dLbl>
              <c:idx val="6"/>
              <c:layout>
                <c:manualLayout>
                  <c:x val="-0.05"/>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596-48AE-8BCF-D8A2F25F3AF7}"/>
                </c:ext>
              </c:extLst>
            </c:dLbl>
            <c:dLbl>
              <c:idx val="7"/>
              <c:layout>
                <c:manualLayout>
                  <c:x val="-4.1666644461320505E-2"/>
                  <c:y val="0.106481481481481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596-48AE-8BCF-D8A2F25F3AF7}"/>
                </c:ext>
              </c:extLst>
            </c:dLbl>
            <c:dLbl>
              <c:idx val="8"/>
              <c:layout>
                <c:manualLayout>
                  <c:x val="-2.813026544270807E-2"/>
                  <c:y val="-0.1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596-48AE-8BCF-D8A2F25F3AF7}"/>
                </c:ext>
              </c:extLst>
            </c:dLbl>
            <c:dLbl>
              <c:idx val="9"/>
              <c:layout>
                <c:manualLayout>
                  <c:x val="-3.7154518121782998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596-48AE-8BCF-D8A2F25F3AF7}"/>
                </c:ext>
              </c:extLst>
            </c:dLbl>
            <c:dLbl>
              <c:idx val="10"/>
              <c:layout>
                <c:manualLayout>
                  <c:x val="-3.4898454952014248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596-48AE-8BCF-D8A2F25F3AF7}"/>
                </c:ext>
              </c:extLst>
            </c:dLbl>
            <c:dLbl>
              <c:idx val="11"/>
              <c:layout>
                <c:manualLayout>
                  <c:x val="-2.2574665476460112E-2"/>
                  <c:y val="-0.101851851851851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596-48AE-8BCF-D8A2F25F3AF7}"/>
                </c:ext>
              </c:extLst>
            </c:dLbl>
            <c:numFmt formatCode="#,##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Hoja1!$C$25:$C$36</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Hoja1!$D$25:$D$36</c:f>
              <c:numCache>
                <c:formatCode>General</c:formatCode>
                <c:ptCount val="12"/>
                <c:pt idx="0">
                  <c:v>456.72902683999973</c:v>
                </c:pt>
                <c:pt idx="1">
                  <c:v>280.86285273000021</c:v>
                </c:pt>
                <c:pt idx="2">
                  <c:v>208.14569269000049</c:v>
                </c:pt>
                <c:pt idx="3">
                  <c:v>141.11856949000048</c:v>
                </c:pt>
                <c:pt idx="4">
                  <c:v>343.45868139999948</c:v>
                </c:pt>
                <c:pt idx="5">
                  <c:v>154.99885153000014</c:v>
                </c:pt>
                <c:pt idx="6">
                  <c:v>160.72155960000009</c:v>
                </c:pt>
                <c:pt idx="7">
                  <c:v>240.55303946999993</c:v>
                </c:pt>
                <c:pt idx="8">
                  <c:v>11.066443310000068</c:v>
                </c:pt>
                <c:pt idx="9">
                  <c:v>166.72520073999976</c:v>
                </c:pt>
                <c:pt idx="10">
                  <c:v>192.76323359999969</c:v>
                </c:pt>
                <c:pt idx="11">
                  <c:v>8.6557377699991775</c:v>
                </c:pt>
              </c:numCache>
            </c:numRef>
          </c:val>
          <c:smooth val="0"/>
          <c:extLst>
            <c:ext xmlns:c16="http://schemas.microsoft.com/office/drawing/2014/chart" uri="{C3380CC4-5D6E-409C-BE32-E72D297353CC}">
              <c16:uniqueId val="{00000011-2596-48AE-8BCF-D8A2F25F3AF7}"/>
            </c:ext>
          </c:extLst>
        </c:ser>
        <c:dLbls>
          <c:showLegendKey val="0"/>
          <c:showVal val="0"/>
          <c:showCatName val="0"/>
          <c:showSerName val="0"/>
          <c:showPercent val="0"/>
          <c:showBubbleSize val="0"/>
        </c:dLbls>
        <c:marker val="1"/>
        <c:smooth val="0"/>
        <c:axId val="1042379760"/>
        <c:axId val="1042386832"/>
      </c:lineChart>
      <c:catAx>
        <c:axId val="183659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836616144"/>
        <c:crosses val="autoZero"/>
        <c:auto val="1"/>
        <c:lblAlgn val="ctr"/>
        <c:lblOffset val="100"/>
        <c:noMultiLvlLbl val="0"/>
      </c:catAx>
      <c:valAx>
        <c:axId val="18366161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836596176"/>
        <c:crosses val="autoZero"/>
        <c:crossBetween val="between"/>
      </c:valAx>
      <c:valAx>
        <c:axId val="1042386832"/>
        <c:scaling>
          <c:orientation val="minMax"/>
          <c:max val="900"/>
        </c:scaling>
        <c:delete val="1"/>
        <c:axPos val="r"/>
        <c:numFmt formatCode="General" sourceLinked="1"/>
        <c:majorTickMark val="out"/>
        <c:minorTickMark val="none"/>
        <c:tickLblPos val="nextTo"/>
        <c:crossAx val="1042379760"/>
        <c:crosses val="max"/>
        <c:crossBetween val="between"/>
      </c:valAx>
      <c:catAx>
        <c:axId val="1042379760"/>
        <c:scaling>
          <c:orientation val="minMax"/>
        </c:scaling>
        <c:delete val="1"/>
        <c:axPos val="b"/>
        <c:numFmt formatCode="General" sourceLinked="1"/>
        <c:majorTickMark val="out"/>
        <c:minorTickMark val="none"/>
        <c:tickLblPos val="nextTo"/>
        <c:crossAx val="1042386832"/>
        <c:crosses val="autoZero"/>
        <c:auto val="1"/>
        <c:lblAlgn val="ctr"/>
        <c:lblOffset val="100"/>
        <c:noMultiLvlLbl val="0"/>
      </c:catAx>
      <c:spPr>
        <a:noFill/>
        <a:ln>
          <a:noFill/>
        </a:ln>
        <a:effectLst/>
      </c:spPr>
    </c:plotArea>
    <c:legend>
      <c:legendPos val="b"/>
      <c:layout>
        <c:manualLayout>
          <c:xMode val="edge"/>
          <c:yMode val="edge"/>
          <c:x val="0.25713106704112748"/>
          <c:y val="0.95432706328375616"/>
          <c:w val="0.47260876307310601"/>
          <c:h val="4.567293671624380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320866141732284E-2"/>
          <c:y val="1.4853310980720872E-2"/>
          <c:w val="0.92521617089530472"/>
          <c:h val="0.51016113697862076"/>
        </c:manualLayout>
      </c:layout>
      <c:lineChart>
        <c:grouping val="standard"/>
        <c:varyColors val="0"/>
        <c:ser>
          <c:idx val="0"/>
          <c:order val="0"/>
          <c:tx>
            <c:strRef>
              <c:f>Hoja1!$B$1</c:f>
              <c:strCache>
                <c:ptCount val="1"/>
                <c:pt idx="0">
                  <c:v>IVA ae</c:v>
                </c:pt>
              </c:strCache>
            </c:strRef>
          </c:tx>
          <c:spPr>
            <a:ln w="22225" cap="rnd">
              <a:solidFill>
                <a:schemeClr val="accent1"/>
              </a:solidFill>
              <a:round/>
            </a:ln>
            <a:effectLst/>
          </c:spPr>
          <c:marker>
            <c:symbol val="circle"/>
            <c:size val="5"/>
            <c:spPr>
              <a:solidFill>
                <a:schemeClr val="bg1"/>
              </a:solidFill>
              <a:ln w="1587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Hoja1!$A$2:$A$9</c:f>
              <c:strCache>
                <c:ptCount val="8"/>
                <c:pt idx="0">
                  <c:v>Comercio al por mayor y al por menor</c:v>
                </c:pt>
                <c:pt idx="1">
                  <c:v>Actividades financieras y de seguros</c:v>
                </c:pt>
                <c:pt idx="2">
                  <c:v>Industrias manufactureras</c:v>
                </c:pt>
                <c:pt idx="3">
                  <c:v>Actividades de servicios administrativos y de apoyo</c:v>
                </c:pt>
                <c:pt idx="4">
                  <c:v>Información y comunicaciones</c:v>
                </c:pt>
                <c:pt idx="5">
                  <c:v>Actividades profesionales, científicas y técnicas</c:v>
                </c:pt>
                <c:pt idx="6">
                  <c:v>Actividades inmobiliarias</c:v>
                </c:pt>
                <c:pt idx="7">
                  <c:v>Transporte y almacenamiento</c:v>
                </c:pt>
              </c:strCache>
            </c:strRef>
          </c:cat>
          <c:val>
            <c:numRef>
              <c:f>Hoja1!$B$2:$B$9</c:f>
              <c:numCache>
                <c:formatCode>#,##0.0</c:formatCode>
                <c:ptCount val="8"/>
                <c:pt idx="0">
                  <c:v>20.82684962545656</c:v>
                </c:pt>
                <c:pt idx="1">
                  <c:v>16.150999245147275</c:v>
                </c:pt>
                <c:pt idx="2">
                  <c:v>14.062703206936533</c:v>
                </c:pt>
                <c:pt idx="3">
                  <c:v>7.0983958469933519</c:v>
                </c:pt>
                <c:pt idx="4">
                  <c:v>3.7997973381581152</c:v>
                </c:pt>
                <c:pt idx="5">
                  <c:v>9.3198184709235719</c:v>
                </c:pt>
                <c:pt idx="6">
                  <c:v>10.634489416863548</c:v>
                </c:pt>
                <c:pt idx="7">
                  <c:v>13.389153257196327</c:v>
                </c:pt>
              </c:numCache>
            </c:numRef>
          </c:val>
          <c:smooth val="1"/>
          <c:extLst>
            <c:ext xmlns:c16="http://schemas.microsoft.com/office/drawing/2014/chart" uri="{C3380CC4-5D6E-409C-BE32-E72D297353CC}">
              <c16:uniqueId val="{00000000-7A05-4384-98BB-A63B468A5075}"/>
            </c:ext>
          </c:extLst>
        </c:ser>
        <c:dLbls>
          <c:showLegendKey val="0"/>
          <c:showVal val="0"/>
          <c:showCatName val="0"/>
          <c:showSerName val="0"/>
          <c:showPercent val="0"/>
          <c:showBubbleSize val="0"/>
        </c:dLbls>
        <c:marker val="1"/>
        <c:smooth val="0"/>
        <c:axId val="378534863"/>
        <c:axId val="378539023"/>
      </c:lineChart>
      <c:catAx>
        <c:axId val="378534863"/>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800" b="1"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78539023"/>
        <c:crosses val="autoZero"/>
        <c:auto val="1"/>
        <c:lblAlgn val="ctr"/>
        <c:lblOffset val="100"/>
        <c:noMultiLvlLbl val="0"/>
      </c:catAx>
      <c:valAx>
        <c:axId val="378539023"/>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78534863"/>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203838892608061E-2"/>
          <c:y val="2.3067220764071156E-2"/>
          <c:w val="0.91305482057657772"/>
          <c:h val="0.79936716243802863"/>
        </c:manualLayout>
      </c:layout>
      <c:lineChart>
        <c:grouping val="standard"/>
        <c:varyColors val="0"/>
        <c:ser>
          <c:idx val="0"/>
          <c:order val="0"/>
          <c:spPr>
            <a:ln w="12700" cap="rnd">
              <a:solidFill>
                <a:schemeClr val="accent1"/>
              </a:solidFill>
              <a:round/>
            </a:ln>
            <a:effectLst/>
          </c:spPr>
          <c:marker>
            <c:symbol val="circle"/>
            <c:size val="5"/>
            <c:spPr>
              <a:solidFill>
                <a:schemeClr val="accent3"/>
              </a:solidFill>
              <a:ln w="9525">
                <a:solidFill>
                  <a:schemeClr val="accent1"/>
                </a:solidFill>
              </a:ln>
              <a:effectLst/>
            </c:spPr>
          </c:marker>
          <c:dLbls>
            <c:dLbl>
              <c:idx val="35"/>
              <c:layout>
                <c:manualLayout>
                  <c:x val="-8.247018240012951E-17"/>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36-4731-95A6-3A829139B379}"/>
                </c:ext>
              </c:extLst>
            </c:dLbl>
            <c:dLbl>
              <c:idx val="47"/>
              <c:layout>
                <c:manualLayout>
                  <c:x val="-4.2735042735042736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36-4731-95A6-3A829139B379}"/>
                </c:ext>
              </c:extLst>
            </c:dLbl>
            <c:dLbl>
              <c:idx val="59"/>
              <c:layout>
                <c:manualLayout>
                  <c:x val="-8.9968511021142599E-3"/>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36-4731-95A6-3A829139B379}"/>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Hoja5!$A$3:$A$62</c:f>
              <c:numCache>
                <c:formatCode>mmm\-yy</c:formatCode>
                <c:ptCount val="60"/>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pt idx="30">
                  <c:v>44378</c:v>
                </c:pt>
                <c:pt idx="31">
                  <c:v>44409</c:v>
                </c:pt>
                <c:pt idx="32">
                  <c:v>44440</c:v>
                </c:pt>
                <c:pt idx="33">
                  <c:v>44470</c:v>
                </c:pt>
                <c:pt idx="34">
                  <c:v>44501</c:v>
                </c:pt>
                <c:pt idx="35">
                  <c:v>44531</c:v>
                </c:pt>
                <c:pt idx="36">
                  <c:v>44562</c:v>
                </c:pt>
                <c:pt idx="37">
                  <c:v>44593</c:v>
                </c:pt>
                <c:pt idx="38">
                  <c:v>44621</c:v>
                </c:pt>
                <c:pt idx="39">
                  <c:v>44652</c:v>
                </c:pt>
                <c:pt idx="40">
                  <c:v>44682</c:v>
                </c:pt>
                <c:pt idx="41">
                  <c:v>44713</c:v>
                </c:pt>
                <c:pt idx="42">
                  <c:v>44743</c:v>
                </c:pt>
                <c:pt idx="43">
                  <c:v>44774</c:v>
                </c:pt>
                <c:pt idx="44">
                  <c:v>44805</c:v>
                </c:pt>
                <c:pt idx="45">
                  <c:v>44835</c:v>
                </c:pt>
                <c:pt idx="46">
                  <c:v>44866</c:v>
                </c:pt>
                <c:pt idx="47">
                  <c:v>44896</c:v>
                </c:pt>
                <c:pt idx="48">
                  <c:v>44927</c:v>
                </c:pt>
                <c:pt idx="49">
                  <c:v>44958</c:v>
                </c:pt>
                <c:pt idx="50">
                  <c:v>44986</c:v>
                </c:pt>
                <c:pt idx="51">
                  <c:v>45017</c:v>
                </c:pt>
                <c:pt idx="52">
                  <c:v>45047</c:v>
                </c:pt>
                <c:pt idx="53">
                  <c:v>45078</c:v>
                </c:pt>
                <c:pt idx="54">
                  <c:v>45108</c:v>
                </c:pt>
                <c:pt idx="55">
                  <c:v>45139</c:v>
                </c:pt>
                <c:pt idx="56">
                  <c:v>45170</c:v>
                </c:pt>
                <c:pt idx="57">
                  <c:v>45200</c:v>
                </c:pt>
                <c:pt idx="58">
                  <c:v>45231</c:v>
                </c:pt>
                <c:pt idx="59">
                  <c:v>45261</c:v>
                </c:pt>
              </c:numCache>
            </c:numRef>
          </c:cat>
          <c:val>
            <c:numRef>
              <c:f>Hoja5!$B$3:$B$62</c:f>
              <c:numCache>
                <c:formatCode>General</c:formatCode>
                <c:ptCount val="60"/>
                <c:pt idx="0">
                  <c:v>51.4</c:v>
                </c:pt>
                <c:pt idx="1">
                  <c:v>57</c:v>
                </c:pt>
                <c:pt idx="2">
                  <c:v>58.2</c:v>
                </c:pt>
                <c:pt idx="3">
                  <c:v>63.9</c:v>
                </c:pt>
                <c:pt idx="4">
                  <c:v>60.8</c:v>
                </c:pt>
                <c:pt idx="5">
                  <c:v>54.7</c:v>
                </c:pt>
                <c:pt idx="6">
                  <c:v>57.5</c:v>
                </c:pt>
                <c:pt idx="7">
                  <c:v>54.8</c:v>
                </c:pt>
                <c:pt idx="8">
                  <c:v>56.9</c:v>
                </c:pt>
                <c:pt idx="9">
                  <c:v>54</c:v>
                </c:pt>
                <c:pt idx="10">
                  <c:v>57.1</c:v>
                </c:pt>
                <c:pt idx="11">
                  <c:v>59.9</c:v>
                </c:pt>
                <c:pt idx="12">
                  <c:v>57.5</c:v>
                </c:pt>
                <c:pt idx="13">
                  <c:v>50.5</c:v>
                </c:pt>
                <c:pt idx="14">
                  <c:v>30.5</c:v>
                </c:pt>
                <c:pt idx="15">
                  <c:v>16.7</c:v>
                </c:pt>
                <c:pt idx="16">
                  <c:v>28.5</c:v>
                </c:pt>
                <c:pt idx="17">
                  <c:v>38.299999999999997</c:v>
                </c:pt>
                <c:pt idx="18">
                  <c:v>40.799999999999997</c:v>
                </c:pt>
                <c:pt idx="19">
                  <c:v>42.4</c:v>
                </c:pt>
                <c:pt idx="20">
                  <c:v>39.6</c:v>
                </c:pt>
                <c:pt idx="21">
                  <c:v>39.6</c:v>
                </c:pt>
                <c:pt idx="22">
                  <c:v>41.1</c:v>
                </c:pt>
                <c:pt idx="23">
                  <c:v>47</c:v>
                </c:pt>
                <c:pt idx="24">
                  <c:v>52.1</c:v>
                </c:pt>
                <c:pt idx="25">
                  <c:v>59.1</c:v>
                </c:pt>
                <c:pt idx="26">
                  <c:v>62.4</c:v>
                </c:pt>
                <c:pt idx="27">
                  <c:v>61.7</c:v>
                </c:pt>
                <c:pt idx="28">
                  <c:v>65.2</c:v>
                </c:pt>
                <c:pt idx="29">
                  <c:v>71.400000000000006</c:v>
                </c:pt>
                <c:pt idx="30">
                  <c:v>72.400000000000006</c:v>
                </c:pt>
                <c:pt idx="31">
                  <c:v>67.7</c:v>
                </c:pt>
                <c:pt idx="32">
                  <c:v>71.599999999999994</c:v>
                </c:pt>
                <c:pt idx="33">
                  <c:v>81.2</c:v>
                </c:pt>
                <c:pt idx="34">
                  <c:v>79.2</c:v>
                </c:pt>
                <c:pt idx="35">
                  <c:v>71.7</c:v>
                </c:pt>
                <c:pt idx="36">
                  <c:v>83</c:v>
                </c:pt>
                <c:pt idx="37">
                  <c:v>91.6</c:v>
                </c:pt>
                <c:pt idx="38">
                  <c:v>108.2</c:v>
                </c:pt>
                <c:pt idx="39">
                  <c:v>101.6</c:v>
                </c:pt>
                <c:pt idx="40">
                  <c:v>109.3</c:v>
                </c:pt>
                <c:pt idx="41">
                  <c:v>114.3</c:v>
                </c:pt>
                <c:pt idx="42">
                  <c:v>99.4</c:v>
                </c:pt>
                <c:pt idx="43">
                  <c:v>91.5</c:v>
                </c:pt>
                <c:pt idx="44">
                  <c:v>83.8</c:v>
                </c:pt>
                <c:pt idx="45">
                  <c:v>87</c:v>
                </c:pt>
                <c:pt idx="46">
                  <c:v>84.4</c:v>
                </c:pt>
                <c:pt idx="47">
                  <c:v>76.5</c:v>
                </c:pt>
                <c:pt idx="48">
                  <c:v>78.12</c:v>
                </c:pt>
                <c:pt idx="49">
                  <c:v>76.83</c:v>
                </c:pt>
                <c:pt idx="50">
                  <c:v>73.28</c:v>
                </c:pt>
                <c:pt idx="51">
                  <c:v>79.45</c:v>
                </c:pt>
                <c:pt idx="52">
                  <c:v>71.58</c:v>
                </c:pt>
                <c:pt idx="53">
                  <c:v>70.25</c:v>
                </c:pt>
                <c:pt idx="54">
                  <c:v>76.069999999999993</c:v>
                </c:pt>
                <c:pt idx="55">
                  <c:v>81.39</c:v>
                </c:pt>
                <c:pt idx="56">
                  <c:v>89.43</c:v>
                </c:pt>
                <c:pt idx="57">
                  <c:v>85.64</c:v>
                </c:pt>
                <c:pt idx="58">
                  <c:v>77.69</c:v>
                </c:pt>
                <c:pt idx="59">
                  <c:v>71.900000000000006</c:v>
                </c:pt>
              </c:numCache>
            </c:numRef>
          </c:val>
          <c:smooth val="1"/>
          <c:extLst>
            <c:ext xmlns:c16="http://schemas.microsoft.com/office/drawing/2014/chart" uri="{C3380CC4-5D6E-409C-BE32-E72D297353CC}">
              <c16:uniqueId val="{00000003-8F36-4731-95A6-3A829139B379}"/>
            </c:ext>
          </c:extLst>
        </c:ser>
        <c:ser>
          <c:idx val="1"/>
          <c:order val="1"/>
          <c:spPr>
            <a:ln w="12700" cap="rnd">
              <a:solidFill>
                <a:srgbClr val="FF0000"/>
              </a:solidFill>
              <a:prstDash val="sysDash"/>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4-8F36-4731-95A6-3A829139B379}"/>
                </c:ext>
              </c:extLst>
            </c:dLbl>
            <c:dLbl>
              <c:idx val="1"/>
              <c:delete val="1"/>
              <c:extLst>
                <c:ext xmlns:c15="http://schemas.microsoft.com/office/drawing/2012/chart" uri="{CE6537A1-D6FC-4f65-9D91-7224C49458BB}"/>
                <c:ext xmlns:c16="http://schemas.microsoft.com/office/drawing/2014/chart" uri="{C3380CC4-5D6E-409C-BE32-E72D297353CC}">
                  <c16:uniqueId val="{00000005-8F36-4731-95A6-3A829139B379}"/>
                </c:ext>
              </c:extLst>
            </c:dLbl>
            <c:dLbl>
              <c:idx val="2"/>
              <c:delete val="1"/>
              <c:extLst>
                <c:ext xmlns:c15="http://schemas.microsoft.com/office/drawing/2012/chart" uri="{CE6537A1-D6FC-4f65-9D91-7224C49458BB}"/>
                <c:ext xmlns:c16="http://schemas.microsoft.com/office/drawing/2014/chart" uri="{C3380CC4-5D6E-409C-BE32-E72D297353CC}">
                  <c16:uniqueId val="{00000006-8F36-4731-95A6-3A829139B379}"/>
                </c:ext>
              </c:extLst>
            </c:dLbl>
            <c:dLbl>
              <c:idx val="3"/>
              <c:delete val="1"/>
              <c:extLst>
                <c:ext xmlns:c15="http://schemas.microsoft.com/office/drawing/2012/chart" uri="{CE6537A1-D6FC-4f65-9D91-7224C49458BB}"/>
                <c:ext xmlns:c16="http://schemas.microsoft.com/office/drawing/2014/chart" uri="{C3380CC4-5D6E-409C-BE32-E72D297353CC}">
                  <c16:uniqueId val="{00000007-8F36-4731-95A6-3A829139B379}"/>
                </c:ext>
              </c:extLst>
            </c:dLbl>
            <c:dLbl>
              <c:idx val="4"/>
              <c:delete val="1"/>
              <c:extLst>
                <c:ext xmlns:c15="http://schemas.microsoft.com/office/drawing/2012/chart" uri="{CE6537A1-D6FC-4f65-9D91-7224C49458BB}"/>
                <c:ext xmlns:c16="http://schemas.microsoft.com/office/drawing/2014/chart" uri="{C3380CC4-5D6E-409C-BE32-E72D297353CC}">
                  <c16:uniqueId val="{00000008-8F36-4731-95A6-3A829139B379}"/>
                </c:ext>
              </c:extLst>
            </c:dLbl>
            <c:dLbl>
              <c:idx val="5"/>
              <c:delete val="1"/>
              <c:extLst>
                <c:ext xmlns:c15="http://schemas.microsoft.com/office/drawing/2012/chart" uri="{CE6537A1-D6FC-4f65-9D91-7224C49458BB}"/>
                <c:ext xmlns:c16="http://schemas.microsoft.com/office/drawing/2014/chart" uri="{C3380CC4-5D6E-409C-BE32-E72D297353CC}">
                  <c16:uniqueId val="{00000009-8F36-4731-95A6-3A829139B379}"/>
                </c:ext>
              </c:extLst>
            </c:dLbl>
            <c:dLbl>
              <c:idx val="6"/>
              <c:delete val="1"/>
              <c:extLst>
                <c:ext xmlns:c15="http://schemas.microsoft.com/office/drawing/2012/chart" uri="{CE6537A1-D6FC-4f65-9D91-7224C49458BB}"/>
                <c:ext xmlns:c16="http://schemas.microsoft.com/office/drawing/2014/chart" uri="{C3380CC4-5D6E-409C-BE32-E72D297353CC}">
                  <c16:uniqueId val="{0000000A-8F36-4731-95A6-3A829139B379}"/>
                </c:ext>
              </c:extLst>
            </c:dLbl>
            <c:dLbl>
              <c:idx val="7"/>
              <c:delete val="1"/>
              <c:extLst>
                <c:ext xmlns:c15="http://schemas.microsoft.com/office/drawing/2012/chart" uri="{CE6537A1-D6FC-4f65-9D91-7224C49458BB}"/>
                <c:ext xmlns:c16="http://schemas.microsoft.com/office/drawing/2014/chart" uri="{C3380CC4-5D6E-409C-BE32-E72D297353CC}">
                  <c16:uniqueId val="{0000000B-8F36-4731-95A6-3A829139B379}"/>
                </c:ext>
              </c:extLst>
            </c:dLbl>
            <c:dLbl>
              <c:idx val="8"/>
              <c:layout>
                <c:manualLayout>
                  <c:x val="-5.1731893837156998E-2"/>
                  <c:y val="-4.1666666666666664E-2"/>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F36-4731-95A6-3A829139B379}"/>
                </c:ext>
              </c:extLst>
            </c:dLbl>
            <c:dLbl>
              <c:idx val="9"/>
              <c:delete val="1"/>
              <c:extLst>
                <c:ext xmlns:c15="http://schemas.microsoft.com/office/drawing/2012/chart" uri="{CE6537A1-D6FC-4f65-9D91-7224C49458BB}"/>
                <c:ext xmlns:c16="http://schemas.microsoft.com/office/drawing/2014/chart" uri="{C3380CC4-5D6E-409C-BE32-E72D297353CC}">
                  <c16:uniqueId val="{0000000D-8F36-4731-95A6-3A829139B379}"/>
                </c:ext>
              </c:extLst>
            </c:dLbl>
            <c:dLbl>
              <c:idx val="10"/>
              <c:delete val="1"/>
              <c:extLst>
                <c:ext xmlns:c15="http://schemas.microsoft.com/office/drawing/2012/chart" uri="{CE6537A1-D6FC-4f65-9D91-7224C49458BB}"/>
                <c:ext xmlns:c16="http://schemas.microsoft.com/office/drawing/2014/chart" uri="{C3380CC4-5D6E-409C-BE32-E72D297353CC}">
                  <c16:uniqueId val="{0000000E-8F36-4731-95A6-3A829139B379}"/>
                </c:ext>
              </c:extLst>
            </c:dLbl>
            <c:dLbl>
              <c:idx val="11"/>
              <c:delete val="1"/>
              <c:extLst>
                <c:ext xmlns:c15="http://schemas.microsoft.com/office/drawing/2012/chart" uri="{CE6537A1-D6FC-4f65-9D91-7224C49458BB}"/>
                <c:ext xmlns:c16="http://schemas.microsoft.com/office/drawing/2014/chart" uri="{C3380CC4-5D6E-409C-BE32-E72D297353CC}">
                  <c16:uniqueId val="{0000000F-8F36-4731-95A6-3A829139B379}"/>
                </c:ext>
              </c:extLst>
            </c:dLbl>
            <c:dLbl>
              <c:idx val="12"/>
              <c:delete val="1"/>
              <c:extLst>
                <c:ext xmlns:c15="http://schemas.microsoft.com/office/drawing/2012/chart" uri="{CE6537A1-D6FC-4f65-9D91-7224C49458BB}"/>
                <c:ext xmlns:c16="http://schemas.microsoft.com/office/drawing/2014/chart" uri="{C3380CC4-5D6E-409C-BE32-E72D297353CC}">
                  <c16:uniqueId val="{00000010-8F36-4731-95A6-3A829139B379}"/>
                </c:ext>
              </c:extLst>
            </c:dLbl>
            <c:dLbl>
              <c:idx val="13"/>
              <c:delete val="1"/>
              <c:extLst>
                <c:ext xmlns:c15="http://schemas.microsoft.com/office/drawing/2012/chart" uri="{CE6537A1-D6FC-4f65-9D91-7224C49458BB}"/>
                <c:ext xmlns:c16="http://schemas.microsoft.com/office/drawing/2014/chart" uri="{C3380CC4-5D6E-409C-BE32-E72D297353CC}">
                  <c16:uniqueId val="{00000011-8F36-4731-95A6-3A829139B379}"/>
                </c:ext>
              </c:extLst>
            </c:dLbl>
            <c:dLbl>
              <c:idx val="14"/>
              <c:delete val="1"/>
              <c:extLst>
                <c:ext xmlns:c15="http://schemas.microsoft.com/office/drawing/2012/chart" uri="{CE6537A1-D6FC-4f65-9D91-7224C49458BB}"/>
                <c:ext xmlns:c16="http://schemas.microsoft.com/office/drawing/2014/chart" uri="{C3380CC4-5D6E-409C-BE32-E72D297353CC}">
                  <c16:uniqueId val="{00000012-8F36-4731-95A6-3A829139B379}"/>
                </c:ext>
              </c:extLst>
            </c:dLbl>
            <c:dLbl>
              <c:idx val="15"/>
              <c:delete val="1"/>
              <c:extLst>
                <c:ext xmlns:c15="http://schemas.microsoft.com/office/drawing/2012/chart" uri="{CE6537A1-D6FC-4f65-9D91-7224C49458BB}"/>
                <c:ext xmlns:c16="http://schemas.microsoft.com/office/drawing/2014/chart" uri="{C3380CC4-5D6E-409C-BE32-E72D297353CC}">
                  <c16:uniqueId val="{00000013-8F36-4731-95A6-3A829139B379}"/>
                </c:ext>
              </c:extLst>
            </c:dLbl>
            <c:dLbl>
              <c:idx val="16"/>
              <c:delete val="1"/>
              <c:extLst>
                <c:ext xmlns:c15="http://schemas.microsoft.com/office/drawing/2012/chart" uri="{CE6537A1-D6FC-4f65-9D91-7224C49458BB}"/>
                <c:ext xmlns:c16="http://schemas.microsoft.com/office/drawing/2014/chart" uri="{C3380CC4-5D6E-409C-BE32-E72D297353CC}">
                  <c16:uniqueId val="{00000014-8F36-4731-95A6-3A829139B379}"/>
                </c:ext>
              </c:extLst>
            </c:dLbl>
            <c:dLbl>
              <c:idx val="17"/>
              <c:layout>
                <c:manualLayout>
                  <c:x val="-5.1731893837157039E-2"/>
                  <c:y val="-3.7037037037037035E-2"/>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F36-4731-95A6-3A829139B379}"/>
                </c:ext>
              </c:extLst>
            </c:dLbl>
            <c:dLbl>
              <c:idx val="18"/>
              <c:delete val="1"/>
              <c:extLst>
                <c:ext xmlns:c15="http://schemas.microsoft.com/office/drawing/2012/chart" uri="{CE6537A1-D6FC-4f65-9D91-7224C49458BB}"/>
                <c:ext xmlns:c16="http://schemas.microsoft.com/office/drawing/2014/chart" uri="{C3380CC4-5D6E-409C-BE32-E72D297353CC}">
                  <c16:uniqueId val="{00000016-8F36-4731-95A6-3A829139B379}"/>
                </c:ext>
              </c:extLst>
            </c:dLbl>
            <c:dLbl>
              <c:idx val="19"/>
              <c:delete val="1"/>
              <c:extLst>
                <c:ext xmlns:c15="http://schemas.microsoft.com/office/drawing/2012/chart" uri="{CE6537A1-D6FC-4f65-9D91-7224C49458BB}"/>
                <c:ext xmlns:c16="http://schemas.microsoft.com/office/drawing/2014/chart" uri="{C3380CC4-5D6E-409C-BE32-E72D297353CC}">
                  <c16:uniqueId val="{00000017-8F36-4731-95A6-3A829139B379}"/>
                </c:ext>
              </c:extLst>
            </c:dLbl>
            <c:dLbl>
              <c:idx val="20"/>
              <c:delete val="1"/>
              <c:extLst>
                <c:ext xmlns:c15="http://schemas.microsoft.com/office/drawing/2012/chart" uri="{CE6537A1-D6FC-4f65-9D91-7224C49458BB}"/>
                <c:ext xmlns:c16="http://schemas.microsoft.com/office/drawing/2014/chart" uri="{C3380CC4-5D6E-409C-BE32-E72D297353CC}">
                  <c16:uniqueId val="{00000018-8F36-4731-95A6-3A829139B379}"/>
                </c:ext>
              </c:extLst>
            </c:dLbl>
            <c:dLbl>
              <c:idx val="21"/>
              <c:delete val="1"/>
              <c:extLst>
                <c:ext xmlns:c15="http://schemas.microsoft.com/office/drawing/2012/chart" uri="{CE6537A1-D6FC-4f65-9D91-7224C49458BB}"/>
                <c:ext xmlns:c16="http://schemas.microsoft.com/office/drawing/2014/chart" uri="{C3380CC4-5D6E-409C-BE32-E72D297353CC}">
                  <c16:uniqueId val="{00000019-8F36-4731-95A6-3A829139B379}"/>
                </c:ext>
              </c:extLst>
            </c:dLbl>
            <c:dLbl>
              <c:idx val="22"/>
              <c:delete val="1"/>
              <c:extLst>
                <c:ext xmlns:c15="http://schemas.microsoft.com/office/drawing/2012/chart" uri="{CE6537A1-D6FC-4f65-9D91-7224C49458BB}"/>
                <c:ext xmlns:c16="http://schemas.microsoft.com/office/drawing/2014/chart" uri="{C3380CC4-5D6E-409C-BE32-E72D297353CC}">
                  <c16:uniqueId val="{0000001A-8F36-4731-95A6-3A829139B379}"/>
                </c:ext>
              </c:extLst>
            </c:dLbl>
            <c:dLbl>
              <c:idx val="23"/>
              <c:delete val="1"/>
              <c:extLst>
                <c:ext xmlns:c15="http://schemas.microsoft.com/office/drawing/2012/chart" uri="{CE6537A1-D6FC-4f65-9D91-7224C49458BB}"/>
                <c:ext xmlns:c16="http://schemas.microsoft.com/office/drawing/2014/chart" uri="{C3380CC4-5D6E-409C-BE32-E72D297353CC}">
                  <c16:uniqueId val="{0000001B-8F36-4731-95A6-3A829139B379}"/>
                </c:ext>
              </c:extLst>
            </c:dLbl>
            <c:dLbl>
              <c:idx val="24"/>
              <c:delete val="1"/>
              <c:extLst>
                <c:ext xmlns:c15="http://schemas.microsoft.com/office/drawing/2012/chart" uri="{CE6537A1-D6FC-4f65-9D91-7224C49458BB}"/>
                <c:ext xmlns:c16="http://schemas.microsoft.com/office/drawing/2014/chart" uri="{C3380CC4-5D6E-409C-BE32-E72D297353CC}">
                  <c16:uniqueId val="{0000001C-8F36-4731-95A6-3A829139B379}"/>
                </c:ext>
              </c:extLst>
            </c:dLbl>
            <c:dLbl>
              <c:idx val="25"/>
              <c:delete val="1"/>
              <c:extLst>
                <c:ext xmlns:c15="http://schemas.microsoft.com/office/drawing/2012/chart" uri="{CE6537A1-D6FC-4f65-9D91-7224C49458BB}"/>
                <c:ext xmlns:c16="http://schemas.microsoft.com/office/drawing/2014/chart" uri="{C3380CC4-5D6E-409C-BE32-E72D297353CC}">
                  <c16:uniqueId val="{0000001D-8F36-4731-95A6-3A829139B379}"/>
                </c:ext>
              </c:extLst>
            </c:dLbl>
            <c:dLbl>
              <c:idx val="26"/>
              <c:delete val="1"/>
              <c:extLst>
                <c:ext xmlns:c15="http://schemas.microsoft.com/office/drawing/2012/chart" uri="{CE6537A1-D6FC-4f65-9D91-7224C49458BB}"/>
                <c:ext xmlns:c16="http://schemas.microsoft.com/office/drawing/2014/chart" uri="{C3380CC4-5D6E-409C-BE32-E72D297353CC}">
                  <c16:uniqueId val="{0000001E-8F36-4731-95A6-3A829139B379}"/>
                </c:ext>
              </c:extLst>
            </c:dLbl>
            <c:dLbl>
              <c:idx val="27"/>
              <c:delete val="1"/>
              <c:extLst>
                <c:ext xmlns:c15="http://schemas.microsoft.com/office/drawing/2012/chart" uri="{CE6537A1-D6FC-4f65-9D91-7224C49458BB}"/>
                <c:ext xmlns:c16="http://schemas.microsoft.com/office/drawing/2014/chart" uri="{C3380CC4-5D6E-409C-BE32-E72D297353CC}">
                  <c16:uniqueId val="{0000001F-8F36-4731-95A6-3A829139B379}"/>
                </c:ext>
              </c:extLst>
            </c:dLbl>
            <c:dLbl>
              <c:idx val="28"/>
              <c:layout>
                <c:manualLayout>
                  <c:x val="-6.522717049032839E-2"/>
                  <c:y val="-3.7037037037037035E-2"/>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8F36-4731-95A6-3A829139B379}"/>
                </c:ext>
              </c:extLst>
            </c:dLbl>
            <c:dLbl>
              <c:idx val="29"/>
              <c:delete val="1"/>
              <c:extLst>
                <c:ext xmlns:c15="http://schemas.microsoft.com/office/drawing/2012/chart" uri="{CE6537A1-D6FC-4f65-9D91-7224C49458BB}"/>
                <c:ext xmlns:c16="http://schemas.microsoft.com/office/drawing/2014/chart" uri="{C3380CC4-5D6E-409C-BE32-E72D297353CC}">
                  <c16:uniqueId val="{00000021-8F36-4731-95A6-3A829139B379}"/>
                </c:ext>
              </c:extLst>
            </c:dLbl>
            <c:dLbl>
              <c:idx val="30"/>
              <c:delete val="1"/>
              <c:extLst>
                <c:ext xmlns:c15="http://schemas.microsoft.com/office/drawing/2012/chart" uri="{CE6537A1-D6FC-4f65-9D91-7224C49458BB}"/>
                <c:ext xmlns:c16="http://schemas.microsoft.com/office/drawing/2014/chart" uri="{C3380CC4-5D6E-409C-BE32-E72D297353CC}">
                  <c16:uniqueId val="{00000022-8F36-4731-95A6-3A829139B379}"/>
                </c:ext>
              </c:extLst>
            </c:dLbl>
            <c:dLbl>
              <c:idx val="31"/>
              <c:delete val="1"/>
              <c:extLst>
                <c:ext xmlns:c15="http://schemas.microsoft.com/office/drawing/2012/chart" uri="{CE6537A1-D6FC-4f65-9D91-7224C49458BB}"/>
                <c:ext xmlns:c16="http://schemas.microsoft.com/office/drawing/2014/chart" uri="{C3380CC4-5D6E-409C-BE32-E72D297353CC}">
                  <c16:uniqueId val="{00000023-8F36-4731-95A6-3A829139B379}"/>
                </c:ext>
              </c:extLst>
            </c:dLbl>
            <c:dLbl>
              <c:idx val="32"/>
              <c:delete val="1"/>
              <c:extLst>
                <c:ext xmlns:c15="http://schemas.microsoft.com/office/drawing/2012/chart" uri="{CE6537A1-D6FC-4f65-9D91-7224C49458BB}"/>
                <c:ext xmlns:c16="http://schemas.microsoft.com/office/drawing/2014/chart" uri="{C3380CC4-5D6E-409C-BE32-E72D297353CC}">
                  <c16:uniqueId val="{00000024-8F36-4731-95A6-3A829139B379}"/>
                </c:ext>
              </c:extLst>
            </c:dLbl>
            <c:dLbl>
              <c:idx val="33"/>
              <c:delete val="1"/>
              <c:extLst>
                <c:ext xmlns:c15="http://schemas.microsoft.com/office/drawing/2012/chart" uri="{CE6537A1-D6FC-4f65-9D91-7224C49458BB}"/>
                <c:ext xmlns:c16="http://schemas.microsoft.com/office/drawing/2014/chart" uri="{C3380CC4-5D6E-409C-BE32-E72D297353CC}">
                  <c16:uniqueId val="{00000025-8F36-4731-95A6-3A829139B379}"/>
                </c:ext>
              </c:extLst>
            </c:dLbl>
            <c:dLbl>
              <c:idx val="34"/>
              <c:delete val="1"/>
              <c:extLst>
                <c:ext xmlns:c15="http://schemas.microsoft.com/office/drawing/2012/chart" uri="{CE6537A1-D6FC-4f65-9D91-7224C49458BB}"/>
                <c:ext xmlns:c16="http://schemas.microsoft.com/office/drawing/2014/chart" uri="{C3380CC4-5D6E-409C-BE32-E72D297353CC}">
                  <c16:uniqueId val="{00000026-8F36-4731-95A6-3A829139B379}"/>
                </c:ext>
              </c:extLst>
            </c:dLbl>
            <c:dLbl>
              <c:idx val="35"/>
              <c:delete val="1"/>
              <c:extLst>
                <c:ext xmlns:c15="http://schemas.microsoft.com/office/drawing/2012/chart" uri="{CE6537A1-D6FC-4f65-9D91-7224C49458BB}"/>
                <c:ext xmlns:c16="http://schemas.microsoft.com/office/drawing/2014/chart" uri="{C3380CC4-5D6E-409C-BE32-E72D297353CC}">
                  <c16:uniqueId val="{00000027-8F36-4731-95A6-3A829139B379}"/>
                </c:ext>
              </c:extLst>
            </c:dLbl>
            <c:dLbl>
              <c:idx val="36"/>
              <c:delete val="1"/>
              <c:extLst>
                <c:ext xmlns:c15="http://schemas.microsoft.com/office/drawing/2012/chart" uri="{CE6537A1-D6FC-4f65-9D91-7224C49458BB}"/>
                <c:ext xmlns:c16="http://schemas.microsoft.com/office/drawing/2014/chart" uri="{C3380CC4-5D6E-409C-BE32-E72D297353CC}">
                  <c16:uniqueId val="{00000028-8F36-4731-95A6-3A829139B379}"/>
                </c:ext>
              </c:extLst>
            </c:dLbl>
            <c:dLbl>
              <c:idx val="37"/>
              <c:delete val="1"/>
              <c:extLst>
                <c:ext xmlns:c15="http://schemas.microsoft.com/office/drawing/2012/chart" uri="{CE6537A1-D6FC-4f65-9D91-7224C49458BB}"/>
                <c:ext xmlns:c16="http://schemas.microsoft.com/office/drawing/2014/chart" uri="{C3380CC4-5D6E-409C-BE32-E72D297353CC}">
                  <c16:uniqueId val="{00000029-8F36-4731-95A6-3A829139B379}"/>
                </c:ext>
              </c:extLst>
            </c:dLbl>
            <c:dLbl>
              <c:idx val="38"/>
              <c:layout>
                <c:manualLayout>
                  <c:x val="-6.9725596041385604E-2"/>
                  <c:y val="-4.1666666666666664E-2"/>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8F36-4731-95A6-3A829139B379}"/>
                </c:ext>
              </c:extLst>
            </c:dLbl>
            <c:dLbl>
              <c:idx val="39"/>
              <c:delete val="1"/>
              <c:extLst>
                <c:ext xmlns:c15="http://schemas.microsoft.com/office/drawing/2012/chart" uri="{CE6537A1-D6FC-4f65-9D91-7224C49458BB}"/>
                <c:ext xmlns:c16="http://schemas.microsoft.com/office/drawing/2014/chart" uri="{C3380CC4-5D6E-409C-BE32-E72D297353CC}">
                  <c16:uniqueId val="{0000002B-8F36-4731-95A6-3A829139B379}"/>
                </c:ext>
              </c:extLst>
            </c:dLbl>
            <c:dLbl>
              <c:idx val="40"/>
              <c:delete val="1"/>
              <c:extLst>
                <c:ext xmlns:c15="http://schemas.microsoft.com/office/drawing/2012/chart" uri="{CE6537A1-D6FC-4f65-9D91-7224C49458BB}"/>
                <c:ext xmlns:c16="http://schemas.microsoft.com/office/drawing/2014/chart" uri="{C3380CC4-5D6E-409C-BE32-E72D297353CC}">
                  <c16:uniqueId val="{0000002C-8F36-4731-95A6-3A829139B379}"/>
                </c:ext>
              </c:extLst>
            </c:dLbl>
            <c:dLbl>
              <c:idx val="41"/>
              <c:delete val="1"/>
              <c:extLst>
                <c:ext xmlns:c15="http://schemas.microsoft.com/office/drawing/2012/chart" uri="{CE6537A1-D6FC-4f65-9D91-7224C49458BB}"/>
                <c:ext xmlns:c16="http://schemas.microsoft.com/office/drawing/2014/chart" uri="{C3380CC4-5D6E-409C-BE32-E72D297353CC}">
                  <c16:uniqueId val="{0000002D-8F36-4731-95A6-3A829139B379}"/>
                </c:ext>
              </c:extLst>
            </c:dLbl>
            <c:dLbl>
              <c:idx val="42"/>
              <c:delete val="1"/>
              <c:extLst>
                <c:ext xmlns:c15="http://schemas.microsoft.com/office/drawing/2012/chart" uri="{CE6537A1-D6FC-4f65-9D91-7224C49458BB}"/>
                <c:ext xmlns:c16="http://schemas.microsoft.com/office/drawing/2014/chart" uri="{C3380CC4-5D6E-409C-BE32-E72D297353CC}">
                  <c16:uniqueId val="{0000002E-8F36-4731-95A6-3A829139B379}"/>
                </c:ext>
              </c:extLst>
            </c:dLbl>
            <c:dLbl>
              <c:idx val="43"/>
              <c:delete val="1"/>
              <c:extLst>
                <c:ext xmlns:c15="http://schemas.microsoft.com/office/drawing/2012/chart" uri="{CE6537A1-D6FC-4f65-9D91-7224C49458BB}"/>
                <c:ext xmlns:c16="http://schemas.microsoft.com/office/drawing/2014/chart" uri="{C3380CC4-5D6E-409C-BE32-E72D297353CC}">
                  <c16:uniqueId val="{0000002F-8F36-4731-95A6-3A829139B379}"/>
                </c:ext>
              </c:extLst>
            </c:dLbl>
            <c:dLbl>
              <c:idx val="44"/>
              <c:delete val="1"/>
              <c:extLst>
                <c:ext xmlns:c15="http://schemas.microsoft.com/office/drawing/2012/chart" uri="{CE6537A1-D6FC-4f65-9D91-7224C49458BB}"/>
                <c:ext xmlns:c16="http://schemas.microsoft.com/office/drawing/2014/chart" uri="{C3380CC4-5D6E-409C-BE32-E72D297353CC}">
                  <c16:uniqueId val="{00000030-8F36-4731-95A6-3A829139B379}"/>
                </c:ext>
              </c:extLst>
            </c:dLbl>
            <c:dLbl>
              <c:idx val="45"/>
              <c:delete val="1"/>
              <c:extLst>
                <c:ext xmlns:c15="http://schemas.microsoft.com/office/drawing/2012/chart" uri="{CE6537A1-D6FC-4f65-9D91-7224C49458BB}"/>
                <c:ext xmlns:c16="http://schemas.microsoft.com/office/drawing/2014/chart" uri="{C3380CC4-5D6E-409C-BE32-E72D297353CC}">
                  <c16:uniqueId val="{00000031-8F36-4731-95A6-3A829139B379}"/>
                </c:ext>
              </c:extLst>
            </c:dLbl>
            <c:dLbl>
              <c:idx val="46"/>
              <c:delete val="1"/>
              <c:extLst>
                <c:ext xmlns:c15="http://schemas.microsoft.com/office/drawing/2012/chart" uri="{CE6537A1-D6FC-4f65-9D91-7224C49458BB}"/>
                <c:ext xmlns:c16="http://schemas.microsoft.com/office/drawing/2014/chart" uri="{C3380CC4-5D6E-409C-BE32-E72D297353CC}">
                  <c16:uniqueId val="{00000032-8F36-4731-95A6-3A829139B379}"/>
                </c:ext>
              </c:extLst>
            </c:dLbl>
            <c:dLbl>
              <c:idx val="47"/>
              <c:delete val="1"/>
              <c:extLst>
                <c:ext xmlns:c15="http://schemas.microsoft.com/office/drawing/2012/chart" uri="{CE6537A1-D6FC-4f65-9D91-7224C49458BB}"/>
                <c:ext xmlns:c16="http://schemas.microsoft.com/office/drawing/2014/chart" uri="{C3380CC4-5D6E-409C-BE32-E72D297353CC}">
                  <c16:uniqueId val="{00000033-8F36-4731-95A6-3A829139B379}"/>
                </c:ext>
              </c:extLst>
            </c:dLbl>
            <c:dLbl>
              <c:idx val="48"/>
              <c:delete val="1"/>
              <c:extLst>
                <c:ext xmlns:c15="http://schemas.microsoft.com/office/drawing/2012/chart" uri="{CE6537A1-D6FC-4f65-9D91-7224C49458BB}"/>
                <c:ext xmlns:c16="http://schemas.microsoft.com/office/drawing/2014/chart" uri="{C3380CC4-5D6E-409C-BE32-E72D297353CC}">
                  <c16:uniqueId val="{00000034-8F36-4731-95A6-3A829139B379}"/>
                </c:ext>
              </c:extLst>
            </c:dLbl>
            <c:dLbl>
              <c:idx val="49"/>
              <c:delete val="1"/>
              <c:extLst>
                <c:ext xmlns:c15="http://schemas.microsoft.com/office/drawing/2012/chart" uri="{CE6537A1-D6FC-4f65-9D91-7224C49458BB}"/>
                <c:ext xmlns:c16="http://schemas.microsoft.com/office/drawing/2014/chart" uri="{C3380CC4-5D6E-409C-BE32-E72D297353CC}">
                  <c16:uniqueId val="{00000035-8F36-4731-95A6-3A829139B379}"/>
                </c:ext>
              </c:extLst>
            </c:dLbl>
            <c:dLbl>
              <c:idx val="50"/>
              <c:layout>
                <c:manualLayout>
                  <c:x val="-4.048582995951417E-2"/>
                  <c:y val="-5.5555555555555552E-2"/>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8F36-4731-95A6-3A829139B379}"/>
                </c:ext>
              </c:extLst>
            </c:dLbl>
            <c:dLbl>
              <c:idx val="51"/>
              <c:delete val="1"/>
              <c:extLst>
                <c:ext xmlns:c15="http://schemas.microsoft.com/office/drawing/2012/chart" uri="{CE6537A1-D6FC-4f65-9D91-7224C49458BB}"/>
                <c:ext xmlns:c16="http://schemas.microsoft.com/office/drawing/2014/chart" uri="{C3380CC4-5D6E-409C-BE32-E72D297353CC}">
                  <c16:uniqueId val="{00000037-8F36-4731-95A6-3A829139B379}"/>
                </c:ext>
              </c:extLst>
            </c:dLbl>
            <c:dLbl>
              <c:idx val="52"/>
              <c:delete val="1"/>
              <c:extLst>
                <c:ext xmlns:c15="http://schemas.microsoft.com/office/drawing/2012/chart" uri="{CE6537A1-D6FC-4f65-9D91-7224C49458BB}"/>
                <c:ext xmlns:c16="http://schemas.microsoft.com/office/drawing/2014/chart" uri="{C3380CC4-5D6E-409C-BE32-E72D297353CC}">
                  <c16:uniqueId val="{00000038-8F36-4731-95A6-3A829139B379}"/>
                </c:ext>
              </c:extLst>
            </c:dLbl>
            <c:dLbl>
              <c:idx val="53"/>
              <c:delete val="1"/>
              <c:extLst>
                <c:ext xmlns:c15="http://schemas.microsoft.com/office/drawing/2012/chart" uri="{CE6537A1-D6FC-4f65-9D91-7224C49458BB}"/>
                <c:ext xmlns:c16="http://schemas.microsoft.com/office/drawing/2014/chart" uri="{C3380CC4-5D6E-409C-BE32-E72D297353CC}">
                  <c16:uniqueId val="{00000039-8F36-4731-95A6-3A829139B379}"/>
                </c:ext>
              </c:extLst>
            </c:dLbl>
            <c:dLbl>
              <c:idx val="54"/>
              <c:delete val="1"/>
              <c:extLst>
                <c:ext xmlns:c15="http://schemas.microsoft.com/office/drawing/2012/chart" uri="{CE6537A1-D6FC-4f65-9D91-7224C49458BB}"/>
                <c:ext xmlns:c16="http://schemas.microsoft.com/office/drawing/2014/chart" uri="{C3380CC4-5D6E-409C-BE32-E72D297353CC}">
                  <c16:uniqueId val="{0000003A-8F36-4731-95A6-3A829139B379}"/>
                </c:ext>
              </c:extLst>
            </c:dLbl>
            <c:dLbl>
              <c:idx val="55"/>
              <c:delete val="1"/>
              <c:extLst>
                <c:ext xmlns:c15="http://schemas.microsoft.com/office/drawing/2012/chart" uri="{CE6537A1-D6FC-4f65-9D91-7224C49458BB}"/>
                <c:ext xmlns:c16="http://schemas.microsoft.com/office/drawing/2014/chart" uri="{C3380CC4-5D6E-409C-BE32-E72D297353CC}">
                  <c16:uniqueId val="{0000003B-8F36-4731-95A6-3A829139B379}"/>
                </c:ext>
              </c:extLst>
            </c:dLbl>
            <c:dLbl>
              <c:idx val="56"/>
              <c:delete val="1"/>
              <c:extLst>
                <c:ext xmlns:c15="http://schemas.microsoft.com/office/drawing/2012/chart" uri="{CE6537A1-D6FC-4f65-9D91-7224C49458BB}"/>
                <c:ext xmlns:c16="http://schemas.microsoft.com/office/drawing/2014/chart" uri="{C3380CC4-5D6E-409C-BE32-E72D297353CC}">
                  <c16:uniqueId val="{0000003C-8F36-4731-95A6-3A829139B379}"/>
                </c:ext>
              </c:extLst>
            </c:dLbl>
            <c:dLbl>
              <c:idx val="57"/>
              <c:delete val="1"/>
              <c:extLst>
                <c:ext xmlns:c15="http://schemas.microsoft.com/office/drawing/2012/chart" uri="{CE6537A1-D6FC-4f65-9D91-7224C49458BB}"/>
                <c:ext xmlns:c16="http://schemas.microsoft.com/office/drawing/2014/chart" uri="{C3380CC4-5D6E-409C-BE32-E72D297353CC}">
                  <c16:uniqueId val="{0000003D-8F36-4731-95A6-3A829139B379}"/>
                </c:ext>
              </c:extLst>
            </c:dLbl>
            <c:dLbl>
              <c:idx val="58"/>
              <c:delete val="1"/>
              <c:extLst>
                <c:ext xmlns:c15="http://schemas.microsoft.com/office/drawing/2012/chart" uri="{CE6537A1-D6FC-4f65-9D91-7224C49458BB}"/>
                <c:ext xmlns:c16="http://schemas.microsoft.com/office/drawing/2014/chart" uri="{C3380CC4-5D6E-409C-BE32-E72D297353CC}">
                  <c16:uniqueId val="{0000003E-8F36-4731-95A6-3A829139B379}"/>
                </c:ext>
              </c:extLst>
            </c:dLbl>
            <c:dLbl>
              <c:idx val="59"/>
              <c:delete val="1"/>
              <c:extLst>
                <c:ext xmlns:c15="http://schemas.microsoft.com/office/drawing/2012/chart" uri="{CE6537A1-D6FC-4f65-9D91-7224C49458BB}"/>
                <c:ext xmlns:c16="http://schemas.microsoft.com/office/drawing/2014/chart" uri="{C3380CC4-5D6E-409C-BE32-E72D297353CC}">
                  <c16:uniqueId val="{0000003F-8F36-4731-95A6-3A829139B3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Hoja5!$A$3:$A$62</c:f>
              <c:numCache>
                <c:formatCode>mmm\-yy</c:formatCode>
                <c:ptCount val="60"/>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pt idx="30">
                  <c:v>44378</c:v>
                </c:pt>
                <c:pt idx="31">
                  <c:v>44409</c:v>
                </c:pt>
                <c:pt idx="32">
                  <c:v>44440</c:v>
                </c:pt>
                <c:pt idx="33">
                  <c:v>44470</c:v>
                </c:pt>
                <c:pt idx="34">
                  <c:v>44501</c:v>
                </c:pt>
                <c:pt idx="35">
                  <c:v>44531</c:v>
                </c:pt>
                <c:pt idx="36">
                  <c:v>44562</c:v>
                </c:pt>
                <c:pt idx="37">
                  <c:v>44593</c:v>
                </c:pt>
                <c:pt idx="38">
                  <c:v>44621</c:v>
                </c:pt>
                <c:pt idx="39">
                  <c:v>44652</c:v>
                </c:pt>
                <c:pt idx="40">
                  <c:v>44682</c:v>
                </c:pt>
                <c:pt idx="41">
                  <c:v>44713</c:v>
                </c:pt>
                <c:pt idx="42">
                  <c:v>44743</c:v>
                </c:pt>
                <c:pt idx="43">
                  <c:v>44774</c:v>
                </c:pt>
                <c:pt idx="44">
                  <c:v>44805</c:v>
                </c:pt>
                <c:pt idx="45">
                  <c:v>44835</c:v>
                </c:pt>
                <c:pt idx="46">
                  <c:v>44866</c:v>
                </c:pt>
                <c:pt idx="47">
                  <c:v>44896</c:v>
                </c:pt>
                <c:pt idx="48">
                  <c:v>44927</c:v>
                </c:pt>
                <c:pt idx="49">
                  <c:v>44958</c:v>
                </c:pt>
                <c:pt idx="50">
                  <c:v>44986</c:v>
                </c:pt>
                <c:pt idx="51">
                  <c:v>45017</c:v>
                </c:pt>
                <c:pt idx="52">
                  <c:v>45047</c:v>
                </c:pt>
                <c:pt idx="53">
                  <c:v>45078</c:v>
                </c:pt>
                <c:pt idx="54">
                  <c:v>45108</c:v>
                </c:pt>
                <c:pt idx="55">
                  <c:v>45139</c:v>
                </c:pt>
                <c:pt idx="56">
                  <c:v>45170</c:v>
                </c:pt>
                <c:pt idx="57">
                  <c:v>45200</c:v>
                </c:pt>
                <c:pt idx="58">
                  <c:v>45231</c:v>
                </c:pt>
                <c:pt idx="59">
                  <c:v>45261</c:v>
                </c:pt>
              </c:numCache>
            </c:numRef>
          </c:cat>
          <c:val>
            <c:numRef>
              <c:f>Hoja5!$C$3:$C$62</c:f>
              <c:numCache>
                <c:formatCode>0.0</c:formatCode>
                <c:ptCount val="60"/>
                <c:pt idx="0">
                  <c:v>57.183333333333337</c:v>
                </c:pt>
                <c:pt idx="1">
                  <c:v>57.183333333333337</c:v>
                </c:pt>
                <c:pt idx="2">
                  <c:v>57.183333333333337</c:v>
                </c:pt>
                <c:pt idx="3">
                  <c:v>57.183333333333337</c:v>
                </c:pt>
                <c:pt idx="4">
                  <c:v>57.183333333333337</c:v>
                </c:pt>
                <c:pt idx="5">
                  <c:v>57.183333333333337</c:v>
                </c:pt>
                <c:pt idx="6">
                  <c:v>57.183333333333337</c:v>
                </c:pt>
                <c:pt idx="7">
                  <c:v>57.183333333333337</c:v>
                </c:pt>
                <c:pt idx="8">
                  <c:v>57.183333333333337</c:v>
                </c:pt>
                <c:pt idx="9">
                  <c:v>57.183333333333337</c:v>
                </c:pt>
                <c:pt idx="10">
                  <c:v>57.183333333333337</c:v>
                </c:pt>
                <c:pt idx="11">
                  <c:v>57.183333333333337</c:v>
                </c:pt>
                <c:pt idx="12">
                  <c:v>39.375000000000007</c:v>
                </c:pt>
                <c:pt idx="13">
                  <c:v>39.375000000000007</c:v>
                </c:pt>
                <c:pt idx="14">
                  <c:v>39.375000000000007</c:v>
                </c:pt>
                <c:pt idx="15">
                  <c:v>39.375000000000007</c:v>
                </c:pt>
                <c:pt idx="16">
                  <c:v>39.375000000000007</c:v>
                </c:pt>
                <c:pt idx="17">
                  <c:v>39.375000000000007</c:v>
                </c:pt>
                <c:pt idx="18">
                  <c:v>39.375000000000007</c:v>
                </c:pt>
                <c:pt idx="19">
                  <c:v>39.375000000000007</c:v>
                </c:pt>
                <c:pt idx="20">
                  <c:v>39.375000000000007</c:v>
                </c:pt>
                <c:pt idx="21">
                  <c:v>39.375000000000007</c:v>
                </c:pt>
                <c:pt idx="22">
                  <c:v>39.375000000000007</c:v>
                </c:pt>
                <c:pt idx="23">
                  <c:v>39.375000000000007</c:v>
                </c:pt>
                <c:pt idx="24">
                  <c:v>67.975000000000009</c:v>
                </c:pt>
                <c:pt idx="25">
                  <c:v>67.975000000000009</c:v>
                </c:pt>
                <c:pt idx="26">
                  <c:v>67.975000000000009</c:v>
                </c:pt>
                <c:pt idx="27">
                  <c:v>67.975000000000009</c:v>
                </c:pt>
                <c:pt idx="28">
                  <c:v>67.975000000000009</c:v>
                </c:pt>
                <c:pt idx="29">
                  <c:v>67.975000000000009</c:v>
                </c:pt>
                <c:pt idx="30">
                  <c:v>67.975000000000009</c:v>
                </c:pt>
                <c:pt idx="31">
                  <c:v>67.975000000000009</c:v>
                </c:pt>
                <c:pt idx="32">
                  <c:v>67.975000000000009</c:v>
                </c:pt>
                <c:pt idx="33">
                  <c:v>67.975000000000009</c:v>
                </c:pt>
                <c:pt idx="34">
                  <c:v>67.975000000000009</c:v>
                </c:pt>
                <c:pt idx="35">
                  <c:v>67.975000000000009</c:v>
                </c:pt>
                <c:pt idx="36">
                  <c:v>94.216666666666654</c:v>
                </c:pt>
                <c:pt idx="37">
                  <c:v>94.216666666666654</c:v>
                </c:pt>
                <c:pt idx="38">
                  <c:v>94.216666666666654</c:v>
                </c:pt>
                <c:pt idx="39">
                  <c:v>94.216666666666654</c:v>
                </c:pt>
                <c:pt idx="40">
                  <c:v>94.216666666666654</c:v>
                </c:pt>
                <c:pt idx="41">
                  <c:v>94.216666666666654</c:v>
                </c:pt>
                <c:pt idx="42">
                  <c:v>94.216666666666654</c:v>
                </c:pt>
                <c:pt idx="43">
                  <c:v>94.216666666666654</c:v>
                </c:pt>
                <c:pt idx="44">
                  <c:v>94.216666666666654</c:v>
                </c:pt>
                <c:pt idx="45">
                  <c:v>94.216666666666654</c:v>
                </c:pt>
                <c:pt idx="46">
                  <c:v>94.216666666666654</c:v>
                </c:pt>
                <c:pt idx="47">
                  <c:v>94.216666666666654</c:v>
                </c:pt>
                <c:pt idx="48">
                  <c:v>77.635833333333309</c:v>
                </c:pt>
                <c:pt idx="49">
                  <c:v>77.635833333333309</c:v>
                </c:pt>
                <c:pt idx="50">
                  <c:v>77.635833333333309</c:v>
                </c:pt>
                <c:pt idx="51">
                  <c:v>77.635833333333309</c:v>
                </c:pt>
                <c:pt idx="52">
                  <c:v>77.635833333333309</c:v>
                </c:pt>
                <c:pt idx="53">
                  <c:v>77.635833333333309</c:v>
                </c:pt>
                <c:pt idx="54">
                  <c:v>77.635833333333309</c:v>
                </c:pt>
                <c:pt idx="55">
                  <c:v>77.635833333333309</c:v>
                </c:pt>
                <c:pt idx="56">
                  <c:v>77.635833333333309</c:v>
                </c:pt>
                <c:pt idx="57">
                  <c:v>77.635833333333309</c:v>
                </c:pt>
                <c:pt idx="58">
                  <c:v>77.635833333333309</c:v>
                </c:pt>
                <c:pt idx="59">
                  <c:v>77.635833333333309</c:v>
                </c:pt>
              </c:numCache>
            </c:numRef>
          </c:val>
          <c:smooth val="0"/>
          <c:extLst>
            <c:ext xmlns:c16="http://schemas.microsoft.com/office/drawing/2014/chart" uri="{C3380CC4-5D6E-409C-BE32-E72D297353CC}">
              <c16:uniqueId val="{00000040-8F36-4731-95A6-3A829139B379}"/>
            </c:ext>
          </c:extLst>
        </c:ser>
        <c:dLbls>
          <c:showLegendKey val="0"/>
          <c:showVal val="0"/>
          <c:showCatName val="0"/>
          <c:showSerName val="0"/>
          <c:showPercent val="0"/>
          <c:showBubbleSize val="0"/>
        </c:dLbls>
        <c:marker val="1"/>
        <c:smooth val="0"/>
        <c:axId val="1252308623"/>
        <c:axId val="1252300719"/>
      </c:lineChart>
      <c:dateAx>
        <c:axId val="125230862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252300719"/>
        <c:crosses val="autoZero"/>
        <c:auto val="1"/>
        <c:lblOffset val="100"/>
        <c:baseTimeUnit val="months"/>
      </c:dateAx>
      <c:valAx>
        <c:axId val="12523007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2523086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456036745406818E-2"/>
          <c:y val="2.2043662961686354E-2"/>
          <c:w val="0.89436183351061171"/>
          <c:h val="0.85872968266686944"/>
        </c:manualLayout>
      </c:layout>
      <c:lineChart>
        <c:grouping val="standard"/>
        <c:varyColors val="0"/>
        <c:ser>
          <c:idx val="0"/>
          <c:order val="0"/>
          <c:spPr>
            <a:ln w="19050" cap="rnd">
              <a:solidFill>
                <a:schemeClr val="accent1"/>
              </a:solidFill>
              <a:round/>
            </a:ln>
            <a:effectLst>
              <a:outerShdw blurRad="50800" dist="38100" dir="2700000" algn="tl" rotWithShape="0">
                <a:prstClr val="black">
                  <a:alpha val="40000"/>
                </a:prstClr>
              </a:outerShdw>
            </a:effectLst>
          </c:spPr>
          <c:marker>
            <c:symbol val="circle"/>
            <c:size val="6"/>
            <c:spPr>
              <a:solidFill>
                <a:schemeClr val="accent1"/>
              </a:solidFill>
              <a:ln w="3175">
                <a:solidFill>
                  <a:schemeClr val="accent1"/>
                </a:solidFill>
              </a:ln>
              <a:effectLst>
                <a:outerShdw blurRad="50800" dist="38100" dir="2700000" algn="tl" rotWithShape="0">
                  <a:prstClr val="black">
                    <a:alpha val="40000"/>
                  </a:prstClr>
                </a:outerShdw>
              </a:effectLst>
            </c:spPr>
          </c:marker>
          <c:dLbls>
            <c:dLbl>
              <c:idx val="0"/>
              <c:layout>
                <c:manualLayout>
                  <c:x val="-6.5354687645005391E-2"/>
                  <c:y val="-9.47199893094303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BE0-4AE1-97EB-1F44B812A7A5}"/>
                </c:ext>
              </c:extLst>
            </c:dLbl>
            <c:dLbl>
              <c:idx val="1"/>
              <c:layout>
                <c:manualLayout>
                  <c:x val="-0.14812644113048878"/>
                  <c:y val="8.06860467506835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BE0-4AE1-97EB-1F44B812A7A5}"/>
                </c:ext>
              </c:extLst>
            </c:dLbl>
            <c:dLbl>
              <c:idx val="2"/>
              <c:layout>
                <c:manualLayout>
                  <c:x val="-5.5248392001770404E-2"/>
                  <c:y val="-0.12318671491128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BE0-4AE1-97EB-1F44B812A7A5}"/>
                </c:ext>
              </c:extLst>
            </c:dLbl>
            <c:dLbl>
              <c:idx val="3"/>
              <c:layout>
                <c:manualLayout>
                  <c:x val="-0.12486382878477452"/>
                  <c:y val="7.3324458789909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BE0-4AE1-97EB-1F44B812A7A5}"/>
                </c:ext>
              </c:extLst>
            </c:dLbl>
            <c:dLbl>
              <c:idx val="4"/>
              <c:layout>
                <c:manualLayout>
                  <c:x val="-8.5685424861330226E-2"/>
                  <c:y val="-8.15202195678542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BE0-4AE1-97EB-1F44B812A7A5}"/>
                </c:ext>
              </c:extLst>
            </c:dLbl>
            <c:dLbl>
              <c:idx val="5"/>
              <c:layout>
                <c:manualLayout>
                  <c:x val="-7.3108772781462147E-2"/>
                  <c:y val="7.98518739335128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BE0-4AE1-97EB-1F44B812A7A5}"/>
                </c:ext>
              </c:extLst>
            </c:dLbl>
            <c:dLbl>
              <c:idx val="6"/>
              <c:layout>
                <c:manualLayout>
                  <c:x val="-4.533091568449691E-2"/>
                  <c:y val="-8.4626652412573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BE0-4AE1-97EB-1F44B812A7A5}"/>
                </c:ext>
              </c:extLst>
            </c:dLbl>
            <c:dLbl>
              <c:idx val="8"/>
              <c:layout>
                <c:manualLayout>
                  <c:x val="-0.15775408513645683"/>
                  <c:y val="-6.52741514360313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BE0-4AE1-97EB-1F44B812A7A5}"/>
                </c:ext>
              </c:extLst>
            </c:dLbl>
            <c:dLbl>
              <c:idx val="9"/>
              <c:layout>
                <c:manualLayout>
                  <c:x val="-0.16330979933038733"/>
                  <c:y val="-1.874807261363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BE0-4AE1-97EB-1F44B812A7A5}"/>
                </c:ext>
              </c:extLst>
            </c:dLbl>
            <c:dLbl>
              <c:idx val="10"/>
              <c:layout>
                <c:manualLayout>
                  <c:x val="-3.6111111111111212E-2"/>
                  <c:y val="5.55555555555555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BE0-4AE1-97EB-1F44B812A7A5}"/>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'productividad iva'!$B$6:$B$16</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'productividad iva'!$H$6:$H$16</c:f>
              <c:numCache>
                <c:formatCode>0.0%</c:formatCode>
                <c:ptCount val="11"/>
                <c:pt idx="0">
                  <c:v>0.43777545071467439</c:v>
                </c:pt>
                <c:pt idx="1">
                  <c:v>0.4313203759816005</c:v>
                </c:pt>
                <c:pt idx="2">
                  <c:v>0.40739195009447637</c:v>
                </c:pt>
                <c:pt idx="3">
                  <c:v>0.40197818366389476</c:v>
                </c:pt>
                <c:pt idx="4">
                  <c:v>0.41447233096145653</c:v>
                </c:pt>
                <c:pt idx="5">
                  <c:v>0.41914732204611149</c:v>
                </c:pt>
                <c:pt idx="6">
                  <c:v>0.41977315539428361</c:v>
                </c:pt>
                <c:pt idx="7">
                  <c:v>0.399380592136232</c:v>
                </c:pt>
                <c:pt idx="8">
                  <c:v>0.46307888828741223</c:v>
                </c:pt>
                <c:pt idx="9">
                  <c:v>0.49137104828965339</c:v>
                </c:pt>
                <c:pt idx="10">
                  <c:v>0.4772138760365594</c:v>
                </c:pt>
              </c:numCache>
            </c:numRef>
          </c:val>
          <c:smooth val="1"/>
          <c:extLst>
            <c:ext xmlns:c16="http://schemas.microsoft.com/office/drawing/2014/chart" uri="{C3380CC4-5D6E-409C-BE32-E72D297353CC}">
              <c16:uniqueId val="{0000000A-8BE0-4AE1-97EB-1F44B812A7A5}"/>
            </c:ext>
          </c:extLst>
        </c:ser>
        <c:dLbls>
          <c:showLegendKey val="0"/>
          <c:showVal val="0"/>
          <c:showCatName val="0"/>
          <c:showSerName val="0"/>
          <c:showPercent val="0"/>
          <c:showBubbleSize val="0"/>
        </c:dLbls>
        <c:marker val="1"/>
        <c:smooth val="0"/>
        <c:axId val="491599791"/>
        <c:axId val="491600207"/>
      </c:lineChart>
      <c:catAx>
        <c:axId val="4915997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491600207"/>
        <c:crosses val="autoZero"/>
        <c:auto val="1"/>
        <c:lblAlgn val="ctr"/>
        <c:lblOffset val="100"/>
        <c:noMultiLvlLbl val="0"/>
      </c:catAx>
      <c:valAx>
        <c:axId val="491600207"/>
        <c:scaling>
          <c:orientation val="minMax"/>
          <c:max val="0.5"/>
          <c:min val="0.3700000000000000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4915997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921892742130643E-2"/>
          <c:y val="2.389082141072477E-2"/>
          <c:w val="0.88154985945905695"/>
          <c:h val="0.83211802776039323"/>
        </c:manualLayout>
      </c:layout>
      <c:lineChart>
        <c:grouping val="standard"/>
        <c:varyColors val="0"/>
        <c:ser>
          <c:idx val="0"/>
          <c:order val="0"/>
          <c:tx>
            <c:v>IVA importaciones</c:v>
          </c:tx>
          <c:spPr>
            <a:ln w="12700" cap="rnd">
              <a:solidFill>
                <a:srgbClr val="FF0000"/>
              </a:solidFill>
              <a:round/>
            </a:ln>
            <a:effectLst>
              <a:outerShdw blurRad="50800" dist="38100" dir="2700000" algn="tl" rotWithShape="0">
                <a:prstClr val="black">
                  <a:alpha val="40000"/>
                </a:prstClr>
              </a:outerShdw>
            </a:effectLst>
          </c:spPr>
          <c:marker>
            <c:symbol val="circle"/>
            <c:size val="5"/>
            <c:spPr>
              <a:solidFill>
                <a:schemeClr val="accent1"/>
              </a:solidFill>
              <a:ln w="9525">
                <a:solidFill>
                  <a:srgbClr val="FF0000"/>
                </a:solidFill>
              </a:ln>
              <a:effectLst>
                <a:outerShdw blurRad="50800" dist="38100" dir="2700000" algn="tl" rotWithShape="0">
                  <a:prstClr val="black">
                    <a:alpha val="40000"/>
                  </a:prstClr>
                </a:outerShdw>
              </a:effectLst>
            </c:spPr>
          </c:marker>
          <c:dLbls>
            <c:dLbl>
              <c:idx val="0"/>
              <c:layout>
                <c:manualLayout>
                  <c:x val="-4.4444444444444446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FB9-436A-9D0F-A56B11132A3C}"/>
                </c:ext>
              </c:extLst>
            </c:dLbl>
            <c:dLbl>
              <c:idx val="1"/>
              <c:layout>
                <c:manualLayout>
                  <c:x val="-4.1666666666666664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B9-436A-9D0F-A56B11132A3C}"/>
                </c:ext>
              </c:extLst>
            </c:dLbl>
            <c:dLbl>
              <c:idx val="2"/>
              <c:layout>
                <c:manualLayout>
                  <c:x val="-3.6111111111111108E-2"/>
                  <c:y val="-8.7962962962962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B9-436A-9D0F-A56B11132A3C}"/>
                </c:ext>
              </c:extLst>
            </c:dLbl>
            <c:dLbl>
              <c:idx val="3"/>
              <c:layout>
                <c:manualLayout>
                  <c:x val="-4.7222222222222276E-2"/>
                  <c:y val="-6.94444444444445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B9-436A-9D0F-A56B11132A3C}"/>
                </c:ext>
              </c:extLst>
            </c:dLbl>
            <c:dLbl>
              <c:idx val="5"/>
              <c:layout>
                <c:manualLayout>
                  <c:x val="-4.1666666666666664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FB9-436A-9D0F-A56B11132A3C}"/>
                </c:ext>
              </c:extLst>
            </c:dLbl>
            <c:dLbl>
              <c:idx val="6"/>
              <c:layout>
                <c:manualLayout>
                  <c:x val="-4.1666666666666768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FB9-436A-9D0F-A56B11132A3C}"/>
                </c:ext>
              </c:extLst>
            </c:dLbl>
            <c:dLbl>
              <c:idx val="7"/>
              <c:layout>
                <c:manualLayout>
                  <c:x val="-3.3333333333333437E-2"/>
                  <c:y val="7.40740740740741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FB9-436A-9D0F-A56B11132A3C}"/>
                </c:ext>
              </c:extLst>
            </c:dLbl>
            <c:dLbl>
              <c:idx val="8"/>
              <c:layout>
                <c:manualLayout>
                  <c:x val="-9.4444444444444442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FB9-436A-9D0F-A56B11132A3C}"/>
                </c:ext>
              </c:extLst>
            </c:dLbl>
            <c:dLbl>
              <c:idx val="9"/>
              <c:layout>
                <c:manualLayout>
                  <c:x val="-8.8888888888888989E-2"/>
                  <c:y val="-4.62962962962963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FB9-436A-9D0F-A56B11132A3C}"/>
                </c:ext>
              </c:extLst>
            </c:dLbl>
            <c:dLbl>
              <c:idx val="10"/>
              <c:layout>
                <c:manualLayout>
                  <c:x val="-1.6666666666666666E-2"/>
                  <c:y val="-8.3333333333333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FB9-436A-9D0F-A56B11132A3C}"/>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'productividad iva'!$B$6:$B$16</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'productividad iva'!$K$6:$K$16</c:f>
              <c:numCache>
                <c:formatCode>0.0%</c:formatCode>
                <c:ptCount val="11"/>
                <c:pt idx="0">
                  <c:v>0.2523211082100657</c:v>
                </c:pt>
                <c:pt idx="1">
                  <c:v>0.24326532627350883</c:v>
                </c:pt>
                <c:pt idx="2">
                  <c:v>0.22021545590706965</c:v>
                </c:pt>
                <c:pt idx="3">
                  <c:v>0.20428978508939155</c:v>
                </c:pt>
                <c:pt idx="4">
                  <c:v>0.2091774964658735</c:v>
                </c:pt>
                <c:pt idx="5">
                  <c:v>0.21868473161087248</c:v>
                </c:pt>
                <c:pt idx="6">
                  <c:v>0.21478090779342607</c:v>
                </c:pt>
                <c:pt idx="7">
                  <c:v>0.19563637304058618</c:v>
                </c:pt>
                <c:pt idx="8">
                  <c:v>0.25334650681254961</c:v>
                </c:pt>
                <c:pt idx="9">
                  <c:v>0.27917603073782832</c:v>
                </c:pt>
                <c:pt idx="10">
                  <c:v>0.2543723397361341</c:v>
                </c:pt>
              </c:numCache>
            </c:numRef>
          </c:val>
          <c:smooth val="1"/>
          <c:extLst>
            <c:ext xmlns:c16="http://schemas.microsoft.com/office/drawing/2014/chart" uri="{C3380CC4-5D6E-409C-BE32-E72D297353CC}">
              <c16:uniqueId val="{0000000A-0FB9-436A-9D0F-A56B11132A3C}"/>
            </c:ext>
          </c:extLst>
        </c:ser>
        <c:ser>
          <c:idx val="1"/>
          <c:order val="1"/>
          <c:tx>
            <c:v>IVA doméstico</c:v>
          </c:tx>
          <c:spPr>
            <a:ln w="12700" cap="rnd">
              <a:solidFill>
                <a:schemeClr val="accent6"/>
              </a:solidFill>
              <a:round/>
            </a:ln>
            <a:effectLst>
              <a:outerShdw blurRad="50800" dist="38100" dir="2700000" algn="tl" rotWithShape="0">
                <a:prstClr val="black">
                  <a:alpha val="40000"/>
                </a:prstClr>
              </a:outerShdw>
            </a:effectLst>
          </c:spPr>
          <c:marker>
            <c:symbol val="circle"/>
            <c:size val="5"/>
            <c:spPr>
              <a:solidFill>
                <a:schemeClr val="accent2"/>
              </a:solidFill>
              <a:ln w="9525">
                <a:solidFill>
                  <a:schemeClr val="accent6"/>
                </a:solidFill>
              </a:ln>
              <a:effectLst>
                <a:outerShdw blurRad="50800" dist="38100" dir="2700000" algn="tl" rotWithShape="0">
                  <a:prstClr val="black">
                    <a:alpha val="40000"/>
                  </a:prstClr>
                </a:outerShdw>
              </a:effectLst>
            </c:spPr>
          </c:marker>
          <c:dLbls>
            <c:dLbl>
              <c:idx val="0"/>
              <c:layout>
                <c:manualLayout>
                  <c:x val="-4.7222222222222207E-2"/>
                  <c:y val="-7.40740740740741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FB9-436A-9D0F-A56B11132A3C}"/>
                </c:ext>
              </c:extLst>
            </c:dLbl>
            <c:dLbl>
              <c:idx val="1"/>
              <c:layout>
                <c:manualLayout>
                  <c:x val="-5.8333333333333334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FB9-436A-9D0F-A56B11132A3C}"/>
                </c:ext>
              </c:extLst>
            </c:dLbl>
            <c:dLbl>
              <c:idx val="2"/>
              <c:layout>
                <c:manualLayout>
                  <c:x val="-5.8333333333333334E-2"/>
                  <c:y val="-7.407407407407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FB9-436A-9D0F-A56B11132A3C}"/>
                </c:ext>
              </c:extLst>
            </c:dLbl>
            <c:dLbl>
              <c:idx val="3"/>
              <c:layout>
                <c:manualLayout>
                  <c:x val="-4.4444444444444495E-2"/>
                  <c:y val="7.407407407407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FB9-436A-9D0F-A56B11132A3C}"/>
                </c:ext>
              </c:extLst>
            </c:dLbl>
            <c:dLbl>
              <c:idx val="4"/>
              <c:layout>
                <c:manualLayout>
                  <c:x val="-0.05"/>
                  <c:y val="6.0185185185185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FB9-436A-9D0F-A56B11132A3C}"/>
                </c:ext>
              </c:extLst>
            </c:dLbl>
            <c:dLbl>
              <c:idx val="5"/>
              <c:layout>
                <c:manualLayout>
                  <c:x val="-2.7777777777777776E-2"/>
                  <c:y val="6.0185185185185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FB9-436A-9D0F-A56B11132A3C}"/>
                </c:ext>
              </c:extLst>
            </c:dLbl>
            <c:dLbl>
              <c:idx val="6"/>
              <c:layout>
                <c:manualLayout>
                  <c:x val="1.6666666666666566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FB9-436A-9D0F-A56B11132A3C}"/>
                </c:ext>
              </c:extLst>
            </c:dLbl>
            <c:dLbl>
              <c:idx val="7"/>
              <c:layout>
                <c:manualLayout>
                  <c:x val="8.3333333333332309E-3"/>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FB9-436A-9D0F-A56B11132A3C}"/>
                </c:ext>
              </c:extLst>
            </c:dLbl>
            <c:dLbl>
              <c:idx val="8"/>
              <c:layout>
                <c:manualLayout>
                  <c:x val="-3.8888888888888994E-2"/>
                  <c:y val="-7.407407407407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FB9-436A-9D0F-A56B11132A3C}"/>
                </c:ext>
              </c:extLst>
            </c:dLbl>
            <c:dLbl>
              <c:idx val="9"/>
              <c:layout>
                <c:manualLayout>
                  <c:x val="-1.0185067526415994E-16"/>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FB9-436A-9D0F-A56B11132A3C}"/>
                </c:ext>
              </c:extLst>
            </c:dLbl>
            <c:dLbl>
              <c:idx val="10"/>
              <c:layout>
                <c:manualLayout>
                  <c:x val="-0.05"/>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FB9-436A-9D0F-A56B11132A3C}"/>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6"/>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'productividad iva'!$B$6:$B$16</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'productividad iva'!$M$6:$M$16</c:f>
              <c:numCache>
                <c:formatCode>0.0%</c:formatCode>
                <c:ptCount val="11"/>
                <c:pt idx="0">
                  <c:v>0.1854543425046086</c:v>
                </c:pt>
                <c:pt idx="1">
                  <c:v>0.18805504970809173</c:v>
                </c:pt>
                <c:pt idx="2">
                  <c:v>0.1871764941874067</c:v>
                </c:pt>
                <c:pt idx="3">
                  <c:v>0.19768839857450327</c:v>
                </c:pt>
                <c:pt idx="4">
                  <c:v>0.205294834495583</c:v>
                </c:pt>
                <c:pt idx="5">
                  <c:v>0.20046259043523901</c:v>
                </c:pt>
                <c:pt idx="6">
                  <c:v>0.20499224760085752</c:v>
                </c:pt>
                <c:pt idx="7">
                  <c:v>0.2037442190956458</c:v>
                </c:pt>
                <c:pt idx="8">
                  <c:v>0.20973238147486259</c:v>
                </c:pt>
                <c:pt idx="9">
                  <c:v>0.21219501755182499</c:v>
                </c:pt>
                <c:pt idx="10">
                  <c:v>0.2228415363004253</c:v>
                </c:pt>
              </c:numCache>
            </c:numRef>
          </c:val>
          <c:smooth val="1"/>
          <c:extLst>
            <c:ext xmlns:c16="http://schemas.microsoft.com/office/drawing/2014/chart" uri="{C3380CC4-5D6E-409C-BE32-E72D297353CC}">
              <c16:uniqueId val="{00000016-0FB9-436A-9D0F-A56B11132A3C}"/>
            </c:ext>
          </c:extLst>
        </c:ser>
        <c:dLbls>
          <c:showLegendKey val="0"/>
          <c:showVal val="0"/>
          <c:showCatName val="0"/>
          <c:showSerName val="0"/>
          <c:showPercent val="0"/>
          <c:showBubbleSize val="0"/>
        </c:dLbls>
        <c:marker val="1"/>
        <c:smooth val="0"/>
        <c:axId val="1252035679"/>
        <c:axId val="1252034847"/>
      </c:lineChart>
      <c:catAx>
        <c:axId val="12520356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252034847"/>
        <c:crosses val="autoZero"/>
        <c:auto val="1"/>
        <c:lblAlgn val="ctr"/>
        <c:lblOffset val="100"/>
        <c:noMultiLvlLbl val="0"/>
      </c:catAx>
      <c:valAx>
        <c:axId val="1252034847"/>
        <c:scaling>
          <c:orientation val="minMax"/>
          <c:max val="0.29000000000000004"/>
          <c:min val="0.17"/>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252035679"/>
        <c:crosses val="autoZero"/>
        <c:crossBetween val="between"/>
      </c:valAx>
      <c:spPr>
        <a:noFill/>
        <a:ln>
          <a:noFill/>
        </a:ln>
        <a:effectLst/>
      </c:spPr>
    </c:plotArea>
    <c:legend>
      <c:legendPos val="b"/>
      <c:layout>
        <c:manualLayout>
          <c:xMode val="edge"/>
          <c:yMode val="edge"/>
          <c:x val="4.9999813853055602E-2"/>
          <c:y val="0.94531658588887113"/>
          <c:w val="0.9"/>
          <c:h val="5.46834141111288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0065637857482358E-2"/>
          <c:y val="2.0876531573986806E-2"/>
          <c:w val="0.98993436214251762"/>
          <c:h val="0.72083682753604905"/>
        </c:manualLayout>
      </c:layout>
      <c:barChart>
        <c:barDir val="col"/>
        <c:grouping val="clustered"/>
        <c:varyColors val="0"/>
        <c:ser>
          <c:idx val="3"/>
          <c:order val="3"/>
          <c:tx>
            <c:strRef>
              <c:f>Sheet1!$E$1</c:f>
              <c:strCache>
                <c:ptCount val="1"/>
                <c:pt idx="0">
                  <c:v>2023</c:v>
                </c:pt>
              </c:strCache>
            </c:strRef>
          </c:tx>
          <c:spPr>
            <a:pattFill prst="trellis">
              <a:fgClr>
                <a:srgbClr val="5B9BD5">
                  <a:lumMod val="60000"/>
                  <a:lumOff val="40000"/>
                </a:srgbClr>
              </a:fgClr>
              <a:bgClr>
                <a:sysClr val="window" lastClr="FFFFFF"/>
              </a:bgClr>
            </a:pattFill>
            <a:ln>
              <a:solidFill>
                <a:srgbClr val="4472C4">
                  <a:lumMod val="50000"/>
                </a:srgbClr>
              </a:solidFill>
            </a:ln>
            <a:effectLst/>
          </c:spPr>
          <c:invertIfNegative val="0"/>
          <c:dLbls>
            <c:spPr>
              <a:solidFill>
                <a:srgbClr val="4472C4">
                  <a:lumMod val="20000"/>
                  <a:lumOff val="80000"/>
                </a:srgbClr>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Sheet1!$A$2:$A$13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Sheet1!$E$2:$E$13</c:f>
              <c:numCache>
                <c:formatCode>0.0</c:formatCode>
                <c:ptCount val="12"/>
                <c:pt idx="0">
                  <c:v>14.179398242629389</c:v>
                </c:pt>
                <c:pt idx="1">
                  <c:v>19.710467646443902</c:v>
                </c:pt>
                <c:pt idx="2">
                  <c:v>19.009083277235121</c:v>
                </c:pt>
                <c:pt idx="3">
                  <c:v>20.328418753988345</c:v>
                </c:pt>
                <c:pt idx="4">
                  <c:v>17.743751792713795</c:v>
                </c:pt>
                <c:pt idx="5">
                  <c:v>15.975526052248924</c:v>
                </c:pt>
                <c:pt idx="6">
                  <c:v>15.09945330925548</c:v>
                </c:pt>
                <c:pt idx="7">
                  <c:v>13.798477228023785</c:v>
                </c:pt>
                <c:pt idx="8">
                  <c:v>11.538666248168155</c:v>
                </c:pt>
                <c:pt idx="9">
                  <c:v>9.9274033193287039</c:v>
                </c:pt>
                <c:pt idx="10">
                  <c:v>8.7673175966021404</c:v>
                </c:pt>
                <c:pt idx="11">
                  <c:v>6.1746329663624522</c:v>
                </c:pt>
              </c:numCache>
            </c:numRef>
          </c:val>
          <c:extLst>
            <c:ext xmlns:c16="http://schemas.microsoft.com/office/drawing/2014/chart" uri="{C3380CC4-5D6E-409C-BE32-E72D297353CC}">
              <c16:uniqueId val="{00000000-E239-4358-AFF2-36F38BAEEBB0}"/>
            </c:ext>
          </c:extLst>
        </c:ser>
        <c:dLbls>
          <c:showLegendKey val="0"/>
          <c:showVal val="0"/>
          <c:showCatName val="0"/>
          <c:showSerName val="0"/>
          <c:showPercent val="0"/>
          <c:showBubbleSize val="0"/>
        </c:dLbls>
        <c:gapWidth val="61"/>
        <c:axId val="176204032"/>
        <c:axId val="203491200"/>
      </c:barChart>
      <c:lineChart>
        <c:grouping val="standard"/>
        <c:varyColors val="0"/>
        <c:ser>
          <c:idx val="0"/>
          <c:order val="0"/>
          <c:tx>
            <c:strRef>
              <c:f>Sheet1!$B$1</c:f>
              <c:strCache>
                <c:ptCount val="1"/>
                <c:pt idx="0">
                  <c:v>2020</c:v>
                </c:pt>
              </c:strCache>
            </c:strRef>
          </c:tx>
          <c:spPr>
            <a:ln w="28575" cap="rnd" cmpd="dbl" algn="ctr">
              <a:solidFill>
                <a:schemeClr val="accent6">
                  <a:shade val="95000"/>
                  <a:satMod val="105000"/>
                </a:schemeClr>
              </a:solidFill>
              <a:prstDash val="solid"/>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C5B2-43A4-AE61-80FCE3BF5683}"/>
                </c:ext>
              </c:extLst>
            </c:dLbl>
            <c:dLbl>
              <c:idx val="1"/>
              <c:delete val="1"/>
              <c:extLst>
                <c:ext xmlns:c15="http://schemas.microsoft.com/office/drawing/2012/chart" uri="{CE6537A1-D6FC-4f65-9D91-7224C49458BB}"/>
                <c:ext xmlns:c16="http://schemas.microsoft.com/office/drawing/2014/chart" uri="{C3380CC4-5D6E-409C-BE32-E72D297353CC}">
                  <c16:uniqueId val="{0000000C-C5B2-43A4-AE61-80FCE3BF5683}"/>
                </c:ext>
              </c:extLst>
            </c:dLbl>
            <c:dLbl>
              <c:idx val="2"/>
              <c:delete val="1"/>
              <c:extLst>
                <c:ext xmlns:c15="http://schemas.microsoft.com/office/drawing/2012/chart" uri="{CE6537A1-D6FC-4f65-9D91-7224C49458BB}"/>
                <c:ext xmlns:c16="http://schemas.microsoft.com/office/drawing/2014/chart" uri="{C3380CC4-5D6E-409C-BE32-E72D297353CC}">
                  <c16:uniqueId val="{0000000B-C5B2-43A4-AE61-80FCE3BF5683}"/>
                </c:ext>
              </c:extLst>
            </c:dLbl>
            <c:dLbl>
              <c:idx val="3"/>
              <c:delete val="1"/>
              <c:extLst>
                <c:ext xmlns:c15="http://schemas.microsoft.com/office/drawing/2012/chart" uri="{CE6537A1-D6FC-4f65-9D91-7224C49458BB}"/>
                <c:ext xmlns:c16="http://schemas.microsoft.com/office/drawing/2014/chart" uri="{C3380CC4-5D6E-409C-BE32-E72D297353CC}">
                  <c16:uniqueId val="{0000000A-C5B2-43A4-AE61-80FCE3BF5683}"/>
                </c:ext>
              </c:extLst>
            </c:dLbl>
            <c:dLbl>
              <c:idx val="4"/>
              <c:delete val="1"/>
              <c:extLst>
                <c:ext xmlns:c15="http://schemas.microsoft.com/office/drawing/2012/chart" uri="{CE6537A1-D6FC-4f65-9D91-7224C49458BB}"/>
                <c:ext xmlns:c16="http://schemas.microsoft.com/office/drawing/2014/chart" uri="{C3380CC4-5D6E-409C-BE32-E72D297353CC}">
                  <c16:uniqueId val="{00000009-C5B2-43A4-AE61-80FCE3BF5683}"/>
                </c:ext>
              </c:extLst>
            </c:dLbl>
            <c:dLbl>
              <c:idx val="5"/>
              <c:delete val="1"/>
              <c:extLst>
                <c:ext xmlns:c15="http://schemas.microsoft.com/office/drawing/2012/chart" uri="{CE6537A1-D6FC-4f65-9D91-7224C49458BB}"/>
                <c:ext xmlns:c16="http://schemas.microsoft.com/office/drawing/2014/chart" uri="{C3380CC4-5D6E-409C-BE32-E72D297353CC}">
                  <c16:uniqueId val="{00000008-C5B2-43A4-AE61-80FCE3BF5683}"/>
                </c:ext>
              </c:extLst>
            </c:dLbl>
            <c:dLbl>
              <c:idx val="6"/>
              <c:delete val="1"/>
              <c:extLst>
                <c:ext xmlns:c15="http://schemas.microsoft.com/office/drawing/2012/chart" uri="{CE6537A1-D6FC-4f65-9D91-7224C49458BB}"/>
                <c:ext xmlns:c16="http://schemas.microsoft.com/office/drawing/2014/chart" uri="{C3380CC4-5D6E-409C-BE32-E72D297353CC}">
                  <c16:uniqueId val="{00000007-C5B2-43A4-AE61-80FCE3BF5683}"/>
                </c:ext>
              </c:extLst>
            </c:dLbl>
            <c:dLbl>
              <c:idx val="7"/>
              <c:delete val="1"/>
              <c:extLst>
                <c:ext xmlns:c15="http://schemas.microsoft.com/office/drawing/2012/chart" uri="{CE6537A1-D6FC-4f65-9D91-7224C49458BB}"/>
                <c:ext xmlns:c16="http://schemas.microsoft.com/office/drawing/2014/chart" uri="{C3380CC4-5D6E-409C-BE32-E72D297353CC}">
                  <c16:uniqueId val="{00000006-C5B2-43A4-AE61-80FCE3BF5683}"/>
                </c:ext>
              </c:extLst>
            </c:dLbl>
            <c:dLbl>
              <c:idx val="8"/>
              <c:delete val="1"/>
              <c:extLst>
                <c:ext xmlns:c15="http://schemas.microsoft.com/office/drawing/2012/chart" uri="{CE6537A1-D6FC-4f65-9D91-7224C49458BB}"/>
                <c:ext xmlns:c16="http://schemas.microsoft.com/office/drawing/2014/chart" uri="{C3380CC4-5D6E-409C-BE32-E72D297353CC}">
                  <c16:uniqueId val="{00000005-C5B2-43A4-AE61-80FCE3BF5683}"/>
                </c:ext>
              </c:extLst>
            </c:dLbl>
            <c:dLbl>
              <c:idx val="9"/>
              <c:delete val="1"/>
              <c:extLst>
                <c:ext xmlns:c15="http://schemas.microsoft.com/office/drawing/2012/chart" uri="{CE6537A1-D6FC-4f65-9D91-7224C49458BB}"/>
                <c:ext xmlns:c16="http://schemas.microsoft.com/office/drawing/2014/chart" uri="{C3380CC4-5D6E-409C-BE32-E72D297353CC}">
                  <c16:uniqueId val="{00000004-C5B2-43A4-AE61-80FCE3BF5683}"/>
                </c:ext>
              </c:extLst>
            </c:dLbl>
            <c:dLbl>
              <c:idx val="10"/>
              <c:delete val="1"/>
              <c:extLst>
                <c:ext xmlns:c15="http://schemas.microsoft.com/office/drawing/2012/chart" uri="{CE6537A1-D6FC-4f65-9D91-7224C49458BB}"/>
                <c:ext xmlns:c16="http://schemas.microsoft.com/office/drawing/2014/chart" uri="{C3380CC4-5D6E-409C-BE32-E72D297353CC}">
                  <c16:uniqueId val="{00000003-C5B2-43A4-AE61-80FCE3BF5683}"/>
                </c:ext>
              </c:extLst>
            </c:dLbl>
            <c:dLbl>
              <c:idx val="11"/>
              <c:layout>
                <c:manualLayout>
                  <c:x val="-6.7911714770797962E-3"/>
                  <c:y val="4.60511167395808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EE7-4ABA-A7FF-D5D979EA8E2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Sheet1!$A$2:$A$13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Sheet1!$B$2:$B$13</c:f>
              <c:numCache>
                <c:formatCode>0.0</c:formatCode>
                <c:ptCount val="12"/>
                <c:pt idx="0">
                  <c:v>4.8191861258905817</c:v>
                </c:pt>
                <c:pt idx="1">
                  <c:v>9.5655130970186519E-2</c:v>
                </c:pt>
                <c:pt idx="2">
                  <c:v>2.3974325379896584</c:v>
                </c:pt>
                <c:pt idx="3">
                  <c:v>-1.9848700717106169</c:v>
                </c:pt>
                <c:pt idx="4">
                  <c:v>4.2224631181484256</c:v>
                </c:pt>
                <c:pt idx="5">
                  <c:v>9.0680434021580965</c:v>
                </c:pt>
                <c:pt idx="6">
                  <c:v>10.232293442045986</c:v>
                </c:pt>
                <c:pt idx="7">
                  <c:v>12.533229099769343</c:v>
                </c:pt>
                <c:pt idx="8">
                  <c:v>14.872198669992656</c:v>
                </c:pt>
                <c:pt idx="9">
                  <c:v>14.678379762438269</c:v>
                </c:pt>
                <c:pt idx="10">
                  <c:v>15.472802612662733</c:v>
                </c:pt>
                <c:pt idx="11">
                  <c:v>17.151091678742532</c:v>
                </c:pt>
              </c:numCache>
            </c:numRef>
          </c:val>
          <c:smooth val="1"/>
          <c:extLst>
            <c:ext xmlns:c16="http://schemas.microsoft.com/office/drawing/2014/chart" uri="{C3380CC4-5D6E-409C-BE32-E72D297353CC}">
              <c16:uniqueId val="{00000005-E239-4358-AFF2-36F38BAEEBB0}"/>
            </c:ext>
          </c:extLst>
        </c:ser>
        <c:ser>
          <c:idx val="1"/>
          <c:order val="1"/>
          <c:tx>
            <c:strRef>
              <c:f>Sheet1!$C$1</c:f>
              <c:strCache>
                <c:ptCount val="1"/>
                <c:pt idx="0">
                  <c:v>2021</c:v>
                </c:pt>
              </c:strCache>
            </c:strRef>
          </c:tx>
          <c:spPr>
            <a:ln w="28575" cap="rnd" cmpd="sng" algn="ctr">
              <a:solidFill>
                <a:srgbClr val="70AD47">
                  <a:lumMod val="75000"/>
                </a:srgbClr>
              </a:solidFill>
              <a:prstDash val="sysDash"/>
              <a:round/>
            </a:ln>
            <a:effectLst/>
          </c:spPr>
          <c:marker>
            <c:symbol val="none"/>
          </c:marker>
          <c:dLbls>
            <c:dLbl>
              <c:idx val="11"/>
              <c:layout>
                <c:manualLayout>
                  <c:x val="-1.5846066779853025E-2"/>
                  <c:y val="5.0656228413539027E-2"/>
                </c:manualLayout>
              </c:layout>
              <c:tx>
                <c:rich>
                  <a:bodyPr rot="0" spcFirstLastPara="1" vertOverflow="ellipsis" vert="horz" wrap="square" lIns="38100" tIns="19050" rIns="38100" bIns="19050" anchor="ctr" anchorCtr="1">
                    <a:spAutoFit/>
                  </a:bodyPr>
                  <a:lstStyle/>
                  <a:p>
                    <a:pPr>
                      <a:defRPr sz="1000" b="1" i="0" u="none" strike="noStrike" kern="1200" baseline="0">
                        <a:solidFill>
                          <a:srgbClr val="006600"/>
                        </a:solidFill>
                        <a:latin typeface="Times New Roman" panose="02020603050405020304" pitchFamily="18" charset="0"/>
                        <a:ea typeface="+mn-ea"/>
                        <a:cs typeface="Times New Roman" panose="02020603050405020304" pitchFamily="18" charset="0"/>
                      </a:defRPr>
                    </a:pPr>
                    <a:fld id="{F6C760D9-B4FC-4F96-AA47-72293E70EA0B}" type="VALUE">
                      <a:rPr lang="en-US" b="1">
                        <a:solidFill>
                          <a:srgbClr val="006600"/>
                        </a:solidFill>
                      </a:rPr>
                      <a:pPr>
                        <a:defRPr b="1">
                          <a:solidFill>
                            <a:srgbClr val="006600"/>
                          </a:solidFill>
                        </a:defRPr>
                      </a:pPr>
                      <a:t>[VALOR]</a:t>
                    </a:fld>
                    <a:endParaRPr lang="es-GT"/>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66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5B2-43A4-AE61-80FCE3BF568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Sheet1!$A$2:$A$13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Sheet1!$C$2:$C$13</c:f>
              <c:numCache>
                <c:formatCode>0.0</c:formatCode>
                <c:ptCount val="12"/>
                <c:pt idx="0">
                  <c:v>3.7189413058487304</c:v>
                </c:pt>
                <c:pt idx="1">
                  <c:v>6.1267370575853732</c:v>
                </c:pt>
                <c:pt idx="2">
                  <c:v>1.9518107242856928</c:v>
                </c:pt>
                <c:pt idx="3">
                  <c:v>11.31040113518587</c:v>
                </c:pt>
                <c:pt idx="4">
                  <c:v>6.3930371872600773</c:v>
                </c:pt>
                <c:pt idx="5">
                  <c:v>0.38854905082506264</c:v>
                </c:pt>
                <c:pt idx="6">
                  <c:v>1.4992457432228861</c:v>
                </c:pt>
                <c:pt idx="7">
                  <c:v>-1.4193223500163015</c:v>
                </c:pt>
                <c:pt idx="8">
                  <c:v>-4.3420352501965027</c:v>
                </c:pt>
                <c:pt idx="9">
                  <c:v>-5.6943807513343216</c:v>
                </c:pt>
                <c:pt idx="10">
                  <c:v>-3.3547814445017821</c:v>
                </c:pt>
                <c:pt idx="11">
                  <c:v>-3.7028426386675619</c:v>
                </c:pt>
              </c:numCache>
            </c:numRef>
          </c:val>
          <c:smooth val="1"/>
          <c:extLst>
            <c:ext xmlns:c16="http://schemas.microsoft.com/office/drawing/2014/chart" uri="{C3380CC4-5D6E-409C-BE32-E72D297353CC}">
              <c16:uniqueId val="{00000006-E239-4358-AFF2-36F38BAEEBB0}"/>
            </c:ext>
          </c:extLst>
        </c:ser>
        <c:ser>
          <c:idx val="2"/>
          <c:order val="2"/>
          <c:tx>
            <c:strRef>
              <c:f>Sheet1!$D$1</c:f>
              <c:strCache>
                <c:ptCount val="1"/>
                <c:pt idx="0">
                  <c:v>2022</c:v>
                </c:pt>
              </c:strCache>
            </c:strRef>
          </c:tx>
          <c:spPr>
            <a:ln w="12700" cap="rnd" cmpd="sng" algn="ctr">
              <a:solidFill>
                <a:srgbClr val="00B0F0"/>
              </a:solidFill>
              <a:prstDash val="sysDash"/>
              <a:round/>
            </a:ln>
            <a:effectLst/>
          </c:spPr>
          <c:marker>
            <c:symbol val="none"/>
          </c:marker>
          <c:dLbls>
            <c:dLbl>
              <c:idx val="11"/>
              <c:layout>
                <c:manualLayout>
                  <c:x val="-9.0548953027730621E-3"/>
                  <c:y val="-5.065622841353902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B0F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5B2-43A4-AE61-80FCE3BF568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Sheet1!$A$2:$A$13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Sheet1!$D$2:$D$13</c:f>
              <c:numCache>
                <c:formatCode>0.0</c:formatCode>
                <c:ptCount val="12"/>
                <c:pt idx="0">
                  <c:v>9.5136409548139795</c:v>
                </c:pt>
                <c:pt idx="1">
                  <c:v>17.328752165433642</c:v>
                </c:pt>
                <c:pt idx="2">
                  <c:v>19.685141533238919</c:v>
                </c:pt>
                <c:pt idx="3">
                  <c:v>12.472865890464078</c:v>
                </c:pt>
                <c:pt idx="4">
                  <c:v>14.566464186412389</c:v>
                </c:pt>
                <c:pt idx="5">
                  <c:v>15.508254865892113</c:v>
                </c:pt>
                <c:pt idx="6">
                  <c:v>14.817577312031858</c:v>
                </c:pt>
                <c:pt idx="7">
                  <c:v>15.640396419967857</c:v>
                </c:pt>
                <c:pt idx="8">
                  <c:v>17.259325689435741</c:v>
                </c:pt>
                <c:pt idx="9">
                  <c:v>19.909327117635243</c:v>
                </c:pt>
                <c:pt idx="10">
                  <c:v>17.878039287757062</c:v>
                </c:pt>
                <c:pt idx="11">
                  <c:v>17.379407268578433</c:v>
                </c:pt>
              </c:numCache>
            </c:numRef>
          </c:val>
          <c:smooth val="1"/>
          <c:extLst>
            <c:ext xmlns:c16="http://schemas.microsoft.com/office/drawing/2014/chart" uri="{C3380CC4-5D6E-409C-BE32-E72D297353CC}">
              <c16:uniqueId val="{00000008-E239-4358-AFF2-36F38BAEEBB0}"/>
            </c:ext>
          </c:extLst>
        </c:ser>
        <c:dLbls>
          <c:showLegendKey val="0"/>
          <c:showVal val="0"/>
          <c:showCatName val="0"/>
          <c:showSerName val="0"/>
          <c:showPercent val="0"/>
          <c:showBubbleSize val="0"/>
        </c:dLbls>
        <c:marker val="1"/>
        <c:smooth val="0"/>
        <c:axId val="176204032"/>
        <c:axId val="203491200"/>
      </c:lineChart>
      <c:catAx>
        <c:axId val="1762040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prstDash val="solid"/>
            <a:round/>
          </a:ln>
          <a:effectLst/>
        </c:spPr>
        <c:txPr>
          <a:bodyPr rot="-1920000" spcFirstLastPara="1" vertOverflow="ellipsis"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03491200"/>
        <c:crosses val="autoZero"/>
        <c:auto val="1"/>
        <c:lblAlgn val="ctr"/>
        <c:lblOffset val="100"/>
        <c:noMultiLvlLbl val="0"/>
      </c:catAx>
      <c:valAx>
        <c:axId val="203491200"/>
        <c:scaling>
          <c:orientation val="minMax"/>
        </c:scaling>
        <c:delete val="1"/>
        <c:axPos val="l"/>
        <c:numFmt formatCode="0.0" sourceLinked="1"/>
        <c:majorTickMark val="none"/>
        <c:minorTickMark val="none"/>
        <c:tickLblPos val="nextTo"/>
        <c:crossAx val="176204032"/>
        <c:crosses val="autoZero"/>
        <c:crossBetween val="between"/>
      </c:valAx>
      <c:spPr>
        <a:noFill/>
        <a:ln>
          <a:noFill/>
        </a:ln>
        <a:effectLst/>
      </c:spPr>
    </c:plotArea>
    <c:legend>
      <c:legendPos val="b"/>
      <c:layout>
        <c:manualLayout>
          <c:xMode val="edge"/>
          <c:yMode val="edge"/>
          <c:x val="0.22880579655896158"/>
          <c:y val="0.90675665982539722"/>
          <c:w val="0.5378607809847199"/>
          <c:h val="9.3243340174602771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2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cap="flat" cmpd="sng" algn="ctr">
        <a:solidFill>
          <a:schemeClr val="tx1">
            <a:lumMod val="65000"/>
            <a:lumOff val="35000"/>
          </a:schemeClr>
        </a:solidFill>
        <a:round/>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15875" cap="flat" cmpd="sng" algn="ctr">
        <a:solidFill>
          <a:schemeClr val="tx1">
            <a:lumMod val="65000"/>
            <a:lumOff val="3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iagrams/_rels/data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g"/></Relationships>
</file>

<file path=word/diagrams/_rels/data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g"/></Relationships>
</file>

<file path=word/diagrams/_rels/drawing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g"/></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BFF4CB-6D61-4903-AE35-5198C15679CD}" type="doc">
      <dgm:prSet loTypeId="urn:microsoft.com/office/officeart/2005/8/layout/bList2" loCatId="list" qsTypeId="urn:microsoft.com/office/officeart/2005/8/quickstyle/simple1" qsCatId="simple" csTypeId="urn:microsoft.com/office/officeart/2005/8/colors/accent1_4" csCatId="accent1" phldr="1"/>
      <dgm:spPr/>
      <dgm:t>
        <a:bodyPr/>
        <a:lstStyle/>
        <a:p>
          <a:endParaRPr lang="es-GT"/>
        </a:p>
      </dgm:t>
    </dgm:pt>
    <dgm:pt modelId="{B9CCAEE6-DBF1-4A58-8283-55F145B2D95D}">
      <dgm:prSet phldrT="[Texto]" custT="1"/>
      <dgm:spPr>
        <a:xfrm rot="5400000">
          <a:off x="-203711" y="502646"/>
          <a:ext cx="1358078" cy="950654"/>
        </a:xfrm>
        <a:solidFill>
          <a:srgbClr val="4472C4">
            <a:shade val="50000"/>
            <a:hueOff val="0"/>
            <a:satOff val="0"/>
            <a:lumOff val="0"/>
            <a:alphaOff val="0"/>
          </a:srgbClr>
        </a:solidFill>
        <a:ln w="12700" cap="flat" cmpd="sng" algn="ctr">
          <a:solidFill>
            <a:srgbClr val="5B9BD5">
              <a:lumMod val="50000"/>
            </a:srgbClr>
          </a:solidFill>
          <a:prstDash val="solid"/>
          <a:miter lim="800000"/>
        </a:ln>
        <a:effectLst/>
      </dgm:spPr>
      <dgm:t>
        <a:bodyPr/>
        <a:lstStyle/>
        <a:p>
          <a:pPr algn="ctr">
            <a:buNone/>
          </a:pPr>
          <a:r>
            <a:rPr lang="es-GT" sz="1100" b="1">
              <a:solidFill>
                <a:sysClr val="window" lastClr="FFFFFF"/>
              </a:solidFill>
              <a:latin typeface="Times New Roman" panose="02020603050405020304" pitchFamily="18" charset="0"/>
              <a:ea typeface="+mn-ea"/>
              <a:cs typeface="Times New Roman" panose="02020603050405020304" pitchFamily="18" charset="0"/>
            </a:rPr>
            <a:t>Gas Propano (Q150 millones)</a:t>
          </a:r>
        </a:p>
      </dgm:t>
    </dgm:pt>
    <dgm:pt modelId="{94BBAF7D-C258-49D8-A6F3-26F8D3D6C05F}" type="parTrans" cxnId="{E1BD933C-2747-4C2D-A9C9-3436D32C6BA7}">
      <dgm:prSet/>
      <dgm:spPr/>
      <dgm:t>
        <a:bodyPr/>
        <a:lstStyle/>
        <a:p>
          <a:endParaRPr lang="es-GT"/>
        </a:p>
      </dgm:t>
    </dgm:pt>
    <dgm:pt modelId="{B1F520B9-6E12-499B-8CFA-707BDE48DA93}" type="sibTrans" cxnId="{E1BD933C-2747-4C2D-A9C9-3436D32C6BA7}">
      <dgm:prSet/>
      <dgm:spPr/>
      <dgm:t>
        <a:bodyPr/>
        <a:lstStyle/>
        <a:p>
          <a:endParaRPr lang="es-GT"/>
        </a:p>
      </dgm:t>
    </dgm:pt>
    <dgm:pt modelId="{A49A0C08-792D-40F2-963C-0206C34A8748}">
      <dgm:prSet phldrT="[Texto]" custT="1"/>
      <dgm:spPr>
        <a:xfrm rot="5400000">
          <a:off x="2539546" y="-1527330"/>
          <a:ext cx="1357960" cy="4535745"/>
        </a:xfrm>
        <a:solidFill>
          <a:sysClr val="window" lastClr="FFFFFF">
            <a:alpha val="90000"/>
            <a:hueOff val="0"/>
            <a:satOff val="0"/>
            <a:lumOff val="0"/>
            <a:alphaOff val="0"/>
          </a:sysClr>
        </a:solidFill>
        <a:ln w="12700" cap="flat" cmpd="sng" algn="ctr">
          <a:solidFill>
            <a:srgbClr val="4472C4">
              <a:shade val="50000"/>
              <a:hueOff val="0"/>
              <a:satOff val="0"/>
              <a:lumOff val="0"/>
              <a:alphaOff val="0"/>
            </a:srgbClr>
          </a:solidFill>
          <a:prstDash val="solid"/>
          <a:miter lim="800000"/>
        </a:ln>
        <a:effectLst/>
      </dgm:spPr>
      <dgm:t>
        <a:bodyPr/>
        <a:lstStyle/>
        <a:p>
          <a:pPr algn="just">
            <a:buChar char="•"/>
          </a:pPr>
          <a:r>
            <a:rPr lang="es-G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En 2023 fue aprobado el decreto, Decreto Número 5-2023 “Ley de Apoyo Social Temporal a los Consumidores de Gas Propano” manteniendo las condiciones de apoyo de los decretos anteriores, con presupuesto de Q150 millones y el período de tres meses. </a:t>
          </a:r>
        </a:p>
      </dgm:t>
    </dgm:pt>
    <dgm:pt modelId="{4F8DFD97-C1DD-4D78-88C3-A949F82100AC}" type="parTrans" cxnId="{5D7D4542-1908-4FFC-9D66-0E5BE8AB3601}">
      <dgm:prSet/>
      <dgm:spPr/>
      <dgm:t>
        <a:bodyPr/>
        <a:lstStyle/>
        <a:p>
          <a:endParaRPr lang="es-GT"/>
        </a:p>
      </dgm:t>
    </dgm:pt>
    <dgm:pt modelId="{03A841B2-3F11-4DDF-BA04-D2B7282D325F}" type="sibTrans" cxnId="{5D7D4542-1908-4FFC-9D66-0E5BE8AB3601}">
      <dgm:prSet/>
      <dgm:spPr/>
      <dgm:t>
        <a:bodyPr/>
        <a:lstStyle/>
        <a:p>
          <a:endParaRPr lang="es-GT"/>
        </a:p>
      </dgm:t>
    </dgm:pt>
    <dgm:pt modelId="{03A56EA5-D4F8-4EC6-A14C-572AC494B0C9}">
      <dgm:prSet phldrT="[Texto]" custT="1"/>
      <dgm:spPr>
        <a:xfrm rot="5400000">
          <a:off x="-203711" y="3348110"/>
          <a:ext cx="1358078" cy="950654"/>
        </a:xfrm>
        <a:solidFill>
          <a:srgbClr val="5B9BD5">
            <a:lumMod val="50000"/>
          </a:srgbClr>
        </a:solidFill>
        <a:ln w="12700" cap="flat" cmpd="sng" algn="ctr">
          <a:solidFill>
            <a:srgbClr val="5B9BD5">
              <a:lumMod val="50000"/>
            </a:srgbClr>
          </a:solidFill>
          <a:prstDash val="solid"/>
          <a:miter lim="800000"/>
        </a:ln>
        <a:effectLst/>
      </dgm:spPr>
      <dgm:t>
        <a:bodyPr/>
        <a:lstStyle/>
        <a:p>
          <a:pPr algn="ctr">
            <a:buNone/>
          </a:pPr>
          <a:r>
            <a:rPr lang="es-GT" sz="1100" b="1">
              <a:solidFill>
                <a:sysClr val="window" lastClr="FFFFFF"/>
              </a:solidFill>
              <a:latin typeface="Times New Roman" panose="02020603050405020304" pitchFamily="18" charset="0"/>
              <a:ea typeface="+mn-ea"/>
              <a:cs typeface="Times New Roman" panose="02020603050405020304" pitchFamily="18" charset="0"/>
            </a:rPr>
            <a:t>Tarifa Social Energía Eléctrica (Q197 millones)</a:t>
          </a:r>
        </a:p>
      </dgm:t>
    </dgm:pt>
    <dgm:pt modelId="{9665ED9F-2288-437D-99A4-366F2D55DD0C}" type="parTrans" cxnId="{AAF1402A-1A0E-413B-8D3C-84C02E3A42B0}">
      <dgm:prSet/>
      <dgm:spPr/>
      <dgm:t>
        <a:bodyPr/>
        <a:lstStyle/>
        <a:p>
          <a:endParaRPr lang="es-GT"/>
        </a:p>
      </dgm:t>
    </dgm:pt>
    <dgm:pt modelId="{C468CF5B-0037-400D-9873-19ED91BD535B}" type="sibTrans" cxnId="{AAF1402A-1A0E-413B-8D3C-84C02E3A42B0}">
      <dgm:prSet/>
      <dgm:spPr/>
      <dgm:t>
        <a:bodyPr/>
        <a:lstStyle/>
        <a:p>
          <a:endParaRPr lang="es-GT"/>
        </a:p>
      </dgm:t>
    </dgm:pt>
    <dgm:pt modelId="{BD00F985-5BF1-406F-B8A6-E69E74DCC2D0}">
      <dgm:prSet phldrT="[Texto]" custT="1"/>
      <dgm:spPr>
        <a:xfrm rot="5400000">
          <a:off x="2566298" y="1317901"/>
          <a:ext cx="1304458" cy="4535745"/>
        </a:xfrm>
        <a:solidFill>
          <a:sysClr val="window" lastClr="FFFFFF">
            <a:alpha val="90000"/>
            <a:hueOff val="0"/>
            <a:satOff val="0"/>
            <a:lumOff val="0"/>
            <a:alphaOff val="0"/>
          </a:sysClr>
        </a:solidFill>
        <a:ln w="12700" cap="flat" cmpd="sng" algn="ctr">
          <a:solidFill>
            <a:srgbClr val="4472C4">
              <a:shade val="50000"/>
              <a:hueOff val="268329"/>
              <a:satOff val="-6535"/>
              <a:lumOff val="28597"/>
              <a:alphaOff val="0"/>
            </a:srgbClr>
          </a:solidFill>
          <a:prstDash val="solid"/>
          <a:miter lim="800000"/>
        </a:ln>
        <a:effectLst/>
      </dgm:spPr>
      <dgm:t>
        <a:bodyPr/>
        <a:lstStyle/>
        <a:p>
          <a:pPr algn="just">
            <a:buChar char="•"/>
          </a:pPr>
          <a:r>
            <a:rPr lang="es-G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Se aprobó el Decreto </a:t>
          </a:r>
          <a:r>
            <a:rPr lang="es-MX" sz="1000"/>
            <a:t>Número </a:t>
          </a:r>
          <a:r>
            <a:rPr lang="es-G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1-2023 Ley de Fortalecimiento al Aporte Social de la Tarifa Eléctrica, para cubrir a los consumidores de entre 89 kWh hasta 125 kWh al mes. </a:t>
          </a:r>
        </a:p>
      </dgm:t>
    </dgm:pt>
    <dgm:pt modelId="{3160FA2A-57C6-4076-BC39-3710EE8D9636}" type="parTrans" cxnId="{A0136895-5402-4FAC-9B7C-1836421F7442}">
      <dgm:prSet/>
      <dgm:spPr/>
      <dgm:t>
        <a:bodyPr/>
        <a:lstStyle/>
        <a:p>
          <a:endParaRPr lang="es-GT"/>
        </a:p>
      </dgm:t>
    </dgm:pt>
    <dgm:pt modelId="{E6C88FBB-B0B4-451D-8645-BE5DCF0E94A1}" type="sibTrans" cxnId="{A0136895-5402-4FAC-9B7C-1836421F7442}">
      <dgm:prSet/>
      <dgm:spPr/>
      <dgm:t>
        <a:bodyPr/>
        <a:lstStyle/>
        <a:p>
          <a:endParaRPr lang="es-GT"/>
        </a:p>
      </dgm:t>
    </dgm:pt>
    <dgm:pt modelId="{45CFA25F-971B-47DE-B908-8A1262EE1320}">
      <dgm:prSet phldrT="[Texto]" custT="1"/>
      <dgm:spPr>
        <a:xfrm rot="5400000">
          <a:off x="2539546" y="-1527330"/>
          <a:ext cx="1357960" cy="4535745"/>
        </a:xfrm>
        <a:solidFill>
          <a:sysClr val="window" lastClr="FFFFFF">
            <a:alpha val="90000"/>
            <a:hueOff val="0"/>
            <a:satOff val="0"/>
            <a:lumOff val="0"/>
            <a:alphaOff val="0"/>
          </a:sysClr>
        </a:solidFill>
        <a:ln w="12700" cap="flat" cmpd="sng" algn="ctr">
          <a:solidFill>
            <a:srgbClr val="4472C4">
              <a:shade val="50000"/>
              <a:hueOff val="0"/>
              <a:satOff val="0"/>
              <a:lumOff val="0"/>
              <a:alphaOff val="0"/>
            </a:srgbClr>
          </a:solidFill>
          <a:prstDash val="solid"/>
          <a:miter lim="800000"/>
        </a:ln>
        <a:effectLst/>
      </dgm:spPr>
      <dgm:t>
        <a:bodyPr/>
        <a:lstStyle/>
        <a:p>
          <a:pPr algn="just">
            <a:buChar char="•"/>
          </a:pPr>
          <a:r>
            <a:rPr lang="es-G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20 libras - Q16.00</a:t>
          </a:r>
        </a:p>
      </dgm:t>
    </dgm:pt>
    <dgm:pt modelId="{971B66EC-6520-467B-9A5F-612CBF104027}" type="sibTrans" cxnId="{15B7CFA5-32B6-4E47-8378-570EB2C152E0}">
      <dgm:prSet/>
      <dgm:spPr/>
      <dgm:t>
        <a:bodyPr/>
        <a:lstStyle/>
        <a:p>
          <a:endParaRPr lang="es-GT"/>
        </a:p>
      </dgm:t>
    </dgm:pt>
    <dgm:pt modelId="{748F79D9-6C32-4CC0-9DE3-3FE1D54EAC61}" type="parTrans" cxnId="{15B7CFA5-32B6-4E47-8378-570EB2C152E0}">
      <dgm:prSet/>
      <dgm:spPr/>
      <dgm:t>
        <a:bodyPr/>
        <a:lstStyle/>
        <a:p>
          <a:endParaRPr lang="es-GT"/>
        </a:p>
      </dgm:t>
    </dgm:pt>
    <dgm:pt modelId="{C7FC55D6-6B8F-4819-AFE7-1F604745E109}">
      <dgm:prSet phldrT="[Texto]" custT="1"/>
      <dgm:spPr>
        <a:xfrm rot="5400000">
          <a:off x="2539546" y="-1527330"/>
          <a:ext cx="1357960" cy="4535745"/>
        </a:xfrm>
        <a:solidFill>
          <a:sysClr val="window" lastClr="FFFFFF">
            <a:alpha val="90000"/>
            <a:hueOff val="0"/>
            <a:satOff val="0"/>
            <a:lumOff val="0"/>
            <a:alphaOff val="0"/>
          </a:sysClr>
        </a:solidFill>
        <a:ln w="12700" cap="flat" cmpd="sng" algn="ctr">
          <a:solidFill>
            <a:srgbClr val="4472C4">
              <a:shade val="50000"/>
              <a:hueOff val="0"/>
              <a:satOff val="0"/>
              <a:lumOff val="0"/>
              <a:alphaOff val="0"/>
            </a:srgbClr>
          </a:solidFill>
          <a:prstDash val="solid"/>
          <a:miter lim="800000"/>
        </a:ln>
        <a:effectLst/>
      </dgm:spPr>
      <dgm:t>
        <a:bodyPr/>
        <a:lstStyle/>
        <a:p>
          <a:pPr algn="just">
            <a:buChar char="•"/>
          </a:pPr>
          <a:r>
            <a:rPr lang="es-G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25 libras - Q20.00</a:t>
          </a:r>
        </a:p>
      </dgm:t>
    </dgm:pt>
    <dgm:pt modelId="{57DE69A8-5EA9-48D7-B578-6F5975BF72EF}" type="sibTrans" cxnId="{49C60116-26E1-4180-BFB8-BDCBF32B1A45}">
      <dgm:prSet/>
      <dgm:spPr/>
      <dgm:t>
        <a:bodyPr/>
        <a:lstStyle/>
        <a:p>
          <a:endParaRPr lang="es-GT"/>
        </a:p>
      </dgm:t>
    </dgm:pt>
    <dgm:pt modelId="{27305780-F8B2-451F-8CA6-C3BBD1BE17F2}" type="parTrans" cxnId="{49C60116-26E1-4180-BFB8-BDCBF32B1A45}">
      <dgm:prSet/>
      <dgm:spPr/>
      <dgm:t>
        <a:bodyPr/>
        <a:lstStyle/>
        <a:p>
          <a:endParaRPr lang="es-GT"/>
        </a:p>
      </dgm:t>
    </dgm:pt>
    <dgm:pt modelId="{93F6ED90-DE5E-4C60-B4BD-9272BF069B9C}">
      <dgm:prSet phldrT="[Texto]" custT="1"/>
      <dgm:spPr>
        <a:xfrm rot="5400000">
          <a:off x="2539546" y="-1527330"/>
          <a:ext cx="1357960" cy="4535745"/>
        </a:xfrm>
        <a:solidFill>
          <a:sysClr val="window" lastClr="FFFFFF">
            <a:alpha val="90000"/>
            <a:hueOff val="0"/>
            <a:satOff val="0"/>
            <a:lumOff val="0"/>
            <a:alphaOff val="0"/>
          </a:sysClr>
        </a:solidFill>
        <a:ln w="12700" cap="flat" cmpd="sng" algn="ctr">
          <a:solidFill>
            <a:srgbClr val="4472C4">
              <a:shade val="50000"/>
              <a:hueOff val="0"/>
              <a:satOff val="0"/>
              <a:lumOff val="0"/>
              <a:alphaOff val="0"/>
            </a:srgbClr>
          </a:solidFill>
          <a:prstDash val="solid"/>
          <a:miter lim="800000"/>
        </a:ln>
        <a:effectLst/>
      </dgm:spPr>
      <dgm:t>
        <a:bodyPr/>
        <a:lstStyle/>
        <a:p>
          <a:pPr algn="just">
            <a:buChar char="•"/>
          </a:pPr>
          <a:r>
            <a:rPr lang="es-G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35 libras - Q28.00</a:t>
          </a:r>
        </a:p>
      </dgm:t>
    </dgm:pt>
    <dgm:pt modelId="{1CEB2C6E-432F-43BE-B639-ECE177EBC5B2}" type="sibTrans" cxnId="{70C96CB6-7A18-442E-8A29-B029749AF5E7}">
      <dgm:prSet/>
      <dgm:spPr/>
      <dgm:t>
        <a:bodyPr/>
        <a:lstStyle/>
        <a:p>
          <a:endParaRPr lang="es-GT"/>
        </a:p>
      </dgm:t>
    </dgm:pt>
    <dgm:pt modelId="{2AE256DF-92D5-4947-A5D4-3A0FF6FE8A88}" type="parTrans" cxnId="{70C96CB6-7A18-442E-8A29-B029749AF5E7}">
      <dgm:prSet/>
      <dgm:spPr/>
      <dgm:t>
        <a:bodyPr/>
        <a:lstStyle/>
        <a:p>
          <a:endParaRPr lang="es-GT"/>
        </a:p>
      </dgm:t>
    </dgm:pt>
    <dgm:pt modelId="{88C32BA9-F59C-4213-AA4C-DC1C81195C36}">
      <dgm:prSet phldrT="[Texto]" custT="1"/>
      <dgm:spPr>
        <a:xfrm rot="5400000">
          <a:off x="2539546" y="-1527330"/>
          <a:ext cx="1357960" cy="4535745"/>
        </a:xfrm>
        <a:solidFill>
          <a:sysClr val="window" lastClr="FFFFFF">
            <a:alpha val="90000"/>
            <a:hueOff val="0"/>
            <a:satOff val="0"/>
            <a:lumOff val="0"/>
            <a:alphaOff val="0"/>
          </a:sysClr>
        </a:solidFill>
        <a:ln w="12700" cap="flat" cmpd="sng" algn="ctr">
          <a:solidFill>
            <a:srgbClr val="4472C4">
              <a:shade val="50000"/>
              <a:hueOff val="0"/>
              <a:satOff val="0"/>
              <a:lumOff val="0"/>
              <a:alphaOff val="0"/>
            </a:srgbClr>
          </a:solidFill>
          <a:prstDash val="solid"/>
          <a:miter lim="800000"/>
        </a:ln>
        <a:effectLst/>
      </dgm:spPr>
      <dgm:t>
        <a:bodyPr/>
        <a:lstStyle/>
        <a:p>
          <a:pPr algn="just">
            <a:buChar char="•"/>
          </a:pPr>
          <a:r>
            <a:rPr lang="es-G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 libras - Q8.00</a:t>
          </a:r>
        </a:p>
      </dgm:t>
    </dgm:pt>
    <dgm:pt modelId="{3CD4CA2E-3E56-4E73-A29F-83B29CA19A0A}" type="parTrans" cxnId="{118E2F1E-C342-480E-9389-E1E3D9C612C4}">
      <dgm:prSet/>
      <dgm:spPr/>
      <dgm:t>
        <a:bodyPr/>
        <a:lstStyle/>
        <a:p>
          <a:endParaRPr lang="es-GT"/>
        </a:p>
      </dgm:t>
    </dgm:pt>
    <dgm:pt modelId="{3045F446-7B67-41C9-876C-B5738C7DE13B}" type="sibTrans" cxnId="{118E2F1E-C342-480E-9389-E1E3D9C612C4}">
      <dgm:prSet/>
      <dgm:spPr/>
      <dgm:t>
        <a:bodyPr/>
        <a:lstStyle/>
        <a:p>
          <a:endParaRPr lang="es-GT"/>
        </a:p>
      </dgm:t>
    </dgm:pt>
    <dgm:pt modelId="{A5918C1B-5037-4D7C-801A-C94E76D41067}">
      <dgm:prSet phldrT="[Texto]" custT="1"/>
      <dgm:spPr>
        <a:xfrm rot="5400000">
          <a:off x="2566298" y="1317901"/>
          <a:ext cx="1304458" cy="4535745"/>
        </a:xfrm>
        <a:solidFill>
          <a:sysClr val="window" lastClr="FFFFFF">
            <a:alpha val="90000"/>
            <a:hueOff val="0"/>
            <a:satOff val="0"/>
            <a:lumOff val="0"/>
            <a:alphaOff val="0"/>
          </a:sysClr>
        </a:solidFill>
        <a:ln w="12700" cap="flat" cmpd="sng" algn="ctr">
          <a:solidFill>
            <a:srgbClr val="4472C4">
              <a:shade val="50000"/>
              <a:hueOff val="268329"/>
              <a:satOff val="-6535"/>
              <a:lumOff val="28597"/>
              <a:alphaOff val="0"/>
            </a:srgbClr>
          </a:solidFill>
          <a:prstDash val="solid"/>
          <a:miter lim="800000"/>
        </a:ln>
        <a:effectLst/>
      </dgm:spPr>
      <dgm:t>
        <a:bodyPr/>
        <a:lstStyle/>
        <a:p>
          <a:pPr algn="just">
            <a:buChar char="•"/>
          </a:pPr>
          <a:r>
            <a:rPr lang="es-G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El subsidio fue financiado con recursos de caja y bancos.</a:t>
          </a:r>
        </a:p>
      </dgm:t>
    </dgm:pt>
    <dgm:pt modelId="{4B377A68-0931-4D79-BDD2-454972F9F633}" type="parTrans" cxnId="{040AAF46-EFE0-48A9-8B54-B8EE4257AE18}">
      <dgm:prSet/>
      <dgm:spPr/>
      <dgm:t>
        <a:bodyPr/>
        <a:lstStyle/>
        <a:p>
          <a:endParaRPr lang="es-GT"/>
        </a:p>
      </dgm:t>
    </dgm:pt>
    <dgm:pt modelId="{5CC3808A-C7DB-481B-870D-8DC422D45B03}" type="sibTrans" cxnId="{040AAF46-EFE0-48A9-8B54-B8EE4257AE18}">
      <dgm:prSet/>
      <dgm:spPr/>
      <dgm:t>
        <a:bodyPr/>
        <a:lstStyle/>
        <a:p>
          <a:endParaRPr lang="es-GT"/>
        </a:p>
      </dgm:t>
    </dgm:pt>
    <dgm:pt modelId="{DAD81CCE-D5F7-401D-A12E-45218068B722}">
      <dgm:prSet phldrT="[Texto]" custT="1"/>
      <dgm:spPr>
        <a:xfrm rot="5400000">
          <a:off x="2566298" y="1317901"/>
          <a:ext cx="1304458" cy="4535745"/>
        </a:xfrm>
        <a:solidFill>
          <a:sysClr val="window" lastClr="FFFFFF">
            <a:alpha val="90000"/>
            <a:hueOff val="0"/>
            <a:satOff val="0"/>
            <a:lumOff val="0"/>
            <a:alphaOff val="0"/>
          </a:sysClr>
        </a:solidFill>
        <a:ln w="12700" cap="flat" cmpd="sng" algn="ctr">
          <a:solidFill>
            <a:srgbClr val="4472C4">
              <a:shade val="50000"/>
              <a:hueOff val="268329"/>
              <a:satOff val="-6535"/>
              <a:lumOff val="28597"/>
              <a:alphaOff val="0"/>
            </a:srgbClr>
          </a:solidFill>
          <a:prstDash val="solid"/>
          <a:miter lim="800000"/>
        </a:ln>
        <a:effectLst/>
      </dgm:spPr>
      <dgm:t>
        <a:bodyPr/>
        <a:lstStyle/>
        <a:p>
          <a:pPr algn="just">
            <a:buChar char="•"/>
          </a:pPr>
          <a:r>
            <a:rPr lang="es-G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La tarifa social normal cubre hasta los 88 kWh, por lo que el subsidio dado en 2022-2023 amplió este beneficio a un mayor número de familias.</a:t>
          </a:r>
        </a:p>
      </dgm:t>
    </dgm:pt>
    <dgm:pt modelId="{5201DBD7-FFD6-4624-A36F-177723F4A8F1}" type="parTrans" cxnId="{D8BB4AA2-4F36-4E51-9FE9-E11858D1ECFF}">
      <dgm:prSet/>
      <dgm:spPr/>
      <dgm:t>
        <a:bodyPr/>
        <a:lstStyle/>
        <a:p>
          <a:endParaRPr lang="es-GT"/>
        </a:p>
      </dgm:t>
    </dgm:pt>
    <dgm:pt modelId="{393DC440-D227-40C1-A2F9-6F347199B724}" type="sibTrans" cxnId="{D8BB4AA2-4F36-4E51-9FE9-E11858D1ECFF}">
      <dgm:prSet/>
      <dgm:spPr/>
      <dgm:t>
        <a:bodyPr/>
        <a:lstStyle/>
        <a:p>
          <a:endParaRPr lang="es-GT"/>
        </a:p>
      </dgm:t>
    </dgm:pt>
    <dgm:pt modelId="{BF2B0B0C-C506-4EB2-965D-E469B6A0F285}" type="pres">
      <dgm:prSet presAssocID="{5FBFF4CB-6D61-4903-AE35-5198C15679CD}" presName="diagram" presStyleCnt="0">
        <dgm:presLayoutVars>
          <dgm:dir/>
          <dgm:animLvl val="lvl"/>
          <dgm:resizeHandles val="exact"/>
        </dgm:presLayoutVars>
      </dgm:prSet>
      <dgm:spPr/>
    </dgm:pt>
    <dgm:pt modelId="{3577CF29-99F6-448E-8A39-E0455BF16B64}" type="pres">
      <dgm:prSet presAssocID="{B9CCAEE6-DBF1-4A58-8283-55F145B2D95D}" presName="compNode" presStyleCnt="0"/>
      <dgm:spPr/>
    </dgm:pt>
    <dgm:pt modelId="{35B1C053-5CD9-4FD4-A63D-A11DE0917BCD}" type="pres">
      <dgm:prSet presAssocID="{B9CCAEE6-DBF1-4A58-8283-55F145B2D95D}" presName="childRect" presStyleLbl="bgAcc1" presStyleIdx="0" presStyleCnt="2">
        <dgm:presLayoutVars>
          <dgm:bulletEnabled val="1"/>
        </dgm:presLayoutVars>
      </dgm:prSet>
      <dgm:spPr/>
    </dgm:pt>
    <dgm:pt modelId="{89CCE674-3DE3-4043-B61F-01671FDC48F6}" type="pres">
      <dgm:prSet presAssocID="{B9CCAEE6-DBF1-4A58-8283-55F145B2D95D}" presName="parentText" presStyleLbl="node1" presStyleIdx="0" presStyleCnt="0">
        <dgm:presLayoutVars>
          <dgm:chMax val="0"/>
          <dgm:bulletEnabled val="1"/>
        </dgm:presLayoutVars>
      </dgm:prSet>
      <dgm:spPr/>
    </dgm:pt>
    <dgm:pt modelId="{9AA6D0F0-AFA2-4903-954B-FD36552AA2D3}" type="pres">
      <dgm:prSet presAssocID="{B9CCAEE6-DBF1-4A58-8283-55F145B2D95D}" presName="parentRect" presStyleLbl="alignNode1" presStyleIdx="0" presStyleCnt="2"/>
      <dgm:spPr/>
    </dgm:pt>
    <dgm:pt modelId="{9B9C93BA-CE5D-4271-9049-4C0093EB2E0B}" type="pres">
      <dgm:prSet presAssocID="{B9CCAEE6-DBF1-4A58-8283-55F145B2D95D}" presName="adorn" presStyleLbl="fgAccFollowNode1" presStyleIdx="0" presStyleCnt="2"/>
      <dgm:spPr>
        <a:blipFill>
          <a:blip xmlns:r="http://schemas.openxmlformats.org/officeDocument/2006/relationships" r:embed="rId1">
            <a:extLst>
              <a:ext uri="{28A0092B-C50C-407E-A947-70E740481C1C}">
                <a14:useLocalDpi xmlns:a14="http://schemas.microsoft.com/office/drawing/2010/main" val="0"/>
              </a:ext>
            </a:extLst>
          </a:blip>
          <a:srcRect/>
          <a:stretch>
            <a:fillRect l="-25000" r="-25000"/>
          </a:stretch>
        </a:blipFill>
      </dgm:spPr>
    </dgm:pt>
    <dgm:pt modelId="{3D8787B4-F9E1-4D4B-82C5-213299A017DC}" type="pres">
      <dgm:prSet presAssocID="{B1F520B9-6E12-499B-8CFA-707BDE48DA93}" presName="sibTrans" presStyleLbl="sibTrans2D1" presStyleIdx="0" presStyleCnt="0"/>
      <dgm:spPr/>
    </dgm:pt>
    <dgm:pt modelId="{4BB8E351-DED3-4615-937D-365F24152C9B}" type="pres">
      <dgm:prSet presAssocID="{03A56EA5-D4F8-4EC6-A14C-572AC494B0C9}" presName="compNode" presStyleCnt="0"/>
      <dgm:spPr/>
    </dgm:pt>
    <dgm:pt modelId="{68066DED-F1EA-4506-89B1-C587E1A8AA4E}" type="pres">
      <dgm:prSet presAssocID="{03A56EA5-D4F8-4EC6-A14C-572AC494B0C9}" presName="childRect" presStyleLbl="bgAcc1" presStyleIdx="1" presStyleCnt="2">
        <dgm:presLayoutVars>
          <dgm:bulletEnabled val="1"/>
        </dgm:presLayoutVars>
      </dgm:prSet>
      <dgm:spPr/>
    </dgm:pt>
    <dgm:pt modelId="{12B05A12-9026-47ED-99AA-7025060AA454}" type="pres">
      <dgm:prSet presAssocID="{03A56EA5-D4F8-4EC6-A14C-572AC494B0C9}" presName="parentText" presStyleLbl="node1" presStyleIdx="0" presStyleCnt="0">
        <dgm:presLayoutVars>
          <dgm:chMax val="0"/>
          <dgm:bulletEnabled val="1"/>
        </dgm:presLayoutVars>
      </dgm:prSet>
      <dgm:spPr/>
    </dgm:pt>
    <dgm:pt modelId="{C28DC1AB-1822-4AD5-9E54-0429B5A49612}" type="pres">
      <dgm:prSet presAssocID="{03A56EA5-D4F8-4EC6-A14C-572AC494B0C9}" presName="parentRect" presStyleLbl="alignNode1" presStyleIdx="1" presStyleCnt="2"/>
      <dgm:spPr/>
    </dgm:pt>
    <dgm:pt modelId="{66AC61ED-957E-4865-992F-0523C2A6BF57}" type="pres">
      <dgm:prSet presAssocID="{03A56EA5-D4F8-4EC6-A14C-572AC494B0C9}" presName="adorn" presStyleLbl="fgAccFollowNode1" presStyleIdx="1" presStyleCnt="2"/>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7000" r="-17000"/>
          </a:stretch>
        </a:blipFill>
      </dgm:spPr>
    </dgm:pt>
  </dgm:ptLst>
  <dgm:cxnLst>
    <dgm:cxn modelId="{06852A00-C496-4FED-A03C-085FC63DFD1F}" type="presOf" srcId="{B9CCAEE6-DBF1-4A58-8283-55F145B2D95D}" destId="{9AA6D0F0-AFA2-4903-954B-FD36552AA2D3}" srcOrd="1" destOrd="0" presId="urn:microsoft.com/office/officeart/2005/8/layout/bList2"/>
    <dgm:cxn modelId="{39D6A309-7874-46C7-B87D-79FC2AB1E222}" type="presOf" srcId="{B1F520B9-6E12-499B-8CFA-707BDE48DA93}" destId="{3D8787B4-F9E1-4D4B-82C5-213299A017DC}" srcOrd="0" destOrd="0" presId="urn:microsoft.com/office/officeart/2005/8/layout/bList2"/>
    <dgm:cxn modelId="{09C08710-F203-4CEB-8478-E85E3865C200}" type="presOf" srcId="{BD00F985-5BF1-406F-B8A6-E69E74DCC2D0}" destId="{68066DED-F1EA-4506-89B1-C587E1A8AA4E}" srcOrd="0" destOrd="0" presId="urn:microsoft.com/office/officeart/2005/8/layout/bList2"/>
    <dgm:cxn modelId="{49C60116-26E1-4180-BFB8-BDCBF32B1A45}" srcId="{A49A0C08-792D-40F2-963C-0206C34A8748}" destId="{C7FC55D6-6B8F-4819-AFE7-1F604745E109}" srcOrd="2" destOrd="0" parTransId="{27305780-F8B2-451F-8CA6-C3BBD1BE17F2}" sibTransId="{57DE69A8-5EA9-48D7-B578-6F5975BF72EF}"/>
    <dgm:cxn modelId="{118E2F1E-C342-480E-9389-E1E3D9C612C4}" srcId="{A49A0C08-792D-40F2-963C-0206C34A8748}" destId="{88C32BA9-F59C-4213-AA4C-DC1C81195C36}" srcOrd="0" destOrd="0" parTransId="{3CD4CA2E-3E56-4E73-A29F-83B29CA19A0A}" sibTransId="{3045F446-7B67-41C9-876C-B5738C7DE13B}"/>
    <dgm:cxn modelId="{19F91822-AE00-4057-A24F-9FBF9B3D0D52}" type="presOf" srcId="{5FBFF4CB-6D61-4903-AE35-5198C15679CD}" destId="{BF2B0B0C-C506-4EB2-965D-E469B6A0F285}" srcOrd="0" destOrd="0" presId="urn:microsoft.com/office/officeart/2005/8/layout/bList2"/>
    <dgm:cxn modelId="{AAF1402A-1A0E-413B-8D3C-84C02E3A42B0}" srcId="{5FBFF4CB-6D61-4903-AE35-5198C15679CD}" destId="{03A56EA5-D4F8-4EC6-A14C-572AC494B0C9}" srcOrd="1" destOrd="0" parTransId="{9665ED9F-2288-437D-99A4-366F2D55DD0C}" sibTransId="{C468CF5B-0037-400D-9873-19ED91BD535B}"/>
    <dgm:cxn modelId="{865B0F38-15D6-47C2-A860-3B26B2CB1481}" type="presOf" srcId="{B9CCAEE6-DBF1-4A58-8283-55F145B2D95D}" destId="{89CCE674-3DE3-4043-B61F-01671FDC48F6}" srcOrd="0" destOrd="0" presId="urn:microsoft.com/office/officeart/2005/8/layout/bList2"/>
    <dgm:cxn modelId="{E1BD933C-2747-4C2D-A9C9-3436D32C6BA7}" srcId="{5FBFF4CB-6D61-4903-AE35-5198C15679CD}" destId="{B9CCAEE6-DBF1-4A58-8283-55F145B2D95D}" srcOrd="0" destOrd="0" parTransId="{94BBAF7D-C258-49D8-A6F3-26F8D3D6C05F}" sibTransId="{B1F520B9-6E12-499B-8CFA-707BDE48DA93}"/>
    <dgm:cxn modelId="{59F7A260-DE12-4F5F-BE73-D124C8EE261B}" type="presOf" srcId="{93F6ED90-DE5E-4C60-B4BD-9272BF069B9C}" destId="{35B1C053-5CD9-4FD4-A63D-A11DE0917BCD}" srcOrd="0" destOrd="4" presId="urn:microsoft.com/office/officeart/2005/8/layout/bList2"/>
    <dgm:cxn modelId="{5D7D4542-1908-4FFC-9D66-0E5BE8AB3601}" srcId="{B9CCAEE6-DBF1-4A58-8283-55F145B2D95D}" destId="{A49A0C08-792D-40F2-963C-0206C34A8748}" srcOrd="0" destOrd="0" parTransId="{4F8DFD97-C1DD-4D78-88C3-A949F82100AC}" sibTransId="{03A841B2-3F11-4DDF-BA04-D2B7282D325F}"/>
    <dgm:cxn modelId="{040AAF46-EFE0-48A9-8B54-B8EE4257AE18}" srcId="{03A56EA5-D4F8-4EC6-A14C-572AC494B0C9}" destId="{A5918C1B-5037-4D7C-801A-C94E76D41067}" srcOrd="1" destOrd="0" parTransId="{4B377A68-0931-4D79-BDD2-454972F9F633}" sibTransId="{5CC3808A-C7DB-481B-870D-8DC422D45B03}"/>
    <dgm:cxn modelId="{0F076B55-040D-47D9-8A9A-826A3122BE3A}" type="presOf" srcId="{03A56EA5-D4F8-4EC6-A14C-572AC494B0C9}" destId="{12B05A12-9026-47ED-99AA-7025060AA454}" srcOrd="0" destOrd="0" presId="urn:microsoft.com/office/officeart/2005/8/layout/bList2"/>
    <dgm:cxn modelId="{98F4D07B-4AF8-47B8-8956-41F2C259489A}" type="presOf" srcId="{88C32BA9-F59C-4213-AA4C-DC1C81195C36}" destId="{35B1C053-5CD9-4FD4-A63D-A11DE0917BCD}" srcOrd="0" destOrd="1" presId="urn:microsoft.com/office/officeart/2005/8/layout/bList2"/>
    <dgm:cxn modelId="{F88CBF82-5213-4AA7-8C44-90131B7AE340}" type="presOf" srcId="{03A56EA5-D4F8-4EC6-A14C-572AC494B0C9}" destId="{C28DC1AB-1822-4AD5-9E54-0429B5A49612}" srcOrd="1" destOrd="0" presId="urn:microsoft.com/office/officeart/2005/8/layout/bList2"/>
    <dgm:cxn modelId="{A0136895-5402-4FAC-9B7C-1836421F7442}" srcId="{03A56EA5-D4F8-4EC6-A14C-572AC494B0C9}" destId="{BD00F985-5BF1-406F-B8A6-E69E74DCC2D0}" srcOrd="0" destOrd="0" parTransId="{3160FA2A-57C6-4076-BC39-3710EE8D9636}" sibTransId="{E6C88FBB-B0B4-451D-8645-BE5DCF0E94A1}"/>
    <dgm:cxn modelId="{D8BB4AA2-4F36-4E51-9FE9-E11858D1ECFF}" srcId="{03A56EA5-D4F8-4EC6-A14C-572AC494B0C9}" destId="{DAD81CCE-D5F7-401D-A12E-45218068B722}" srcOrd="2" destOrd="0" parTransId="{5201DBD7-FFD6-4624-A36F-177723F4A8F1}" sibTransId="{393DC440-D227-40C1-A2F9-6F347199B724}"/>
    <dgm:cxn modelId="{FD063BA5-77E2-4389-BDEA-46581C645EF6}" type="presOf" srcId="{A49A0C08-792D-40F2-963C-0206C34A8748}" destId="{35B1C053-5CD9-4FD4-A63D-A11DE0917BCD}" srcOrd="0" destOrd="0" presId="urn:microsoft.com/office/officeart/2005/8/layout/bList2"/>
    <dgm:cxn modelId="{15B7CFA5-32B6-4E47-8378-570EB2C152E0}" srcId="{A49A0C08-792D-40F2-963C-0206C34A8748}" destId="{45CFA25F-971B-47DE-B908-8A1262EE1320}" srcOrd="1" destOrd="0" parTransId="{748F79D9-6C32-4CC0-9DE3-3FE1D54EAC61}" sibTransId="{971B66EC-6520-467B-9A5F-612CBF104027}"/>
    <dgm:cxn modelId="{71EF54A9-F9E7-417B-A3B1-EC35CBBC8369}" type="presOf" srcId="{C7FC55D6-6B8F-4819-AFE7-1F604745E109}" destId="{35B1C053-5CD9-4FD4-A63D-A11DE0917BCD}" srcOrd="0" destOrd="3" presId="urn:microsoft.com/office/officeart/2005/8/layout/bList2"/>
    <dgm:cxn modelId="{70C96CB6-7A18-442E-8A29-B029749AF5E7}" srcId="{A49A0C08-792D-40F2-963C-0206C34A8748}" destId="{93F6ED90-DE5E-4C60-B4BD-9272BF069B9C}" srcOrd="3" destOrd="0" parTransId="{2AE256DF-92D5-4947-A5D4-3A0FF6FE8A88}" sibTransId="{1CEB2C6E-432F-43BE-B639-ECE177EBC5B2}"/>
    <dgm:cxn modelId="{775200DD-C053-41C1-879A-2E2BB998CEE0}" type="presOf" srcId="{A5918C1B-5037-4D7C-801A-C94E76D41067}" destId="{68066DED-F1EA-4506-89B1-C587E1A8AA4E}" srcOrd="0" destOrd="1" presId="urn:microsoft.com/office/officeart/2005/8/layout/bList2"/>
    <dgm:cxn modelId="{E8D46EDF-10B7-487C-83EA-F786E0BD9AF2}" type="presOf" srcId="{DAD81CCE-D5F7-401D-A12E-45218068B722}" destId="{68066DED-F1EA-4506-89B1-C587E1A8AA4E}" srcOrd="0" destOrd="2" presId="urn:microsoft.com/office/officeart/2005/8/layout/bList2"/>
    <dgm:cxn modelId="{B64025F7-CCB7-40E2-B8D8-1C1AF056A746}" type="presOf" srcId="{45CFA25F-971B-47DE-B908-8A1262EE1320}" destId="{35B1C053-5CD9-4FD4-A63D-A11DE0917BCD}" srcOrd="0" destOrd="2" presId="urn:microsoft.com/office/officeart/2005/8/layout/bList2"/>
    <dgm:cxn modelId="{F1CF3574-7254-4AF4-BD17-FED4353C52A3}" type="presParOf" srcId="{BF2B0B0C-C506-4EB2-965D-E469B6A0F285}" destId="{3577CF29-99F6-448E-8A39-E0455BF16B64}" srcOrd="0" destOrd="0" presId="urn:microsoft.com/office/officeart/2005/8/layout/bList2"/>
    <dgm:cxn modelId="{A2F7BB25-ADE3-4392-A4EC-9035FC777F4F}" type="presParOf" srcId="{3577CF29-99F6-448E-8A39-E0455BF16B64}" destId="{35B1C053-5CD9-4FD4-A63D-A11DE0917BCD}" srcOrd="0" destOrd="0" presId="urn:microsoft.com/office/officeart/2005/8/layout/bList2"/>
    <dgm:cxn modelId="{368BF158-BE95-4D05-9405-BE118A028456}" type="presParOf" srcId="{3577CF29-99F6-448E-8A39-E0455BF16B64}" destId="{89CCE674-3DE3-4043-B61F-01671FDC48F6}" srcOrd="1" destOrd="0" presId="urn:microsoft.com/office/officeart/2005/8/layout/bList2"/>
    <dgm:cxn modelId="{CC88837F-343E-4968-80A5-12AE015E7154}" type="presParOf" srcId="{3577CF29-99F6-448E-8A39-E0455BF16B64}" destId="{9AA6D0F0-AFA2-4903-954B-FD36552AA2D3}" srcOrd="2" destOrd="0" presId="urn:microsoft.com/office/officeart/2005/8/layout/bList2"/>
    <dgm:cxn modelId="{532D3584-97A9-40DA-85AD-479BA1C7CDD5}" type="presParOf" srcId="{3577CF29-99F6-448E-8A39-E0455BF16B64}" destId="{9B9C93BA-CE5D-4271-9049-4C0093EB2E0B}" srcOrd="3" destOrd="0" presId="urn:microsoft.com/office/officeart/2005/8/layout/bList2"/>
    <dgm:cxn modelId="{5E826FF8-5AC7-434F-A6A0-B22DE505CBC0}" type="presParOf" srcId="{BF2B0B0C-C506-4EB2-965D-E469B6A0F285}" destId="{3D8787B4-F9E1-4D4B-82C5-213299A017DC}" srcOrd="1" destOrd="0" presId="urn:microsoft.com/office/officeart/2005/8/layout/bList2"/>
    <dgm:cxn modelId="{3DB7F805-7E79-4B9D-8ADE-97A22163006B}" type="presParOf" srcId="{BF2B0B0C-C506-4EB2-965D-E469B6A0F285}" destId="{4BB8E351-DED3-4615-937D-365F24152C9B}" srcOrd="2" destOrd="0" presId="urn:microsoft.com/office/officeart/2005/8/layout/bList2"/>
    <dgm:cxn modelId="{A194DC38-3301-472B-994B-A14F52AFB501}" type="presParOf" srcId="{4BB8E351-DED3-4615-937D-365F24152C9B}" destId="{68066DED-F1EA-4506-89B1-C587E1A8AA4E}" srcOrd="0" destOrd="0" presId="urn:microsoft.com/office/officeart/2005/8/layout/bList2"/>
    <dgm:cxn modelId="{51355EFC-0943-4ABD-AE5A-71B1AF4F5CAB}" type="presParOf" srcId="{4BB8E351-DED3-4615-937D-365F24152C9B}" destId="{12B05A12-9026-47ED-99AA-7025060AA454}" srcOrd="1" destOrd="0" presId="urn:microsoft.com/office/officeart/2005/8/layout/bList2"/>
    <dgm:cxn modelId="{7A8241CE-C830-493A-98E6-28F47643D05A}" type="presParOf" srcId="{4BB8E351-DED3-4615-937D-365F24152C9B}" destId="{C28DC1AB-1822-4AD5-9E54-0429B5A49612}" srcOrd="2" destOrd="0" presId="urn:microsoft.com/office/officeart/2005/8/layout/bList2"/>
    <dgm:cxn modelId="{C096C824-1449-4623-951B-65CECE798D3A}" type="presParOf" srcId="{4BB8E351-DED3-4615-937D-365F24152C9B}" destId="{66AC61ED-957E-4865-992F-0523C2A6BF57}" srcOrd="3" destOrd="0" presId="urn:microsoft.com/office/officeart/2005/8/layout/bList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BFF4CB-6D61-4903-AE35-5198C15679CD}" type="doc">
      <dgm:prSet loTypeId="urn:microsoft.com/office/officeart/2005/8/layout/bList2" loCatId="list" qsTypeId="urn:microsoft.com/office/officeart/2005/8/quickstyle/simple1" qsCatId="simple" csTypeId="urn:microsoft.com/office/officeart/2005/8/colors/accent1_4" csCatId="accent1" phldr="1"/>
      <dgm:spPr/>
      <dgm:t>
        <a:bodyPr/>
        <a:lstStyle/>
        <a:p>
          <a:endParaRPr lang="es-GT"/>
        </a:p>
      </dgm:t>
    </dgm:pt>
    <dgm:pt modelId="{B9CCAEE6-DBF1-4A58-8283-55F145B2D95D}">
      <dgm:prSet phldrT="[Texto]" custT="1"/>
      <dgm:spPr>
        <a:xfrm rot="5400000">
          <a:off x="-203711" y="502646"/>
          <a:ext cx="1358078" cy="950654"/>
        </a:xfrm>
        <a:solidFill>
          <a:srgbClr val="4472C4">
            <a:shade val="50000"/>
            <a:hueOff val="0"/>
            <a:satOff val="0"/>
            <a:lumOff val="0"/>
            <a:alphaOff val="0"/>
          </a:srgbClr>
        </a:solidFill>
        <a:ln w="12700" cap="flat" cmpd="sng" algn="ctr">
          <a:solidFill>
            <a:srgbClr val="5B9BD5">
              <a:lumMod val="50000"/>
            </a:srgbClr>
          </a:solidFill>
          <a:prstDash val="solid"/>
          <a:miter lim="800000"/>
        </a:ln>
        <a:effectLst/>
      </dgm:spPr>
      <dgm:t>
        <a:bodyPr/>
        <a:lstStyle/>
        <a:p>
          <a:pPr algn="ctr">
            <a:buNone/>
          </a:pPr>
          <a:r>
            <a:rPr lang="es-GT" sz="1100" b="1">
              <a:solidFill>
                <a:sysClr val="window" lastClr="FFFFFF"/>
              </a:solidFill>
              <a:latin typeface="Times New Roman" panose="02020603050405020304" pitchFamily="18" charset="0"/>
              <a:ea typeface="+mn-ea"/>
              <a:cs typeface="Times New Roman" panose="02020603050405020304" pitchFamily="18" charset="0"/>
            </a:rPr>
            <a:t>Gas Propano (Q150 millones)</a:t>
          </a:r>
        </a:p>
      </dgm:t>
    </dgm:pt>
    <dgm:pt modelId="{94BBAF7D-C258-49D8-A6F3-26F8D3D6C05F}" type="parTrans" cxnId="{E1BD933C-2747-4C2D-A9C9-3436D32C6BA7}">
      <dgm:prSet/>
      <dgm:spPr/>
      <dgm:t>
        <a:bodyPr/>
        <a:lstStyle/>
        <a:p>
          <a:endParaRPr lang="es-GT"/>
        </a:p>
      </dgm:t>
    </dgm:pt>
    <dgm:pt modelId="{B1F520B9-6E12-499B-8CFA-707BDE48DA93}" type="sibTrans" cxnId="{E1BD933C-2747-4C2D-A9C9-3436D32C6BA7}">
      <dgm:prSet/>
      <dgm:spPr/>
      <dgm:t>
        <a:bodyPr/>
        <a:lstStyle/>
        <a:p>
          <a:endParaRPr lang="es-GT"/>
        </a:p>
      </dgm:t>
    </dgm:pt>
    <dgm:pt modelId="{A49A0C08-792D-40F2-963C-0206C34A8748}">
      <dgm:prSet phldrT="[Texto]" custT="1"/>
      <dgm:spPr>
        <a:xfrm rot="5400000">
          <a:off x="2539546" y="-1527330"/>
          <a:ext cx="1357960" cy="4535745"/>
        </a:xfrm>
        <a:solidFill>
          <a:sysClr val="window" lastClr="FFFFFF">
            <a:alpha val="90000"/>
            <a:hueOff val="0"/>
            <a:satOff val="0"/>
            <a:lumOff val="0"/>
            <a:alphaOff val="0"/>
          </a:sysClr>
        </a:solidFill>
        <a:ln w="12700" cap="flat" cmpd="sng" algn="ctr">
          <a:solidFill>
            <a:srgbClr val="4472C4">
              <a:shade val="50000"/>
              <a:hueOff val="0"/>
              <a:satOff val="0"/>
              <a:lumOff val="0"/>
              <a:alphaOff val="0"/>
            </a:srgbClr>
          </a:solidFill>
          <a:prstDash val="solid"/>
          <a:miter lim="800000"/>
        </a:ln>
        <a:effectLst/>
      </dgm:spPr>
      <dgm:t>
        <a:bodyPr/>
        <a:lstStyle/>
        <a:p>
          <a:pPr algn="just">
            <a:buChar char="•"/>
          </a:pPr>
          <a:r>
            <a:rPr lang="es-G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En 2023 fue aprobado el decreto, Decreto Número 5-2023 “Ley de Apoyo Social Temporal a los Consumidores de Gas Propano” manteniendo las condiciones de apoyo de los decretos anteriores, con presupuesto de Q150 millones y el período de tres meses. </a:t>
          </a:r>
        </a:p>
      </dgm:t>
    </dgm:pt>
    <dgm:pt modelId="{4F8DFD97-C1DD-4D78-88C3-A949F82100AC}" type="parTrans" cxnId="{5D7D4542-1908-4FFC-9D66-0E5BE8AB3601}">
      <dgm:prSet/>
      <dgm:spPr/>
      <dgm:t>
        <a:bodyPr/>
        <a:lstStyle/>
        <a:p>
          <a:endParaRPr lang="es-GT"/>
        </a:p>
      </dgm:t>
    </dgm:pt>
    <dgm:pt modelId="{03A841B2-3F11-4DDF-BA04-D2B7282D325F}" type="sibTrans" cxnId="{5D7D4542-1908-4FFC-9D66-0E5BE8AB3601}">
      <dgm:prSet/>
      <dgm:spPr/>
      <dgm:t>
        <a:bodyPr/>
        <a:lstStyle/>
        <a:p>
          <a:endParaRPr lang="es-GT"/>
        </a:p>
      </dgm:t>
    </dgm:pt>
    <dgm:pt modelId="{03A56EA5-D4F8-4EC6-A14C-572AC494B0C9}">
      <dgm:prSet phldrT="[Texto]" custT="1"/>
      <dgm:spPr>
        <a:xfrm rot="5400000">
          <a:off x="-203711" y="3348110"/>
          <a:ext cx="1358078" cy="950654"/>
        </a:xfrm>
        <a:solidFill>
          <a:srgbClr val="5B9BD5">
            <a:lumMod val="50000"/>
          </a:srgbClr>
        </a:solidFill>
        <a:ln w="12700" cap="flat" cmpd="sng" algn="ctr">
          <a:solidFill>
            <a:srgbClr val="5B9BD5">
              <a:lumMod val="50000"/>
            </a:srgbClr>
          </a:solidFill>
          <a:prstDash val="solid"/>
          <a:miter lim="800000"/>
        </a:ln>
        <a:effectLst/>
      </dgm:spPr>
      <dgm:t>
        <a:bodyPr/>
        <a:lstStyle/>
        <a:p>
          <a:pPr algn="ctr">
            <a:buNone/>
          </a:pPr>
          <a:r>
            <a:rPr lang="es-GT" sz="1100" b="1">
              <a:solidFill>
                <a:sysClr val="window" lastClr="FFFFFF"/>
              </a:solidFill>
              <a:latin typeface="Times New Roman" panose="02020603050405020304" pitchFamily="18" charset="0"/>
              <a:ea typeface="+mn-ea"/>
              <a:cs typeface="Times New Roman" panose="02020603050405020304" pitchFamily="18" charset="0"/>
            </a:rPr>
            <a:t>Tarifa Social Energía Eléctrica (Q197 millones)</a:t>
          </a:r>
        </a:p>
      </dgm:t>
    </dgm:pt>
    <dgm:pt modelId="{9665ED9F-2288-437D-99A4-366F2D55DD0C}" type="parTrans" cxnId="{AAF1402A-1A0E-413B-8D3C-84C02E3A42B0}">
      <dgm:prSet/>
      <dgm:spPr/>
      <dgm:t>
        <a:bodyPr/>
        <a:lstStyle/>
        <a:p>
          <a:endParaRPr lang="es-GT"/>
        </a:p>
      </dgm:t>
    </dgm:pt>
    <dgm:pt modelId="{C468CF5B-0037-400D-9873-19ED91BD535B}" type="sibTrans" cxnId="{AAF1402A-1A0E-413B-8D3C-84C02E3A42B0}">
      <dgm:prSet/>
      <dgm:spPr/>
      <dgm:t>
        <a:bodyPr/>
        <a:lstStyle/>
        <a:p>
          <a:endParaRPr lang="es-GT"/>
        </a:p>
      </dgm:t>
    </dgm:pt>
    <dgm:pt modelId="{BD00F985-5BF1-406F-B8A6-E69E74DCC2D0}">
      <dgm:prSet phldrT="[Texto]" custT="1"/>
      <dgm:spPr>
        <a:xfrm rot="5400000">
          <a:off x="2566298" y="1317901"/>
          <a:ext cx="1304458" cy="4535745"/>
        </a:xfrm>
        <a:solidFill>
          <a:sysClr val="window" lastClr="FFFFFF">
            <a:alpha val="90000"/>
            <a:hueOff val="0"/>
            <a:satOff val="0"/>
            <a:lumOff val="0"/>
            <a:alphaOff val="0"/>
          </a:sysClr>
        </a:solidFill>
        <a:ln w="12700" cap="flat" cmpd="sng" algn="ctr">
          <a:solidFill>
            <a:srgbClr val="4472C4">
              <a:shade val="50000"/>
              <a:hueOff val="268329"/>
              <a:satOff val="-6535"/>
              <a:lumOff val="28597"/>
              <a:alphaOff val="0"/>
            </a:srgbClr>
          </a:solidFill>
          <a:prstDash val="solid"/>
          <a:miter lim="800000"/>
        </a:ln>
        <a:effectLst/>
      </dgm:spPr>
      <dgm:t>
        <a:bodyPr/>
        <a:lstStyle/>
        <a:p>
          <a:pPr algn="just">
            <a:buChar char="•"/>
          </a:pPr>
          <a:r>
            <a:rPr lang="es-G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Se aprobó el Decreto </a:t>
          </a:r>
          <a:r>
            <a:rPr lang="es-MX" sz="1000"/>
            <a:t>Número </a:t>
          </a:r>
          <a:r>
            <a:rPr lang="es-G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1-2023 Ley de Fortalecimiento al Aporte Social de la Tarifa Eléctrica, para cubrir a los consumidores de entre 89 kWh hasta 125 kWh al mes. </a:t>
          </a:r>
        </a:p>
      </dgm:t>
    </dgm:pt>
    <dgm:pt modelId="{3160FA2A-57C6-4076-BC39-3710EE8D9636}" type="parTrans" cxnId="{A0136895-5402-4FAC-9B7C-1836421F7442}">
      <dgm:prSet/>
      <dgm:spPr/>
      <dgm:t>
        <a:bodyPr/>
        <a:lstStyle/>
        <a:p>
          <a:endParaRPr lang="es-GT"/>
        </a:p>
      </dgm:t>
    </dgm:pt>
    <dgm:pt modelId="{E6C88FBB-B0B4-451D-8645-BE5DCF0E94A1}" type="sibTrans" cxnId="{A0136895-5402-4FAC-9B7C-1836421F7442}">
      <dgm:prSet/>
      <dgm:spPr/>
      <dgm:t>
        <a:bodyPr/>
        <a:lstStyle/>
        <a:p>
          <a:endParaRPr lang="es-GT"/>
        </a:p>
      </dgm:t>
    </dgm:pt>
    <dgm:pt modelId="{45CFA25F-971B-47DE-B908-8A1262EE1320}">
      <dgm:prSet phldrT="[Texto]" custT="1"/>
      <dgm:spPr>
        <a:xfrm rot="5400000">
          <a:off x="2539546" y="-1527330"/>
          <a:ext cx="1357960" cy="4535745"/>
        </a:xfrm>
        <a:solidFill>
          <a:sysClr val="window" lastClr="FFFFFF">
            <a:alpha val="90000"/>
            <a:hueOff val="0"/>
            <a:satOff val="0"/>
            <a:lumOff val="0"/>
            <a:alphaOff val="0"/>
          </a:sysClr>
        </a:solidFill>
        <a:ln w="12700" cap="flat" cmpd="sng" algn="ctr">
          <a:solidFill>
            <a:srgbClr val="4472C4">
              <a:shade val="50000"/>
              <a:hueOff val="0"/>
              <a:satOff val="0"/>
              <a:lumOff val="0"/>
              <a:alphaOff val="0"/>
            </a:srgbClr>
          </a:solidFill>
          <a:prstDash val="solid"/>
          <a:miter lim="800000"/>
        </a:ln>
        <a:effectLst/>
      </dgm:spPr>
      <dgm:t>
        <a:bodyPr/>
        <a:lstStyle/>
        <a:p>
          <a:pPr algn="just">
            <a:buChar char="•"/>
          </a:pPr>
          <a:r>
            <a:rPr lang="es-G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20 libras - Q16.00</a:t>
          </a:r>
        </a:p>
      </dgm:t>
    </dgm:pt>
    <dgm:pt modelId="{971B66EC-6520-467B-9A5F-612CBF104027}" type="sibTrans" cxnId="{15B7CFA5-32B6-4E47-8378-570EB2C152E0}">
      <dgm:prSet/>
      <dgm:spPr/>
      <dgm:t>
        <a:bodyPr/>
        <a:lstStyle/>
        <a:p>
          <a:endParaRPr lang="es-GT"/>
        </a:p>
      </dgm:t>
    </dgm:pt>
    <dgm:pt modelId="{748F79D9-6C32-4CC0-9DE3-3FE1D54EAC61}" type="parTrans" cxnId="{15B7CFA5-32B6-4E47-8378-570EB2C152E0}">
      <dgm:prSet/>
      <dgm:spPr/>
      <dgm:t>
        <a:bodyPr/>
        <a:lstStyle/>
        <a:p>
          <a:endParaRPr lang="es-GT"/>
        </a:p>
      </dgm:t>
    </dgm:pt>
    <dgm:pt modelId="{C7FC55D6-6B8F-4819-AFE7-1F604745E109}">
      <dgm:prSet phldrT="[Texto]" custT="1"/>
      <dgm:spPr>
        <a:xfrm rot="5400000">
          <a:off x="2539546" y="-1527330"/>
          <a:ext cx="1357960" cy="4535745"/>
        </a:xfrm>
        <a:solidFill>
          <a:sysClr val="window" lastClr="FFFFFF">
            <a:alpha val="90000"/>
            <a:hueOff val="0"/>
            <a:satOff val="0"/>
            <a:lumOff val="0"/>
            <a:alphaOff val="0"/>
          </a:sysClr>
        </a:solidFill>
        <a:ln w="12700" cap="flat" cmpd="sng" algn="ctr">
          <a:solidFill>
            <a:srgbClr val="4472C4">
              <a:shade val="50000"/>
              <a:hueOff val="0"/>
              <a:satOff val="0"/>
              <a:lumOff val="0"/>
              <a:alphaOff val="0"/>
            </a:srgbClr>
          </a:solidFill>
          <a:prstDash val="solid"/>
          <a:miter lim="800000"/>
        </a:ln>
        <a:effectLst/>
      </dgm:spPr>
      <dgm:t>
        <a:bodyPr/>
        <a:lstStyle/>
        <a:p>
          <a:pPr algn="just">
            <a:buChar char="•"/>
          </a:pPr>
          <a:r>
            <a:rPr lang="es-G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25 libras - Q20.00</a:t>
          </a:r>
        </a:p>
      </dgm:t>
    </dgm:pt>
    <dgm:pt modelId="{57DE69A8-5EA9-48D7-B578-6F5975BF72EF}" type="sibTrans" cxnId="{49C60116-26E1-4180-BFB8-BDCBF32B1A45}">
      <dgm:prSet/>
      <dgm:spPr/>
      <dgm:t>
        <a:bodyPr/>
        <a:lstStyle/>
        <a:p>
          <a:endParaRPr lang="es-GT"/>
        </a:p>
      </dgm:t>
    </dgm:pt>
    <dgm:pt modelId="{27305780-F8B2-451F-8CA6-C3BBD1BE17F2}" type="parTrans" cxnId="{49C60116-26E1-4180-BFB8-BDCBF32B1A45}">
      <dgm:prSet/>
      <dgm:spPr/>
      <dgm:t>
        <a:bodyPr/>
        <a:lstStyle/>
        <a:p>
          <a:endParaRPr lang="es-GT"/>
        </a:p>
      </dgm:t>
    </dgm:pt>
    <dgm:pt modelId="{93F6ED90-DE5E-4C60-B4BD-9272BF069B9C}">
      <dgm:prSet phldrT="[Texto]" custT="1"/>
      <dgm:spPr>
        <a:xfrm rot="5400000">
          <a:off x="2539546" y="-1527330"/>
          <a:ext cx="1357960" cy="4535745"/>
        </a:xfrm>
        <a:solidFill>
          <a:sysClr val="window" lastClr="FFFFFF">
            <a:alpha val="90000"/>
            <a:hueOff val="0"/>
            <a:satOff val="0"/>
            <a:lumOff val="0"/>
            <a:alphaOff val="0"/>
          </a:sysClr>
        </a:solidFill>
        <a:ln w="12700" cap="flat" cmpd="sng" algn="ctr">
          <a:solidFill>
            <a:srgbClr val="4472C4">
              <a:shade val="50000"/>
              <a:hueOff val="0"/>
              <a:satOff val="0"/>
              <a:lumOff val="0"/>
              <a:alphaOff val="0"/>
            </a:srgbClr>
          </a:solidFill>
          <a:prstDash val="solid"/>
          <a:miter lim="800000"/>
        </a:ln>
        <a:effectLst/>
      </dgm:spPr>
      <dgm:t>
        <a:bodyPr/>
        <a:lstStyle/>
        <a:p>
          <a:pPr algn="just">
            <a:buChar char="•"/>
          </a:pPr>
          <a:r>
            <a:rPr lang="es-G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35 libras - Q28.00</a:t>
          </a:r>
        </a:p>
      </dgm:t>
    </dgm:pt>
    <dgm:pt modelId="{1CEB2C6E-432F-43BE-B639-ECE177EBC5B2}" type="sibTrans" cxnId="{70C96CB6-7A18-442E-8A29-B029749AF5E7}">
      <dgm:prSet/>
      <dgm:spPr/>
      <dgm:t>
        <a:bodyPr/>
        <a:lstStyle/>
        <a:p>
          <a:endParaRPr lang="es-GT"/>
        </a:p>
      </dgm:t>
    </dgm:pt>
    <dgm:pt modelId="{2AE256DF-92D5-4947-A5D4-3A0FF6FE8A88}" type="parTrans" cxnId="{70C96CB6-7A18-442E-8A29-B029749AF5E7}">
      <dgm:prSet/>
      <dgm:spPr/>
      <dgm:t>
        <a:bodyPr/>
        <a:lstStyle/>
        <a:p>
          <a:endParaRPr lang="es-GT"/>
        </a:p>
      </dgm:t>
    </dgm:pt>
    <dgm:pt modelId="{88C32BA9-F59C-4213-AA4C-DC1C81195C36}">
      <dgm:prSet phldrT="[Texto]" custT="1"/>
      <dgm:spPr>
        <a:xfrm rot="5400000">
          <a:off x="2539546" y="-1527330"/>
          <a:ext cx="1357960" cy="4535745"/>
        </a:xfrm>
        <a:solidFill>
          <a:sysClr val="window" lastClr="FFFFFF">
            <a:alpha val="90000"/>
            <a:hueOff val="0"/>
            <a:satOff val="0"/>
            <a:lumOff val="0"/>
            <a:alphaOff val="0"/>
          </a:sysClr>
        </a:solidFill>
        <a:ln w="12700" cap="flat" cmpd="sng" algn="ctr">
          <a:solidFill>
            <a:srgbClr val="4472C4">
              <a:shade val="50000"/>
              <a:hueOff val="0"/>
              <a:satOff val="0"/>
              <a:lumOff val="0"/>
              <a:alphaOff val="0"/>
            </a:srgbClr>
          </a:solidFill>
          <a:prstDash val="solid"/>
          <a:miter lim="800000"/>
        </a:ln>
        <a:effectLst/>
      </dgm:spPr>
      <dgm:t>
        <a:bodyPr/>
        <a:lstStyle/>
        <a:p>
          <a:pPr algn="just">
            <a:buChar char="•"/>
          </a:pPr>
          <a:r>
            <a:rPr lang="es-G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 libras - Q8.00</a:t>
          </a:r>
        </a:p>
      </dgm:t>
    </dgm:pt>
    <dgm:pt modelId="{3CD4CA2E-3E56-4E73-A29F-83B29CA19A0A}" type="parTrans" cxnId="{118E2F1E-C342-480E-9389-E1E3D9C612C4}">
      <dgm:prSet/>
      <dgm:spPr/>
      <dgm:t>
        <a:bodyPr/>
        <a:lstStyle/>
        <a:p>
          <a:endParaRPr lang="es-GT"/>
        </a:p>
      </dgm:t>
    </dgm:pt>
    <dgm:pt modelId="{3045F446-7B67-41C9-876C-B5738C7DE13B}" type="sibTrans" cxnId="{118E2F1E-C342-480E-9389-E1E3D9C612C4}">
      <dgm:prSet/>
      <dgm:spPr/>
      <dgm:t>
        <a:bodyPr/>
        <a:lstStyle/>
        <a:p>
          <a:endParaRPr lang="es-GT"/>
        </a:p>
      </dgm:t>
    </dgm:pt>
    <dgm:pt modelId="{A5918C1B-5037-4D7C-801A-C94E76D41067}">
      <dgm:prSet phldrT="[Texto]" custT="1"/>
      <dgm:spPr>
        <a:xfrm rot="5400000">
          <a:off x="2566298" y="1317901"/>
          <a:ext cx="1304458" cy="4535745"/>
        </a:xfrm>
        <a:solidFill>
          <a:sysClr val="window" lastClr="FFFFFF">
            <a:alpha val="90000"/>
            <a:hueOff val="0"/>
            <a:satOff val="0"/>
            <a:lumOff val="0"/>
            <a:alphaOff val="0"/>
          </a:sysClr>
        </a:solidFill>
        <a:ln w="12700" cap="flat" cmpd="sng" algn="ctr">
          <a:solidFill>
            <a:srgbClr val="4472C4">
              <a:shade val="50000"/>
              <a:hueOff val="268329"/>
              <a:satOff val="-6535"/>
              <a:lumOff val="28597"/>
              <a:alphaOff val="0"/>
            </a:srgbClr>
          </a:solidFill>
          <a:prstDash val="solid"/>
          <a:miter lim="800000"/>
        </a:ln>
        <a:effectLst/>
      </dgm:spPr>
      <dgm:t>
        <a:bodyPr/>
        <a:lstStyle/>
        <a:p>
          <a:pPr algn="just">
            <a:buChar char="•"/>
          </a:pPr>
          <a:r>
            <a:rPr lang="es-G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El subsidio fue financiado con recursos de caja y bancos.</a:t>
          </a:r>
        </a:p>
      </dgm:t>
    </dgm:pt>
    <dgm:pt modelId="{4B377A68-0931-4D79-BDD2-454972F9F633}" type="parTrans" cxnId="{040AAF46-EFE0-48A9-8B54-B8EE4257AE18}">
      <dgm:prSet/>
      <dgm:spPr/>
      <dgm:t>
        <a:bodyPr/>
        <a:lstStyle/>
        <a:p>
          <a:endParaRPr lang="es-GT"/>
        </a:p>
      </dgm:t>
    </dgm:pt>
    <dgm:pt modelId="{5CC3808A-C7DB-481B-870D-8DC422D45B03}" type="sibTrans" cxnId="{040AAF46-EFE0-48A9-8B54-B8EE4257AE18}">
      <dgm:prSet/>
      <dgm:spPr/>
      <dgm:t>
        <a:bodyPr/>
        <a:lstStyle/>
        <a:p>
          <a:endParaRPr lang="es-GT"/>
        </a:p>
      </dgm:t>
    </dgm:pt>
    <dgm:pt modelId="{DAD81CCE-D5F7-401D-A12E-45218068B722}">
      <dgm:prSet phldrT="[Texto]" custT="1"/>
      <dgm:spPr>
        <a:xfrm rot="5400000">
          <a:off x="2566298" y="1317901"/>
          <a:ext cx="1304458" cy="4535745"/>
        </a:xfrm>
        <a:solidFill>
          <a:sysClr val="window" lastClr="FFFFFF">
            <a:alpha val="90000"/>
            <a:hueOff val="0"/>
            <a:satOff val="0"/>
            <a:lumOff val="0"/>
            <a:alphaOff val="0"/>
          </a:sysClr>
        </a:solidFill>
        <a:ln w="12700" cap="flat" cmpd="sng" algn="ctr">
          <a:solidFill>
            <a:srgbClr val="4472C4">
              <a:shade val="50000"/>
              <a:hueOff val="268329"/>
              <a:satOff val="-6535"/>
              <a:lumOff val="28597"/>
              <a:alphaOff val="0"/>
            </a:srgbClr>
          </a:solidFill>
          <a:prstDash val="solid"/>
          <a:miter lim="800000"/>
        </a:ln>
        <a:effectLst/>
      </dgm:spPr>
      <dgm:t>
        <a:bodyPr/>
        <a:lstStyle/>
        <a:p>
          <a:pPr algn="just">
            <a:buChar char="•"/>
          </a:pPr>
          <a:r>
            <a:rPr lang="es-GT"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La tarifa social normal cubre hasta los 88 kWh, por lo que el subsidio dado en 2022-2023 amplió este beneficio a un mayor número de familias.</a:t>
          </a:r>
        </a:p>
      </dgm:t>
    </dgm:pt>
    <dgm:pt modelId="{5201DBD7-FFD6-4624-A36F-177723F4A8F1}" type="parTrans" cxnId="{D8BB4AA2-4F36-4E51-9FE9-E11858D1ECFF}">
      <dgm:prSet/>
      <dgm:spPr/>
      <dgm:t>
        <a:bodyPr/>
        <a:lstStyle/>
        <a:p>
          <a:endParaRPr lang="es-GT"/>
        </a:p>
      </dgm:t>
    </dgm:pt>
    <dgm:pt modelId="{393DC440-D227-40C1-A2F9-6F347199B724}" type="sibTrans" cxnId="{D8BB4AA2-4F36-4E51-9FE9-E11858D1ECFF}">
      <dgm:prSet/>
      <dgm:spPr/>
      <dgm:t>
        <a:bodyPr/>
        <a:lstStyle/>
        <a:p>
          <a:endParaRPr lang="es-GT"/>
        </a:p>
      </dgm:t>
    </dgm:pt>
    <dgm:pt modelId="{BF2B0B0C-C506-4EB2-965D-E469B6A0F285}" type="pres">
      <dgm:prSet presAssocID="{5FBFF4CB-6D61-4903-AE35-5198C15679CD}" presName="diagram" presStyleCnt="0">
        <dgm:presLayoutVars>
          <dgm:dir/>
          <dgm:animLvl val="lvl"/>
          <dgm:resizeHandles val="exact"/>
        </dgm:presLayoutVars>
      </dgm:prSet>
      <dgm:spPr/>
    </dgm:pt>
    <dgm:pt modelId="{3577CF29-99F6-448E-8A39-E0455BF16B64}" type="pres">
      <dgm:prSet presAssocID="{B9CCAEE6-DBF1-4A58-8283-55F145B2D95D}" presName="compNode" presStyleCnt="0"/>
      <dgm:spPr/>
    </dgm:pt>
    <dgm:pt modelId="{35B1C053-5CD9-4FD4-A63D-A11DE0917BCD}" type="pres">
      <dgm:prSet presAssocID="{B9CCAEE6-DBF1-4A58-8283-55F145B2D95D}" presName="childRect" presStyleLbl="bgAcc1" presStyleIdx="0" presStyleCnt="2">
        <dgm:presLayoutVars>
          <dgm:bulletEnabled val="1"/>
        </dgm:presLayoutVars>
      </dgm:prSet>
      <dgm:spPr/>
    </dgm:pt>
    <dgm:pt modelId="{89CCE674-3DE3-4043-B61F-01671FDC48F6}" type="pres">
      <dgm:prSet presAssocID="{B9CCAEE6-DBF1-4A58-8283-55F145B2D95D}" presName="parentText" presStyleLbl="node1" presStyleIdx="0" presStyleCnt="0">
        <dgm:presLayoutVars>
          <dgm:chMax val="0"/>
          <dgm:bulletEnabled val="1"/>
        </dgm:presLayoutVars>
      </dgm:prSet>
      <dgm:spPr/>
    </dgm:pt>
    <dgm:pt modelId="{9AA6D0F0-AFA2-4903-954B-FD36552AA2D3}" type="pres">
      <dgm:prSet presAssocID="{B9CCAEE6-DBF1-4A58-8283-55F145B2D95D}" presName="parentRect" presStyleLbl="alignNode1" presStyleIdx="0" presStyleCnt="2"/>
      <dgm:spPr/>
    </dgm:pt>
    <dgm:pt modelId="{9B9C93BA-CE5D-4271-9049-4C0093EB2E0B}" type="pres">
      <dgm:prSet presAssocID="{B9CCAEE6-DBF1-4A58-8283-55F145B2D95D}" presName="adorn" presStyleLbl="fgAccFollowNode1" presStyleIdx="0" presStyleCnt="2"/>
      <dgm:spPr>
        <a:blipFill>
          <a:blip xmlns:r="http://schemas.openxmlformats.org/officeDocument/2006/relationships" r:embed="rId1">
            <a:extLst>
              <a:ext uri="{28A0092B-C50C-407E-A947-70E740481C1C}">
                <a14:useLocalDpi xmlns:a14="http://schemas.microsoft.com/office/drawing/2010/main" val="0"/>
              </a:ext>
            </a:extLst>
          </a:blip>
          <a:srcRect/>
          <a:stretch>
            <a:fillRect l="-25000" r="-25000"/>
          </a:stretch>
        </a:blipFill>
      </dgm:spPr>
    </dgm:pt>
    <dgm:pt modelId="{3D8787B4-F9E1-4D4B-82C5-213299A017DC}" type="pres">
      <dgm:prSet presAssocID="{B1F520B9-6E12-499B-8CFA-707BDE48DA93}" presName="sibTrans" presStyleLbl="sibTrans2D1" presStyleIdx="0" presStyleCnt="0"/>
      <dgm:spPr/>
    </dgm:pt>
    <dgm:pt modelId="{4BB8E351-DED3-4615-937D-365F24152C9B}" type="pres">
      <dgm:prSet presAssocID="{03A56EA5-D4F8-4EC6-A14C-572AC494B0C9}" presName="compNode" presStyleCnt="0"/>
      <dgm:spPr/>
    </dgm:pt>
    <dgm:pt modelId="{68066DED-F1EA-4506-89B1-C587E1A8AA4E}" type="pres">
      <dgm:prSet presAssocID="{03A56EA5-D4F8-4EC6-A14C-572AC494B0C9}" presName="childRect" presStyleLbl="bgAcc1" presStyleIdx="1" presStyleCnt="2">
        <dgm:presLayoutVars>
          <dgm:bulletEnabled val="1"/>
        </dgm:presLayoutVars>
      </dgm:prSet>
      <dgm:spPr/>
    </dgm:pt>
    <dgm:pt modelId="{12B05A12-9026-47ED-99AA-7025060AA454}" type="pres">
      <dgm:prSet presAssocID="{03A56EA5-D4F8-4EC6-A14C-572AC494B0C9}" presName="parentText" presStyleLbl="node1" presStyleIdx="0" presStyleCnt="0">
        <dgm:presLayoutVars>
          <dgm:chMax val="0"/>
          <dgm:bulletEnabled val="1"/>
        </dgm:presLayoutVars>
      </dgm:prSet>
      <dgm:spPr/>
    </dgm:pt>
    <dgm:pt modelId="{C28DC1AB-1822-4AD5-9E54-0429B5A49612}" type="pres">
      <dgm:prSet presAssocID="{03A56EA5-D4F8-4EC6-A14C-572AC494B0C9}" presName="parentRect" presStyleLbl="alignNode1" presStyleIdx="1" presStyleCnt="2"/>
      <dgm:spPr/>
    </dgm:pt>
    <dgm:pt modelId="{66AC61ED-957E-4865-992F-0523C2A6BF57}" type="pres">
      <dgm:prSet presAssocID="{03A56EA5-D4F8-4EC6-A14C-572AC494B0C9}" presName="adorn" presStyleLbl="fgAccFollowNode1" presStyleIdx="1" presStyleCnt="2"/>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7000" r="-17000"/>
          </a:stretch>
        </a:blipFill>
      </dgm:spPr>
    </dgm:pt>
  </dgm:ptLst>
  <dgm:cxnLst>
    <dgm:cxn modelId="{06852A00-C496-4FED-A03C-085FC63DFD1F}" type="presOf" srcId="{B9CCAEE6-DBF1-4A58-8283-55F145B2D95D}" destId="{9AA6D0F0-AFA2-4903-954B-FD36552AA2D3}" srcOrd="1" destOrd="0" presId="urn:microsoft.com/office/officeart/2005/8/layout/bList2"/>
    <dgm:cxn modelId="{39D6A309-7874-46C7-B87D-79FC2AB1E222}" type="presOf" srcId="{B1F520B9-6E12-499B-8CFA-707BDE48DA93}" destId="{3D8787B4-F9E1-4D4B-82C5-213299A017DC}" srcOrd="0" destOrd="0" presId="urn:microsoft.com/office/officeart/2005/8/layout/bList2"/>
    <dgm:cxn modelId="{09C08710-F203-4CEB-8478-E85E3865C200}" type="presOf" srcId="{BD00F985-5BF1-406F-B8A6-E69E74DCC2D0}" destId="{68066DED-F1EA-4506-89B1-C587E1A8AA4E}" srcOrd="0" destOrd="0" presId="urn:microsoft.com/office/officeart/2005/8/layout/bList2"/>
    <dgm:cxn modelId="{49C60116-26E1-4180-BFB8-BDCBF32B1A45}" srcId="{A49A0C08-792D-40F2-963C-0206C34A8748}" destId="{C7FC55D6-6B8F-4819-AFE7-1F604745E109}" srcOrd="2" destOrd="0" parTransId="{27305780-F8B2-451F-8CA6-C3BBD1BE17F2}" sibTransId="{57DE69A8-5EA9-48D7-B578-6F5975BF72EF}"/>
    <dgm:cxn modelId="{118E2F1E-C342-480E-9389-E1E3D9C612C4}" srcId="{A49A0C08-792D-40F2-963C-0206C34A8748}" destId="{88C32BA9-F59C-4213-AA4C-DC1C81195C36}" srcOrd="0" destOrd="0" parTransId="{3CD4CA2E-3E56-4E73-A29F-83B29CA19A0A}" sibTransId="{3045F446-7B67-41C9-876C-B5738C7DE13B}"/>
    <dgm:cxn modelId="{19F91822-AE00-4057-A24F-9FBF9B3D0D52}" type="presOf" srcId="{5FBFF4CB-6D61-4903-AE35-5198C15679CD}" destId="{BF2B0B0C-C506-4EB2-965D-E469B6A0F285}" srcOrd="0" destOrd="0" presId="urn:microsoft.com/office/officeart/2005/8/layout/bList2"/>
    <dgm:cxn modelId="{AAF1402A-1A0E-413B-8D3C-84C02E3A42B0}" srcId="{5FBFF4CB-6D61-4903-AE35-5198C15679CD}" destId="{03A56EA5-D4F8-4EC6-A14C-572AC494B0C9}" srcOrd="1" destOrd="0" parTransId="{9665ED9F-2288-437D-99A4-366F2D55DD0C}" sibTransId="{C468CF5B-0037-400D-9873-19ED91BD535B}"/>
    <dgm:cxn modelId="{865B0F38-15D6-47C2-A860-3B26B2CB1481}" type="presOf" srcId="{B9CCAEE6-DBF1-4A58-8283-55F145B2D95D}" destId="{89CCE674-3DE3-4043-B61F-01671FDC48F6}" srcOrd="0" destOrd="0" presId="urn:microsoft.com/office/officeart/2005/8/layout/bList2"/>
    <dgm:cxn modelId="{E1BD933C-2747-4C2D-A9C9-3436D32C6BA7}" srcId="{5FBFF4CB-6D61-4903-AE35-5198C15679CD}" destId="{B9CCAEE6-DBF1-4A58-8283-55F145B2D95D}" srcOrd="0" destOrd="0" parTransId="{94BBAF7D-C258-49D8-A6F3-26F8D3D6C05F}" sibTransId="{B1F520B9-6E12-499B-8CFA-707BDE48DA93}"/>
    <dgm:cxn modelId="{59F7A260-DE12-4F5F-BE73-D124C8EE261B}" type="presOf" srcId="{93F6ED90-DE5E-4C60-B4BD-9272BF069B9C}" destId="{35B1C053-5CD9-4FD4-A63D-A11DE0917BCD}" srcOrd="0" destOrd="4" presId="urn:microsoft.com/office/officeart/2005/8/layout/bList2"/>
    <dgm:cxn modelId="{5D7D4542-1908-4FFC-9D66-0E5BE8AB3601}" srcId="{B9CCAEE6-DBF1-4A58-8283-55F145B2D95D}" destId="{A49A0C08-792D-40F2-963C-0206C34A8748}" srcOrd="0" destOrd="0" parTransId="{4F8DFD97-C1DD-4D78-88C3-A949F82100AC}" sibTransId="{03A841B2-3F11-4DDF-BA04-D2B7282D325F}"/>
    <dgm:cxn modelId="{040AAF46-EFE0-48A9-8B54-B8EE4257AE18}" srcId="{03A56EA5-D4F8-4EC6-A14C-572AC494B0C9}" destId="{A5918C1B-5037-4D7C-801A-C94E76D41067}" srcOrd="1" destOrd="0" parTransId="{4B377A68-0931-4D79-BDD2-454972F9F633}" sibTransId="{5CC3808A-C7DB-481B-870D-8DC422D45B03}"/>
    <dgm:cxn modelId="{0F076B55-040D-47D9-8A9A-826A3122BE3A}" type="presOf" srcId="{03A56EA5-D4F8-4EC6-A14C-572AC494B0C9}" destId="{12B05A12-9026-47ED-99AA-7025060AA454}" srcOrd="0" destOrd="0" presId="urn:microsoft.com/office/officeart/2005/8/layout/bList2"/>
    <dgm:cxn modelId="{98F4D07B-4AF8-47B8-8956-41F2C259489A}" type="presOf" srcId="{88C32BA9-F59C-4213-AA4C-DC1C81195C36}" destId="{35B1C053-5CD9-4FD4-A63D-A11DE0917BCD}" srcOrd="0" destOrd="1" presId="urn:microsoft.com/office/officeart/2005/8/layout/bList2"/>
    <dgm:cxn modelId="{F88CBF82-5213-4AA7-8C44-90131B7AE340}" type="presOf" srcId="{03A56EA5-D4F8-4EC6-A14C-572AC494B0C9}" destId="{C28DC1AB-1822-4AD5-9E54-0429B5A49612}" srcOrd="1" destOrd="0" presId="urn:microsoft.com/office/officeart/2005/8/layout/bList2"/>
    <dgm:cxn modelId="{A0136895-5402-4FAC-9B7C-1836421F7442}" srcId="{03A56EA5-D4F8-4EC6-A14C-572AC494B0C9}" destId="{BD00F985-5BF1-406F-B8A6-E69E74DCC2D0}" srcOrd="0" destOrd="0" parTransId="{3160FA2A-57C6-4076-BC39-3710EE8D9636}" sibTransId="{E6C88FBB-B0B4-451D-8645-BE5DCF0E94A1}"/>
    <dgm:cxn modelId="{D8BB4AA2-4F36-4E51-9FE9-E11858D1ECFF}" srcId="{03A56EA5-D4F8-4EC6-A14C-572AC494B0C9}" destId="{DAD81CCE-D5F7-401D-A12E-45218068B722}" srcOrd="2" destOrd="0" parTransId="{5201DBD7-FFD6-4624-A36F-177723F4A8F1}" sibTransId="{393DC440-D227-40C1-A2F9-6F347199B724}"/>
    <dgm:cxn modelId="{FD063BA5-77E2-4389-BDEA-46581C645EF6}" type="presOf" srcId="{A49A0C08-792D-40F2-963C-0206C34A8748}" destId="{35B1C053-5CD9-4FD4-A63D-A11DE0917BCD}" srcOrd="0" destOrd="0" presId="urn:microsoft.com/office/officeart/2005/8/layout/bList2"/>
    <dgm:cxn modelId="{15B7CFA5-32B6-4E47-8378-570EB2C152E0}" srcId="{A49A0C08-792D-40F2-963C-0206C34A8748}" destId="{45CFA25F-971B-47DE-B908-8A1262EE1320}" srcOrd="1" destOrd="0" parTransId="{748F79D9-6C32-4CC0-9DE3-3FE1D54EAC61}" sibTransId="{971B66EC-6520-467B-9A5F-612CBF104027}"/>
    <dgm:cxn modelId="{71EF54A9-F9E7-417B-A3B1-EC35CBBC8369}" type="presOf" srcId="{C7FC55D6-6B8F-4819-AFE7-1F604745E109}" destId="{35B1C053-5CD9-4FD4-A63D-A11DE0917BCD}" srcOrd="0" destOrd="3" presId="urn:microsoft.com/office/officeart/2005/8/layout/bList2"/>
    <dgm:cxn modelId="{70C96CB6-7A18-442E-8A29-B029749AF5E7}" srcId="{A49A0C08-792D-40F2-963C-0206C34A8748}" destId="{93F6ED90-DE5E-4C60-B4BD-9272BF069B9C}" srcOrd="3" destOrd="0" parTransId="{2AE256DF-92D5-4947-A5D4-3A0FF6FE8A88}" sibTransId="{1CEB2C6E-432F-43BE-B639-ECE177EBC5B2}"/>
    <dgm:cxn modelId="{775200DD-C053-41C1-879A-2E2BB998CEE0}" type="presOf" srcId="{A5918C1B-5037-4D7C-801A-C94E76D41067}" destId="{68066DED-F1EA-4506-89B1-C587E1A8AA4E}" srcOrd="0" destOrd="1" presId="urn:microsoft.com/office/officeart/2005/8/layout/bList2"/>
    <dgm:cxn modelId="{E8D46EDF-10B7-487C-83EA-F786E0BD9AF2}" type="presOf" srcId="{DAD81CCE-D5F7-401D-A12E-45218068B722}" destId="{68066DED-F1EA-4506-89B1-C587E1A8AA4E}" srcOrd="0" destOrd="2" presId="urn:microsoft.com/office/officeart/2005/8/layout/bList2"/>
    <dgm:cxn modelId="{B64025F7-CCB7-40E2-B8D8-1C1AF056A746}" type="presOf" srcId="{45CFA25F-971B-47DE-B908-8A1262EE1320}" destId="{35B1C053-5CD9-4FD4-A63D-A11DE0917BCD}" srcOrd="0" destOrd="2" presId="urn:microsoft.com/office/officeart/2005/8/layout/bList2"/>
    <dgm:cxn modelId="{F1CF3574-7254-4AF4-BD17-FED4353C52A3}" type="presParOf" srcId="{BF2B0B0C-C506-4EB2-965D-E469B6A0F285}" destId="{3577CF29-99F6-448E-8A39-E0455BF16B64}" srcOrd="0" destOrd="0" presId="urn:microsoft.com/office/officeart/2005/8/layout/bList2"/>
    <dgm:cxn modelId="{A2F7BB25-ADE3-4392-A4EC-9035FC777F4F}" type="presParOf" srcId="{3577CF29-99F6-448E-8A39-E0455BF16B64}" destId="{35B1C053-5CD9-4FD4-A63D-A11DE0917BCD}" srcOrd="0" destOrd="0" presId="urn:microsoft.com/office/officeart/2005/8/layout/bList2"/>
    <dgm:cxn modelId="{368BF158-BE95-4D05-9405-BE118A028456}" type="presParOf" srcId="{3577CF29-99F6-448E-8A39-E0455BF16B64}" destId="{89CCE674-3DE3-4043-B61F-01671FDC48F6}" srcOrd="1" destOrd="0" presId="urn:microsoft.com/office/officeart/2005/8/layout/bList2"/>
    <dgm:cxn modelId="{CC88837F-343E-4968-80A5-12AE015E7154}" type="presParOf" srcId="{3577CF29-99F6-448E-8A39-E0455BF16B64}" destId="{9AA6D0F0-AFA2-4903-954B-FD36552AA2D3}" srcOrd="2" destOrd="0" presId="urn:microsoft.com/office/officeart/2005/8/layout/bList2"/>
    <dgm:cxn modelId="{532D3584-97A9-40DA-85AD-479BA1C7CDD5}" type="presParOf" srcId="{3577CF29-99F6-448E-8A39-E0455BF16B64}" destId="{9B9C93BA-CE5D-4271-9049-4C0093EB2E0B}" srcOrd="3" destOrd="0" presId="urn:microsoft.com/office/officeart/2005/8/layout/bList2"/>
    <dgm:cxn modelId="{5E826FF8-5AC7-434F-A6A0-B22DE505CBC0}" type="presParOf" srcId="{BF2B0B0C-C506-4EB2-965D-E469B6A0F285}" destId="{3D8787B4-F9E1-4D4B-82C5-213299A017DC}" srcOrd="1" destOrd="0" presId="urn:microsoft.com/office/officeart/2005/8/layout/bList2"/>
    <dgm:cxn modelId="{3DB7F805-7E79-4B9D-8ADE-97A22163006B}" type="presParOf" srcId="{BF2B0B0C-C506-4EB2-965D-E469B6A0F285}" destId="{4BB8E351-DED3-4615-937D-365F24152C9B}" srcOrd="2" destOrd="0" presId="urn:microsoft.com/office/officeart/2005/8/layout/bList2"/>
    <dgm:cxn modelId="{A194DC38-3301-472B-994B-A14F52AFB501}" type="presParOf" srcId="{4BB8E351-DED3-4615-937D-365F24152C9B}" destId="{68066DED-F1EA-4506-89B1-C587E1A8AA4E}" srcOrd="0" destOrd="0" presId="urn:microsoft.com/office/officeart/2005/8/layout/bList2"/>
    <dgm:cxn modelId="{51355EFC-0943-4ABD-AE5A-71B1AF4F5CAB}" type="presParOf" srcId="{4BB8E351-DED3-4615-937D-365F24152C9B}" destId="{12B05A12-9026-47ED-99AA-7025060AA454}" srcOrd="1" destOrd="0" presId="urn:microsoft.com/office/officeart/2005/8/layout/bList2"/>
    <dgm:cxn modelId="{7A8241CE-C830-493A-98E6-28F47643D05A}" type="presParOf" srcId="{4BB8E351-DED3-4615-937D-365F24152C9B}" destId="{C28DC1AB-1822-4AD5-9E54-0429B5A49612}" srcOrd="2" destOrd="0" presId="urn:microsoft.com/office/officeart/2005/8/layout/bList2"/>
    <dgm:cxn modelId="{C096C824-1449-4623-951B-65CECE798D3A}" type="presParOf" srcId="{4BB8E351-DED3-4615-937D-365F24152C9B}" destId="{66AC61ED-957E-4865-992F-0523C2A6BF57}" srcOrd="3" destOrd="0" presId="urn:microsoft.com/office/officeart/2005/8/layout/bList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681C0B2-2EA8-40C5-A6BA-B48D6A1A6D43}" type="doc">
      <dgm:prSet loTypeId="urn:microsoft.com/office/officeart/2008/layout/HorizontalMultiLevelHierarchy" loCatId="hierarchy" qsTypeId="urn:microsoft.com/office/officeart/2005/8/quickstyle/3d3" qsCatId="3D" csTypeId="urn:microsoft.com/office/officeart/2005/8/colors/accent0_2" csCatId="mainScheme" phldr="1"/>
      <dgm:spPr/>
      <dgm:t>
        <a:bodyPr/>
        <a:lstStyle/>
        <a:p>
          <a:endParaRPr lang="es-ES"/>
        </a:p>
      </dgm:t>
    </dgm:pt>
    <dgm:pt modelId="{7A80290F-F723-432A-AD4F-4F7D47BF18A6}">
      <dgm:prSet phldrT="[Texto]" custT="1"/>
      <dgm:spPr/>
      <dgm:t>
        <a:bodyPr/>
        <a:lstStyle/>
        <a:p>
          <a:r>
            <a:rPr lang="es-ES" sz="800">
              <a:solidFill>
                <a:sysClr val="windowText" lastClr="000000"/>
              </a:solidFill>
              <a:latin typeface="Times New Roman" panose="02020603050405020304" pitchFamily="18" charset="0"/>
              <a:cs typeface="Times New Roman" panose="02020603050405020304" pitchFamily="18" charset="0"/>
            </a:rPr>
            <a:t>Sector Público</a:t>
          </a:r>
        </a:p>
      </dgm:t>
    </dgm:pt>
    <dgm:pt modelId="{1F1683BE-9315-4255-B400-9BF4AC7A9A1A}" type="parTrans" cxnId="{C78FEE63-483B-4BF4-8FD7-CD636B5B8A54}">
      <dgm:prSet/>
      <dgm:spPr/>
      <dgm:t>
        <a:bodyPr/>
        <a:lstStyle/>
        <a:p>
          <a:endParaRPr lang="es-ES" sz="800">
            <a:solidFill>
              <a:sysClr val="windowText" lastClr="000000"/>
            </a:solidFill>
            <a:latin typeface="Times New Roman" panose="02020603050405020304" pitchFamily="18" charset="0"/>
            <a:cs typeface="Times New Roman" panose="02020603050405020304" pitchFamily="18" charset="0"/>
          </a:endParaRPr>
        </a:p>
      </dgm:t>
    </dgm:pt>
    <dgm:pt modelId="{946A2467-F1C9-4A22-B60E-A720D674450F}" type="sibTrans" cxnId="{C78FEE63-483B-4BF4-8FD7-CD636B5B8A54}">
      <dgm:prSet/>
      <dgm:spPr/>
      <dgm:t>
        <a:bodyPr/>
        <a:lstStyle/>
        <a:p>
          <a:endParaRPr lang="es-ES" sz="800">
            <a:solidFill>
              <a:sysClr val="windowText" lastClr="000000"/>
            </a:solidFill>
            <a:latin typeface="Times New Roman" panose="02020603050405020304" pitchFamily="18" charset="0"/>
            <a:cs typeface="Times New Roman" panose="02020603050405020304" pitchFamily="18" charset="0"/>
          </a:endParaRPr>
        </a:p>
      </dgm:t>
    </dgm:pt>
    <dgm:pt modelId="{8B890290-C711-4278-9C0F-810D40A8CBA9}">
      <dgm:prSet phldrT="[Texto]" custT="1"/>
      <dgm:spPr>
        <a:solidFill>
          <a:schemeClr val="accent6">
            <a:lumMod val="40000"/>
            <a:lumOff val="60000"/>
          </a:schemeClr>
        </a:solidFill>
        <a:ln w="28575">
          <a:solidFill>
            <a:srgbClr val="FF0000"/>
          </a:solidFill>
        </a:ln>
      </dgm:spPr>
      <dgm:t>
        <a:bodyPr/>
        <a:lstStyle/>
        <a:p>
          <a:r>
            <a:rPr lang="es-ES" sz="800">
              <a:solidFill>
                <a:sysClr val="windowText" lastClr="000000"/>
              </a:solidFill>
              <a:latin typeface="Times New Roman" panose="02020603050405020304" pitchFamily="18" charset="0"/>
              <a:cs typeface="Times New Roman" panose="02020603050405020304" pitchFamily="18" charset="0"/>
            </a:rPr>
            <a:t>Gobierno General</a:t>
          </a:r>
        </a:p>
      </dgm:t>
    </dgm:pt>
    <dgm:pt modelId="{A8703346-FEE3-492F-B8B3-8E7F3B9860C8}" type="parTrans" cxnId="{9C78567F-242A-4E5B-B790-E7655DAE0CD5}">
      <dgm:prSet custT="1"/>
      <dgm:spPr/>
      <dgm:t>
        <a:bodyPr/>
        <a:lstStyle/>
        <a:p>
          <a:endParaRPr lang="es-ES" sz="800">
            <a:solidFill>
              <a:sysClr val="windowText" lastClr="000000"/>
            </a:solidFill>
            <a:latin typeface="Times New Roman" panose="02020603050405020304" pitchFamily="18" charset="0"/>
            <a:cs typeface="Times New Roman" panose="02020603050405020304" pitchFamily="18" charset="0"/>
          </a:endParaRPr>
        </a:p>
      </dgm:t>
    </dgm:pt>
    <dgm:pt modelId="{D19BDAA3-C51A-4D7D-B6F9-C2C87C7A9145}" type="sibTrans" cxnId="{9C78567F-242A-4E5B-B790-E7655DAE0CD5}">
      <dgm:prSet/>
      <dgm:spPr/>
      <dgm:t>
        <a:bodyPr/>
        <a:lstStyle/>
        <a:p>
          <a:endParaRPr lang="es-ES" sz="800">
            <a:solidFill>
              <a:sysClr val="windowText" lastClr="000000"/>
            </a:solidFill>
            <a:latin typeface="Times New Roman" panose="02020603050405020304" pitchFamily="18" charset="0"/>
            <a:cs typeface="Times New Roman" panose="02020603050405020304" pitchFamily="18" charset="0"/>
          </a:endParaRPr>
        </a:p>
      </dgm:t>
    </dgm:pt>
    <dgm:pt modelId="{749A17C7-FF49-4F8F-918A-3614BC07C9AD}">
      <dgm:prSet phldrT="[Texto]" custT="1"/>
      <dgm:spPr/>
      <dgm:t>
        <a:bodyPr/>
        <a:lstStyle/>
        <a:p>
          <a:r>
            <a:rPr lang="es-ES" sz="800">
              <a:solidFill>
                <a:sysClr val="windowText" lastClr="000000"/>
              </a:solidFill>
              <a:latin typeface="Times New Roman" panose="02020603050405020304" pitchFamily="18" charset="0"/>
              <a:cs typeface="Times New Roman" panose="02020603050405020304" pitchFamily="18" charset="0"/>
            </a:rPr>
            <a:t>Gobierno Central</a:t>
          </a:r>
        </a:p>
      </dgm:t>
    </dgm:pt>
    <dgm:pt modelId="{D5E5A1DB-4AAD-4710-B9DA-A4EB5BA77E76}" type="parTrans" cxnId="{A8780999-31C7-4EE8-9E2D-056D651C88B7}">
      <dgm:prSet custT="1"/>
      <dgm:spPr/>
      <dgm:t>
        <a:bodyPr/>
        <a:lstStyle/>
        <a:p>
          <a:endParaRPr lang="es-ES" sz="800">
            <a:solidFill>
              <a:sysClr val="windowText" lastClr="000000"/>
            </a:solidFill>
            <a:latin typeface="Times New Roman" panose="02020603050405020304" pitchFamily="18" charset="0"/>
            <a:cs typeface="Times New Roman" panose="02020603050405020304" pitchFamily="18" charset="0"/>
          </a:endParaRPr>
        </a:p>
      </dgm:t>
    </dgm:pt>
    <dgm:pt modelId="{4F9B0E16-7AFC-447D-87C0-19D9204D5B39}" type="sibTrans" cxnId="{A8780999-31C7-4EE8-9E2D-056D651C88B7}">
      <dgm:prSet/>
      <dgm:spPr/>
      <dgm:t>
        <a:bodyPr/>
        <a:lstStyle/>
        <a:p>
          <a:endParaRPr lang="es-ES" sz="800">
            <a:solidFill>
              <a:sysClr val="windowText" lastClr="000000"/>
            </a:solidFill>
            <a:latin typeface="Times New Roman" panose="02020603050405020304" pitchFamily="18" charset="0"/>
            <a:cs typeface="Times New Roman" panose="02020603050405020304" pitchFamily="18" charset="0"/>
          </a:endParaRPr>
        </a:p>
      </dgm:t>
    </dgm:pt>
    <dgm:pt modelId="{C66FEA0C-BE51-4437-9032-158E4B88A06C}">
      <dgm:prSet phldrT="[Texto]" custT="1"/>
      <dgm:spPr/>
      <dgm:t>
        <a:bodyPr/>
        <a:lstStyle/>
        <a:p>
          <a:r>
            <a:rPr lang="es-ES" sz="800">
              <a:solidFill>
                <a:sysClr val="windowText" lastClr="000000"/>
              </a:solidFill>
              <a:latin typeface="Times New Roman" panose="02020603050405020304" pitchFamily="18" charset="0"/>
              <a:cs typeface="Times New Roman" panose="02020603050405020304" pitchFamily="18" charset="0"/>
            </a:rPr>
            <a:t>Gobierno Locales</a:t>
          </a:r>
        </a:p>
      </dgm:t>
    </dgm:pt>
    <dgm:pt modelId="{AEF87CCA-F7E3-48EB-B011-CA779D93D72E}" type="parTrans" cxnId="{33ADCFF1-1DC3-4B66-80DF-0ED44B8B6ACD}">
      <dgm:prSet custT="1"/>
      <dgm:spPr/>
      <dgm:t>
        <a:bodyPr/>
        <a:lstStyle/>
        <a:p>
          <a:endParaRPr lang="es-ES" sz="800">
            <a:solidFill>
              <a:sysClr val="windowText" lastClr="000000"/>
            </a:solidFill>
            <a:latin typeface="Times New Roman" panose="02020603050405020304" pitchFamily="18" charset="0"/>
            <a:cs typeface="Times New Roman" panose="02020603050405020304" pitchFamily="18" charset="0"/>
          </a:endParaRPr>
        </a:p>
      </dgm:t>
    </dgm:pt>
    <dgm:pt modelId="{F1C2C07B-1F04-4BA5-91AD-EF309EB33C4F}" type="sibTrans" cxnId="{33ADCFF1-1DC3-4B66-80DF-0ED44B8B6ACD}">
      <dgm:prSet/>
      <dgm:spPr/>
      <dgm:t>
        <a:bodyPr/>
        <a:lstStyle/>
        <a:p>
          <a:endParaRPr lang="es-ES" sz="800">
            <a:solidFill>
              <a:sysClr val="windowText" lastClr="000000"/>
            </a:solidFill>
            <a:latin typeface="Times New Roman" panose="02020603050405020304" pitchFamily="18" charset="0"/>
            <a:cs typeface="Times New Roman" panose="02020603050405020304" pitchFamily="18" charset="0"/>
          </a:endParaRPr>
        </a:p>
      </dgm:t>
    </dgm:pt>
    <dgm:pt modelId="{37665383-F808-496E-A886-FCD23A382442}">
      <dgm:prSet phldrT="[Texto]" custT="1"/>
      <dgm:spPr>
        <a:solidFill>
          <a:schemeClr val="accent6">
            <a:lumMod val="60000"/>
            <a:lumOff val="40000"/>
          </a:schemeClr>
        </a:solidFill>
        <a:ln w="38100">
          <a:solidFill>
            <a:srgbClr val="FF0000"/>
          </a:solidFill>
        </a:ln>
      </dgm:spPr>
      <dgm:t>
        <a:bodyPr/>
        <a:lstStyle/>
        <a:p>
          <a:r>
            <a:rPr lang="es-ES" sz="800">
              <a:solidFill>
                <a:sysClr val="windowText" lastClr="000000"/>
              </a:solidFill>
              <a:latin typeface="Times New Roman" panose="02020603050405020304" pitchFamily="18" charset="0"/>
              <a:cs typeface="Times New Roman" panose="02020603050405020304" pitchFamily="18" charset="0"/>
            </a:rPr>
            <a:t>No financieras</a:t>
          </a:r>
        </a:p>
      </dgm:t>
    </dgm:pt>
    <dgm:pt modelId="{F3F23B5D-511A-4971-8759-B142278FB6E5}" type="parTrans" cxnId="{CBDBE37A-CC18-46EF-B332-8A8CEF16C275}">
      <dgm:prSet custT="1"/>
      <dgm:spPr/>
      <dgm:t>
        <a:bodyPr/>
        <a:lstStyle/>
        <a:p>
          <a:endParaRPr lang="es-ES" sz="800">
            <a:solidFill>
              <a:sysClr val="windowText" lastClr="000000"/>
            </a:solidFill>
            <a:latin typeface="Times New Roman" panose="02020603050405020304" pitchFamily="18" charset="0"/>
            <a:cs typeface="Times New Roman" panose="02020603050405020304" pitchFamily="18" charset="0"/>
          </a:endParaRPr>
        </a:p>
      </dgm:t>
    </dgm:pt>
    <dgm:pt modelId="{96F0C225-0EE9-48EE-A2CD-2DFD084E9551}" type="sibTrans" cxnId="{CBDBE37A-CC18-46EF-B332-8A8CEF16C275}">
      <dgm:prSet/>
      <dgm:spPr/>
      <dgm:t>
        <a:bodyPr/>
        <a:lstStyle/>
        <a:p>
          <a:endParaRPr lang="es-ES" sz="800">
            <a:solidFill>
              <a:sysClr val="windowText" lastClr="000000"/>
            </a:solidFill>
            <a:latin typeface="Times New Roman" panose="02020603050405020304" pitchFamily="18" charset="0"/>
            <a:cs typeface="Times New Roman" panose="02020603050405020304" pitchFamily="18" charset="0"/>
          </a:endParaRPr>
        </a:p>
      </dgm:t>
    </dgm:pt>
    <dgm:pt modelId="{4CBC2F9A-FA95-4886-BE3B-544D55F769C7}">
      <dgm:prSet phldrT="[Texto]" custT="1"/>
      <dgm:spPr/>
      <dgm:t>
        <a:bodyPr/>
        <a:lstStyle/>
        <a:p>
          <a:r>
            <a:rPr lang="es-ES" sz="800">
              <a:solidFill>
                <a:sysClr val="windowText" lastClr="000000"/>
              </a:solidFill>
              <a:latin typeface="Times New Roman" panose="02020603050405020304" pitchFamily="18" charset="0"/>
              <a:cs typeface="Times New Roman" panose="02020603050405020304" pitchFamily="18" charset="0"/>
            </a:rPr>
            <a:t>Financieras</a:t>
          </a:r>
        </a:p>
      </dgm:t>
    </dgm:pt>
    <dgm:pt modelId="{EB8329EE-98BF-4AEE-8B35-A2C4DA43A9EA}" type="parTrans" cxnId="{9AB1C6E8-040C-4E22-9F2C-B1A0FDF64E0C}">
      <dgm:prSet custT="1"/>
      <dgm:spPr/>
      <dgm:t>
        <a:bodyPr/>
        <a:lstStyle/>
        <a:p>
          <a:endParaRPr lang="es-ES" sz="800">
            <a:solidFill>
              <a:sysClr val="windowText" lastClr="000000"/>
            </a:solidFill>
            <a:latin typeface="Times New Roman" panose="02020603050405020304" pitchFamily="18" charset="0"/>
            <a:cs typeface="Times New Roman" panose="02020603050405020304" pitchFamily="18" charset="0"/>
          </a:endParaRPr>
        </a:p>
      </dgm:t>
    </dgm:pt>
    <dgm:pt modelId="{DEBE0399-1F49-4677-AAA9-6C48391FBAD2}" type="sibTrans" cxnId="{9AB1C6E8-040C-4E22-9F2C-B1A0FDF64E0C}">
      <dgm:prSet/>
      <dgm:spPr/>
      <dgm:t>
        <a:bodyPr/>
        <a:lstStyle/>
        <a:p>
          <a:endParaRPr lang="es-ES" sz="800">
            <a:solidFill>
              <a:sysClr val="windowText" lastClr="000000"/>
            </a:solidFill>
            <a:latin typeface="Times New Roman" panose="02020603050405020304" pitchFamily="18" charset="0"/>
            <a:cs typeface="Times New Roman" panose="02020603050405020304" pitchFamily="18" charset="0"/>
          </a:endParaRPr>
        </a:p>
      </dgm:t>
    </dgm:pt>
    <dgm:pt modelId="{7FD84D5B-2308-4A2C-A067-2EDC4BE32B99}">
      <dgm:prSet phldrT="[Texto]" custT="1"/>
      <dgm:spPr>
        <a:solidFill>
          <a:schemeClr val="accent6">
            <a:lumMod val="40000"/>
            <a:lumOff val="60000"/>
          </a:schemeClr>
        </a:solidFill>
        <a:ln w="28575">
          <a:solidFill>
            <a:srgbClr val="FF0000"/>
          </a:solidFill>
        </a:ln>
      </dgm:spPr>
      <dgm:t>
        <a:bodyPr/>
        <a:lstStyle/>
        <a:p>
          <a:r>
            <a:rPr lang="es-ES" sz="800">
              <a:solidFill>
                <a:sysClr val="windowText" lastClr="000000"/>
              </a:solidFill>
              <a:latin typeface="Times New Roman" panose="02020603050405020304" pitchFamily="18" charset="0"/>
              <a:cs typeface="Times New Roman" panose="02020603050405020304" pitchFamily="18" charset="0"/>
            </a:rPr>
            <a:t>Presupuestario</a:t>
          </a:r>
        </a:p>
      </dgm:t>
    </dgm:pt>
    <dgm:pt modelId="{9473C394-755B-4F60-9E08-CD6D5C14CF46}" type="parTrans" cxnId="{6D4935D6-4373-4252-922C-D5ADDDF31213}">
      <dgm:prSet custT="1"/>
      <dgm:spPr/>
      <dgm:t>
        <a:bodyPr/>
        <a:lstStyle/>
        <a:p>
          <a:endParaRPr lang="es-ES" sz="800">
            <a:solidFill>
              <a:sysClr val="windowText" lastClr="000000"/>
            </a:solidFill>
            <a:latin typeface="Times New Roman" panose="02020603050405020304" pitchFamily="18" charset="0"/>
            <a:cs typeface="Times New Roman" panose="02020603050405020304" pitchFamily="18" charset="0"/>
          </a:endParaRPr>
        </a:p>
      </dgm:t>
    </dgm:pt>
    <dgm:pt modelId="{97CE79FC-A527-4B00-B6C7-4DBC8B8B9BE5}" type="sibTrans" cxnId="{6D4935D6-4373-4252-922C-D5ADDDF31213}">
      <dgm:prSet/>
      <dgm:spPr/>
      <dgm:t>
        <a:bodyPr/>
        <a:lstStyle/>
        <a:p>
          <a:endParaRPr lang="es-ES" sz="800">
            <a:solidFill>
              <a:sysClr val="windowText" lastClr="000000"/>
            </a:solidFill>
            <a:latin typeface="Times New Roman" panose="02020603050405020304" pitchFamily="18" charset="0"/>
            <a:cs typeface="Times New Roman" panose="02020603050405020304" pitchFamily="18" charset="0"/>
          </a:endParaRPr>
        </a:p>
      </dgm:t>
    </dgm:pt>
    <dgm:pt modelId="{4416514E-C43C-4E86-B2FB-0FCC10ADE048}">
      <dgm:prSet phldrT="[Texto]" custT="1"/>
      <dgm:spPr/>
      <dgm:t>
        <a:bodyPr/>
        <a:lstStyle/>
        <a:p>
          <a:r>
            <a:rPr lang="es-ES" sz="800">
              <a:solidFill>
                <a:sysClr val="windowText" lastClr="000000"/>
              </a:solidFill>
              <a:latin typeface="Times New Roman" panose="02020603050405020304" pitchFamily="18" charset="0"/>
              <a:cs typeface="Times New Roman" panose="02020603050405020304" pitchFamily="18" charset="0"/>
            </a:rPr>
            <a:t>Extrapresupuestario </a:t>
          </a:r>
        </a:p>
      </dgm:t>
    </dgm:pt>
    <dgm:pt modelId="{22FDBEB1-A98C-40F7-BDFE-78F3BC242C58}" type="parTrans" cxnId="{5CCF14AC-E2A7-4025-BAE6-354F781E93BE}">
      <dgm:prSet custT="1"/>
      <dgm:spPr/>
      <dgm:t>
        <a:bodyPr/>
        <a:lstStyle/>
        <a:p>
          <a:endParaRPr lang="es-ES" sz="800">
            <a:solidFill>
              <a:sysClr val="windowText" lastClr="000000"/>
            </a:solidFill>
            <a:latin typeface="Times New Roman" panose="02020603050405020304" pitchFamily="18" charset="0"/>
            <a:cs typeface="Times New Roman" panose="02020603050405020304" pitchFamily="18" charset="0"/>
          </a:endParaRPr>
        </a:p>
      </dgm:t>
    </dgm:pt>
    <dgm:pt modelId="{4D2681D1-1B20-4FE4-96F2-C9AF07CB3374}" type="sibTrans" cxnId="{5CCF14AC-E2A7-4025-BAE6-354F781E93BE}">
      <dgm:prSet/>
      <dgm:spPr/>
      <dgm:t>
        <a:bodyPr/>
        <a:lstStyle/>
        <a:p>
          <a:endParaRPr lang="es-ES" sz="800">
            <a:solidFill>
              <a:sysClr val="windowText" lastClr="000000"/>
            </a:solidFill>
            <a:latin typeface="Times New Roman" panose="02020603050405020304" pitchFamily="18" charset="0"/>
            <a:cs typeface="Times New Roman" panose="02020603050405020304" pitchFamily="18" charset="0"/>
          </a:endParaRPr>
        </a:p>
      </dgm:t>
    </dgm:pt>
    <dgm:pt modelId="{A03B4039-2F9E-4251-9CAC-D9CB403361A5}">
      <dgm:prSet phldrT="[Texto]" custT="1"/>
      <dgm:spPr/>
      <dgm:t>
        <a:bodyPr/>
        <a:lstStyle/>
        <a:p>
          <a:r>
            <a:rPr lang="es-ES" sz="800">
              <a:solidFill>
                <a:sysClr val="windowText" lastClr="000000"/>
              </a:solidFill>
              <a:latin typeface="Times New Roman" panose="02020603050405020304" pitchFamily="18" charset="0"/>
              <a:cs typeface="Times New Roman" panose="02020603050405020304" pitchFamily="18" charset="0"/>
            </a:rPr>
            <a:t>De deposito</a:t>
          </a:r>
        </a:p>
      </dgm:t>
    </dgm:pt>
    <dgm:pt modelId="{ECDEF5A3-57FB-4DD0-A5FC-AFAF2C64C6A3}" type="parTrans" cxnId="{2E15E630-F9BD-46DE-80D3-E89DD2A86EA4}">
      <dgm:prSet custT="1"/>
      <dgm:spPr/>
      <dgm:t>
        <a:bodyPr/>
        <a:lstStyle/>
        <a:p>
          <a:endParaRPr lang="es-ES" sz="800">
            <a:solidFill>
              <a:sysClr val="windowText" lastClr="000000"/>
            </a:solidFill>
            <a:latin typeface="Times New Roman" panose="02020603050405020304" pitchFamily="18" charset="0"/>
            <a:cs typeface="Times New Roman" panose="02020603050405020304" pitchFamily="18" charset="0"/>
          </a:endParaRPr>
        </a:p>
      </dgm:t>
    </dgm:pt>
    <dgm:pt modelId="{1C7F6FDF-4081-40B2-9068-E772875ABE20}" type="sibTrans" cxnId="{2E15E630-F9BD-46DE-80D3-E89DD2A86EA4}">
      <dgm:prSet/>
      <dgm:spPr/>
      <dgm:t>
        <a:bodyPr/>
        <a:lstStyle/>
        <a:p>
          <a:endParaRPr lang="es-ES" sz="800">
            <a:solidFill>
              <a:sysClr val="windowText" lastClr="000000"/>
            </a:solidFill>
            <a:latin typeface="Times New Roman" panose="02020603050405020304" pitchFamily="18" charset="0"/>
            <a:cs typeface="Times New Roman" panose="02020603050405020304" pitchFamily="18" charset="0"/>
          </a:endParaRPr>
        </a:p>
      </dgm:t>
    </dgm:pt>
    <dgm:pt modelId="{1212D7EE-AE55-4627-8584-507D5756A0D2}">
      <dgm:prSet phldrT="[Texto]" custT="1"/>
      <dgm:spPr/>
      <dgm:t>
        <a:bodyPr/>
        <a:lstStyle/>
        <a:p>
          <a:r>
            <a:rPr lang="es-ES" sz="800">
              <a:solidFill>
                <a:sysClr val="windowText" lastClr="000000"/>
              </a:solidFill>
              <a:latin typeface="Times New Roman" panose="02020603050405020304" pitchFamily="18" charset="0"/>
              <a:cs typeface="Times New Roman" panose="02020603050405020304" pitchFamily="18" charset="0"/>
            </a:rPr>
            <a:t>Otras sociedades públicas financieras</a:t>
          </a:r>
        </a:p>
      </dgm:t>
    </dgm:pt>
    <dgm:pt modelId="{6687F422-3A96-46A1-BD7C-B076209F75EB}" type="parTrans" cxnId="{80B7D812-8507-4436-A149-B034D4344D86}">
      <dgm:prSet custT="1"/>
      <dgm:spPr/>
      <dgm:t>
        <a:bodyPr/>
        <a:lstStyle/>
        <a:p>
          <a:endParaRPr lang="es-ES" sz="800">
            <a:solidFill>
              <a:sysClr val="windowText" lastClr="000000"/>
            </a:solidFill>
            <a:latin typeface="Times New Roman" panose="02020603050405020304" pitchFamily="18" charset="0"/>
            <a:cs typeface="Times New Roman" panose="02020603050405020304" pitchFamily="18" charset="0"/>
          </a:endParaRPr>
        </a:p>
      </dgm:t>
    </dgm:pt>
    <dgm:pt modelId="{9168B082-77BC-49D2-B1C4-5C3FAB645F74}" type="sibTrans" cxnId="{80B7D812-8507-4436-A149-B034D4344D86}">
      <dgm:prSet/>
      <dgm:spPr/>
      <dgm:t>
        <a:bodyPr/>
        <a:lstStyle/>
        <a:p>
          <a:endParaRPr lang="es-ES" sz="800">
            <a:solidFill>
              <a:sysClr val="windowText" lastClr="000000"/>
            </a:solidFill>
            <a:latin typeface="Times New Roman" panose="02020603050405020304" pitchFamily="18" charset="0"/>
            <a:cs typeface="Times New Roman" panose="02020603050405020304" pitchFamily="18" charset="0"/>
          </a:endParaRPr>
        </a:p>
      </dgm:t>
    </dgm:pt>
    <dgm:pt modelId="{EF977685-AAB3-4B0D-9FAB-16494B0B4298}">
      <dgm:prSet phldrT="[Texto]" custT="1"/>
      <dgm:spPr/>
      <dgm:t>
        <a:bodyPr/>
        <a:lstStyle/>
        <a:p>
          <a:r>
            <a:rPr lang="es-ES" sz="800">
              <a:solidFill>
                <a:sysClr val="windowText" lastClr="000000"/>
              </a:solidFill>
              <a:latin typeface="Times New Roman" panose="02020603050405020304" pitchFamily="18" charset="0"/>
              <a:cs typeface="Times New Roman" panose="02020603050405020304" pitchFamily="18" charset="0"/>
            </a:rPr>
            <a:t>Sociedades Públicas</a:t>
          </a:r>
        </a:p>
      </dgm:t>
    </dgm:pt>
    <dgm:pt modelId="{05748153-11C5-408F-A69A-51687CD0541C}" type="sibTrans" cxnId="{709570A5-4A20-476F-BE25-7E618E839A3A}">
      <dgm:prSet/>
      <dgm:spPr/>
      <dgm:t>
        <a:bodyPr/>
        <a:lstStyle/>
        <a:p>
          <a:endParaRPr lang="es-ES" sz="800">
            <a:solidFill>
              <a:sysClr val="windowText" lastClr="000000"/>
            </a:solidFill>
            <a:latin typeface="Times New Roman" panose="02020603050405020304" pitchFamily="18" charset="0"/>
            <a:cs typeface="Times New Roman" panose="02020603050405020304" pitchFamily="18" charset="0"/>
          </a:endParaRPr>
        </a:p>
      </dgm:t>
    </dgm:pt>
    <dgm:pt modelId="{6AF030DF-12F2-4F57-A02B-63E7EE6BD6C8}" type="parTrans" cxnId="{709570A5-4A20-476F-BE25-7E618E839A3A}">
      <dgm:prSet custT="1"/>
      <dgm:spPr/>
      <dgm:t>
        <a:bodyPr/>
        <a:lstStyle/>
        <a:p>
          <a:endParaRPr lang="es-ES" sz="800">
            <a:solidFill>
              <a:sysClr val="windowText" lastClr="000000"/>
            </a:solidFill>
            <a:latin typeface="Times New Roman" panose="02020603050405020304" pitchFamily="18" charset="0"/>
            <a:cs typeface="Times New Roman" panose="02020603050405020304" pitchFamily="18" charset="0"/>
          </a:endParaRPr>
        </a:p>
      </dgm:t>
    </dgm:pt>
    <dgm:pt modelId="{2D598BD1-8082-4599-B4C7-7DE2BDDFAD07}">
      <dgm:prSet phldrT="[Texto]" custT="1"/>
      <dgm:spPr/>
      <dgm:t>
        <a:bodyPr/>
        <a:lstStyle/>
        <a:p>
          <a:r>
            <a:rPr lang="es-ES" sz="800">
              <a:solidFill>
                <a:sysClr val="windowText" lastClr="000000"/>
              </a:solidFill>
              <a:latin typeface="Times New Roman" panose="02020603050405020304" pitchFamily="18" charset="0"/>
              <a:cs typeface="Times New Roman" panose="02020603050405020304" pitchFamily="18" charset="0"/>
            </a:rPr>
            <a:t>Fondos de Seguridad Social</a:t>
          </a:r>
        </a:p>
      </dgm:t>
    </dgm:pt>
    <dgm:pt modelId="{A2954519-7A96-4331-B451-8017F60C5B14}" type="parTrans" cxnId="{C37F901F-AE6F-4049-96FA-E18B1E561482}">
      <dgm:prSet custT="1"/>
      <dgm:spPr/>
      <dgm:t>
        <a:bodyPr/>
        <a:lstStyle/>
        <a:p>
          <a:endParaRPr lang="es-GT" sz="800">
            <a:solidFill>
              <a:sysClr val="windowText" lastClr="000000"/>
            </a:solidFill>
            <a:latin typeface="Times New Roman" panose="02020603050405020304" pitchFamily="18" charset="0"/>
            <a:cs typeface="Times New Roman" panose="02020603050405020304" pitchFamily="18" charset="0"/>
          </a:endParaRPr>
        </a:p>
      </dgm:t>
    </dgm:pt>
    <dgm:pt modelId="{FDFE5A17-6AA9-46BC-AC2B-62099EF4154E}" type="sibTrans" cxnId="{C37F901F-AE6F-4049-96FA-E18B1E561482}">
      <dgm:prSet/>
      <dgm:spPr/>
      <dgm:t>
        <a:bodyPr/>
        <a:lstStyle/>
        <a:p>
          <a:endParaRPr lang="es-GT" sz="800">
            <a:solidFill>
              <a:sysClr val="windowText" lastClr="000000"/>
            </a:solidFill>
            <a:latin typeface="Times New Roman" panose="02020603050405020304" pitchFamily="18" charset="0"/>
            <a:cs typeface="Times New Roman" panose="02020603050405020304" pitchFamily="18" charset="0"/>
          </a:endParaRPr>
        </a:p>
      </dgm:t>
    </dgm:pt>
    <dgm:pt modelId="{44FA791A-F1AD-4671-B82D-FD6B35107B31}" type="pres">
      <dgm:prSet presAssocID="{D681C0B2-2EA8-40C5-A6BA-B48D6A1A6D43}" presName="Name0" presStyleCnt="0">
        <dgm:presLayoutVars>
          <dgm:chPref val="1"/>
          <dgm:dir/>
          <dgm:animOne val="branch"/>
          <dgm:animLvl val="lvl"/>
          <dgm:resizeHandles val="exact"/>
        </dgm:presLayoutVars>
      </dgm:prSet>
      <dgm:spPr/>
    </dgm:pt>
    <dgm:pt modelId="{FC409002-64D3-4F5C-BFA4-00BED3CAC065}" type="pres">
      <dgm:prSet presAssocID="{7A80290F-F723-432A-AD4F-4F7D47BF18A6}" presName="root1" presStyleCnt="0"/>
      <dgm:spPr/>
    </dgm:pt>
    <dgm:pt modelId="{97AF53B9-E39D-4D13-A5BA-798804F384F0}" type="pres">
      <dgm:prSet presAssocID="{7A80290F-F723-432A-AD4F-4F7D47BF18A6}" presName="LevelOneTextNode" presStyleLbl="node0" presStyleIdx="0" presStyleCnt="1">
        <dgm:presLayoutVars>
          <dgm:chPref val="3"/>
        </dgm:presLayoutVars>
      </dgm:prSet>
      <dgm:spPr/>
    </dgm:pt>
    <dgm:pt modelId="{31A44CD2-3FDB-4E58-896A-B724368521BC}" type="pres">
      <dgm:prSet presAssocID="{7A80290F-F723-432A-AD4F-4F7D47BF18A6}" presName="level2hierChild" presStyleCnt="0"/>
      <dgm:spPr/>
    </dgm:pt>
    <dgm:pt modelId="{A88113A6-8101-46EF-97A2-10A651268964}" type="pres">
      <dgm:prSet presAssocID="{A8703346-FEE3-492F-B8B3-8E7F3B9860C8}" presName="conn2-1" presStyleLbl="parChTrans1D2" presStyleIdx="0" presStyleCnt="2"/>
      <dgm:spPr/>
    </dgm:pt>
    <dgm:pt modelId="{BE0F96B6-9122-4B0C-B7A2-75B96132C7C5}" type="pres">
      <dgm:prSet presAssocID="{A8703346-FEE3-492F-B8B3-8E7F3B9860C8}" presName="connTx" presStyleLbl="parChTrans1D2" presStyleIdx="0" presStyleCnt="2"/>
      <dgm:spPr/>
    </dgm:pt>
    <dgm:pt modelId="{AFA17229-E259-41F4-B3F2-30D896DAA3B9}" type="pres">
      <dgm:prSet presAssocID="{8B890290-C711-4278-9C0F-810D40A8CBA9}" presName="root2" presStyleCnt="0"/>
      <dgm:spPr/>
    </dgm:pt>
    <dgm:pt modelId="{84719F2D-717A-4153-8DC2-FE122C73ED29}" type="pres">
      <dgm:prSet presAssocID="{8B890290-C711-4278-9C0F-810D40A8CBA9}" presName="LevelTwoTextNode" presStyleLbl="node2" presStyleIdx="0" presStyleCnt="2">
        <dgm:presLayoutVars>
          <dgm:chPref val="3"/>
        </dgm:presLayoutVars>
      </dgm:prSet>
      <dgm:spPr/>
    </dgm:pt>
    <dgm:pt modelId="{EFDE52CA-59E9-4D75-BF2B-CA5736990FF0}" type="pres">
      <dgm:prSet presAssocID="{8B890290-C711-4278-9C0F-810D40A8CBA9}" presName="level3hierChild" presStyleCnt="0"/>
      <dgm:spPr/>
    </dgm:pt>
    <dgm:pt modelId="{B91D9E09-FFBE-40F3-9C4B-00B3764EAA26}" type="pres">
      <dgm:prSet presAssocID="{D5E5A1DB-4AAD-4710-B9DA-A4EB5BA77E76}" presName="conn2-1" presStyleLbl="parChTrans1D3" presStyleIdx="0" presStyleCnt="5"/>
      <dgm:spPr/>
    </dgm:pt>
    <dgm:pt modelId="{1C96449C-EBE4-4B3B-B8DD-EED2F04C77B9}" type="pres">
      <dgm:prSet presAssocID="{D5E5A1DB-4AAD-4710-B9DA-A4EB5BA77E76}" presName="connTx" presStyleLbl="parChTrans1D3" presStyleIdx="0" presStyleCnt="5"/>
      <dgm:spPr/>
    </dgm:pt>
    <dgm:pt modelId="{BD88E704-6B7F-40D0-AE96-9EEC52759CAB}" type="pres">
      <dgm:prSet presAssocID="{749A17C7-FF49-4F8F-918A-3614BC07C9AD}" presName="root2" presStyleCnt="0"/>
      <dgm:spPr/>
    </dgm:pt>
    <dgm:pt modelId="{F08246C8-8069-47BF-AF31-E366D5BC5CCD}" type="pres">
      <dgm:prSet presAssocID="{749A17C7-FF49-4F8F-918A-3614BC07C9AD}" presName="LevelTwoTextNode" presStyleLbl="node3" presStyleIdx="0" presStyleCnt="5">
        <dgm:presLayoutVars>
          <dgm:chPref val="3"/>
        </dgm:presLayoutVars>
      </dgm:prSet>
      <dgm:spPr/>
    </dgm:pt>
    <dgm:pt modelId="{A0368DEE-C03F-437C-A5C4-02410D6B4A50}" type="pres">
      <dgm:prSet presAssocID="{749A17C7-FF49-4F8F-918A-3614BC07C9AD}" presName="level3hierChild" presStyleCnt="0"/>
      <dgm:spPr/>
    </dgm:pt>
    <dgm:pt modelId="{39B67397-863B-4AE7-AFC4-94D71AC942DC}" type="pres">
      <dgm:prSet presAssocID="{9473C394-755B-4F60-9E08-CD6D5C14CF46}" presName="conn2-1" presStyleLbl="parChTrans1D4" presStyleIdx="0" presStyleCnt="4"/>
      <dgm:spPr/>
    </dgm:pt>
    <dgm:pt modelId="{5DDB85B6-3B18-4371-B9BB-EF31D71A8442}" type="pres">
      <dgm:prSet presAssocID="{9473C394-755B-4F60-9E08-CD6D5C14CF46}" presName="connTx" presStyleLbl="parChTrans1D4" presStyleIdx="0" presStyleCnt="4"/>
      <dgm:spPr/>
    </dgm:pt>
    <dgm:pt modelId="{20B7D345-37F2-4E17-BA12-DE0C50F66DBA}" type="pres">
      <dgm:prSet presAssocID="{7FD84D5B-2308-4A2C-A067-2EDC4BE32B99}" presName="root2" presStyleCnt="0"/>
      <dgm:spPr/>
    </dgm:pt>
    <dgm:pt modelId="{90B2A33F-F5C4-49C7-88B9-A593099CAA99}" type="pres">
      <dgm:prSet presAssocID="{7FD84D5B-2308-4A2C-A067-2EDC4BE32B99}" presName="LevelTwoTextNode" presStyleLbl="node4" presStyleIdx="0" presStyleCnt="4">
        <dgm:presLayoutVars>
          <dgm:chPref val="3"/>
        </dgm:presLayoutVars>
      </dgm:prSet>
      <dgm:spPr/>
    </dgm:pt>
    <dgm:pt modelId="{23F18C69-5926-4C37-B345-EA52AAE5E4D0}" type="pres">
      <dgm:prSet presAssocID="{7FD84D5B-2308-4A2C-A067-2EDC4BE32B99}" presName="level3hierChild" presStyleCnt="0"/>
      <dgm:spPr/>
    </dgm:pt>
    <dgm:pt modelId="{69AB9193-4AF2-43AC-A0D1-C1EE44CFE77E}" type="pres">
      <dgm:prSet presAssocID="{22FDBEB1-A98C-40F7-BDFE-78F3BC242C58}" presName="conn2-1" presStyleLbl="parChTrans1D4" presStyleIdx="1" presStyleCnt="4"/>
      <dgm:spPr/>
    </dgm:pt>
    <dgm:pt modelId="{EF853A99-32BD-47D5-8AC1-A22D044B7F65}" type="pres">
      <dgm:prSet presAssocID="{22FDBEB1-A98C-40F7-BDFE-78F3BC242C58}" presName="connTx" presStyleLbl="parChTrans1D4" presStyleIdx="1" presStyleCnt="4"/>
      <dgm:spPr/>
    </dgm:pt>
    <dgm:pt modelId="{FB325890-E212-4065-BA0A-6664D7D3C7FE}" type="pres">
      <dgm:prSet presAssocID="{4416514E-C43C-4E86-B2FB-0FCC10ADE048}" presName="root2" presStyleCnt="0"/>
      <dgm:spPr/>
    </dgm:pt>
    <dgm:pt modelId="{E712BBC7-1FA1-4325-9D92-B4F9CE49082E}" type="pres">
      <dgm:prSet presAssocID="{4416514E-C43C-4E86-B2FB-0FCC10ADE048}" presName="LevelTwoTextNode" presStyleLbl="node4" presStyleIdx="1" presStyleCnt="4">
        <dgm:presLayoutVars>
          <dgm:chPref val="3"/>
        </dgm:presLayoutVars>
      </dgm:prSet>
      <dgm:spPr/>
    </dgm:pt>
    <dgm:pt modelId="{8C8C9F84-63E3-4E15-8209-7383B1272781}" type="pres">
      <dgm:prSet presAssocID="{4416514E-C43C-4E86-B2FB-0FCC10ADE048}" presName="level3hierChild" presStyleCnt="0"/>
      <dgm:spPr/>
    </dgm:pt>
    <dgm:pt modelId="{3654DC10-3D22-41FF-ACFF-573DD7526C2B}" type="pres">
      <dgm:prSet presAssocID="{AEF87CCA-F7E3-48EB-B011-CA779D93D72E}" presName="conn2-1" presStyleLbl="parChTrans1D3" presStyleIdx="1" presStyleCnt="5"/>
      <dgm:spPr/>
    </dgm:pt>
    <dgm:pt modelId="{112D54B7-1D29-42EF-8726-A66C1E936200}" type="pres">
      <dgm:prSet presAssocID="{AEF87CCA-F7E3-48EB-B011-CA779D93D72E}" presName="connTx" presStyleLbl="parChTrans1D3" presStyleIdx="1" presStyleCnt="5"/>
      <dgm:spPr/>
    </dgm:pt>
    <dgm:pt modelId="{8C7B108F-699E-4243-B2C4-AE294E3CCE03}" type="pres">
      <dgm:prSet presAssocID="{C66FEA0C-BE51-4437-9032-158E4B88A06C}" presName="root2" presStyleCnt="0"/>
      <dgm:spPr/>
    </dgm:pt>
    <dgm:pt modelId="{C1731FAD-79DD-49CC-8C58-FB15CB2A049A}" type="pres">
      <dgm:prSet presAssocID="{C66FEA0C-BE51-4437-9032-158E4B88A06C}" presName="LevelTwoTextNode" presStyleLbl="node3" presStyleIdx="1" presStyleCnt="5">
        <dgm:presLayoutVars>
          <dgm:chPref val="3"/>
        </dgm:presLayoutVars>
      </dgm:prSet>
      <dgm:spPr/>
    </dgm:pt>
    <dgm:pt modelId="{95C8756C-B3CE-4EAB-9411-97EB8F08A63C}" type="pres">
      <dgm:prSet presAssocID="{C66FEA0C-BE51-4437-9032-158E4B88A06C}" presName="level3hierChild" presStyleCnt="0"/>
      <dgm:spPr/>
    </dgm:pt>
    <dgm:pt modelId="{D7E5B178-F8BD-4140-AB9D-E9BA15B756D4}" type="pres">
      <dgm:prSet presAssocID="{A2954519-7A96-4331-B451-8017F60C5B14}" presName="conn2-1" presStyleLbl="parChTrans1D3" presStyleIdx="2" presStyleCnt="5"/>
      <dgm:spPr/>
    </dgm:pt>
    <dgm:pt modelId="{9157E60A-16DE-44E5-9B02-26316D736A5D}" type="pres">
      <dgm:prSet presAssocID="{A2954519-7A96-4331-B451-8017F60C5B14}" presName="connTx" presStyleLbl="parChTrans1D3" presStyleIdx="2" presStyleCnt="5"/>
      <dgm:spPr/>
    </dgm:pt>
    <dgm:pt modelId="{5D34C244-25AE-45B4-822F-FE5657B0414F}" type="pres">
      <dgm:prSet presAssocID="{2D598BD1-8082-4599-B4C7-7DE2BDDFAD07}" presName="root2" presStyleCnt="0"/>
      <dgm:spPr/>
    </dgm:pt>
    <dgm:pt modelId="{BA8F22A0-AED2-44D9-A9A5-7D3C4D7DD7E9}" type="pres">
      <dgm:prSet presAssocID="{2D598BD1-8082-4599-B4C7-7DE2BDDFAD07}" presName="LevelTwoTextNode" presStyleLbl="node3" presStyleIdx="2" presStyleCnt="5">
        <dgm:presLayoutVars>
          <dgm:chPref val="3"/>
        </dgm:presLayoutVars>
      </dgm:prSet>
      <dgm:spPr/>
    </dgm:pt>
    <dgm:pt modelId="{DBD0061C-1A1F-4A11-BADB-D9DBE273E151}" type="pres">
      <dgm:prSet presAssocID="{2D598BD1-8082-4599-B4C7-7DE2BDDFAD07}" presName="level3hierChild" presStyleCnt="0"/>
      <dgm:spPr/>
    </dgm:pt>
    <dgm:pt modelId="{F81B984B-F38C-4F9A-9F96-C0D3D10EBC0B}" type="pres">
      <dgm:prSet presAssocID="{6AF030DF-12F2-4F57-A02B-63E7EE6BD6C8}" presName="conn2-1" presStyleLbl="parChTrans1D2" presStyleIdx="1" presStyleCnt="2"/>
      <dgm:spPr/>
    </dgm:pt>
    <dgm:pt modelId="{97C9EBC8-F1BE-490E-8CA6-5E4850C5CF28}" type="pres">
      <dgm:prSet presAssocID="{6AF030DF-12F2-4F57-A02B-63E7EE6BD6C8}" presName="connTx" presStyleLbl="parChTrans1D2" presStyleIdx="1" presStyleCnt="2"/>
      <dgm:spPr/>
    </dgm:pt>
    <dgm:pt modelId="{01AABF48-B16E-456B-AF39-E9812B1BDFC1}" type="pres">
      <dgm:prSet presAssocID="{EF977685-AAB3-4B0D-9FAB-16494B0B4298}" presName="root2" presStyleCnt="0"/>
      <dgm:spPr/>
    </dgm:pt>
    <dgm:pt modelId="{327CF8F1-9540-46EA-87CA-646B6C0ECDA0}" type="pres">
      <dgm:prSet presAssocID="{EF977685-AAB3-4B0D-9FAB-16494B0B4298}" presName="LevelTwoTextNode" presStyleLbl="node2" presStyleIdx="1" presStyleCnt="2">
        <dgm:presLayoutVars>
          <dgm:chPref val="3"/>
        </dgm:presLayoutVars>
      </dgm:prSet>
      <dgm:spPr/>
    </dgm:pt>
    <dgm:pt modelId="{C461BC34-F558-4E10-A69F-4FE378AC6A8C}" type="pres">
      <dgm:prSet presAssocID="{EF977685-AAB3-4B0D-9FAB-16494B0B4298}" presName="level3hierChild" presStyleCnt="0"/>
      <dgm:spPr/>
    </dgm:pt>
    <dgm:pt modelId="{2AA26576-1749-4A56-BEE4-9043164BE6F8}" type="pres">
      <dgm:prSet presAssocID="{F3F23B5D-511A-4971-8759-B142278FB6E5}" presName="conn2-1" presStyleLbl="parChTrans1D3" presStyleIdx="3" presStyleCnt="5"/>
      <dgm:spPr/>
    </dgm:pt>
    <dgm:pt modelId="{FCCAC6F6-0190-4CC6-8C4F-07EE089282E9}" type="pres">
      <dgm:prSet presAssocID="{F3F23B5D-511A-4971-8759-B142278FB6E5}" presName="connTx" presStyleLbl="parChTrans1D3" presStyleIdx="3" presStyleCnt="5"/>
      <dgm:spPr/>
    </dgm:pt>
    <dgm:pt modelId="{9AE55339-FC08-4DE1-8F96-10E6341197A7}" type="pres">
      <dgm:prSet presAssocID="{37665383-F808-496E-A886-FCD23A382442}" presName="root2" presStyleCnt="0"/>
      <dgm:spPr/>
    </dgm:pt>
    <dgm:pt modelId="{A07DC19F-30B7-4020-A8E2-723B732B9608}" type="pres">
      <dgm:prSet presAssocID="{37665383-F808-496E-A886-FCD23A382442}" presName="LevelTwoTextNode" presStyleLbl="node3" presStyleIdx="3" presStyleCnt="5">
        <dgm:presLayoutVars>
          <dgm:chPref val="3"/>
        </dgm:presLayoutVars>
      </dgm:prSet>
      <dgm:spPr/>
    </dgm:pt>
    <dgm:pt modelId="{F423CFD8-0E5D-48A8-8F11-2E623303D80E}" type="pres">
      <dgm:prSet presAssocID="{37665383-F808-496E-A886-FCD23A382442}" presName="level3hierChild" presStyleCnt="0"/>
      <dgm:spPr/>
    </dgm:pt>
    <dgm:pt modelId="{6537BB23-4B05-43EE-AF81-3662FAF6C7BE}" type="pres">
      <dgm:prSet presAssocID="{EB8329EE-98BF-4AEE-8B35-A2C4DA43A9EA}" presName="conn2-1" presStyleLbl="parChTrans1D3" presStyleIdx="4" presStyleCnt="5"/>
      <dgm:spPr/>
    </dgm:pt>
    <dgm:pt modelId="{A13F1886-3FA4-4DA9-9D2C-E0363DDFC0EA}" type="pres">
      <dgm:prSet presAssocID="{EB8329EE-98BF-4AEE-8B35-A2C4DA43A9EA}" presName="connTx" presStyleLbl="parChTrans1D3" presStyleIdx="4" presStyleCnt="5"/>
      <dgm:spPr/>
    </dgm:pt>
    <dgm:pt modelId="{EE646110-5147-45F0-889E-99E88D8F545B}" type="pres">
      <dgm:prSet presAssocID="{4CBC2F9A-FA95-4886-BE3B-544D55F769C7}" presName="root2" presStyleCnt="0"/>
      <dgm:spPr/>
    </dgm:pt>
    <dgm:pt modelId="{E8093928-4344-4CF3-AAAE-094C2B47DA4D}" type="pres">
      <dgm:prSet presAssocID="{4CBC2F9A-FA95-4886-BE3B-544D55F769C7}" presName="LevelTwoTextNode" presStyleLbl="node3" presStyleIdx="4" presStyleCnt="5">
        <dgm:presLayoutVars>
          <dgm:chPref val="3"/>
        </dgm:presLayoutVars>
      </dgm:prSet>
      <dgm:spPr/>
    </dgm:pt>
    <dgm:pt modelId="{D1AA012B-B469-4689-B4F9-EB24A3CD2C77}" type="pres">
      <dgm:prSet presAssocID="{4CBC2F9A-FA95-4886-BE3B-544D55F769C7}" presName="level3hierChild" presStyleCnt="0"/>
      <dgm:spPr/>
    </dgm:pt>
    <dgm:pt modelId="{05E3CC04-10F1-430C-85D0-0896D101C3DC}" type="pres">
      <dgm:prSet presAssocID="{ECDEF5A3-57FB-4DD0-A5FC-AFAF2C64C6A3}" presName="conn2-1" presStyleLbl="parChTrans1D4" presStyleIdx="2" presStyleCnt="4"/>
      <dgm:spPr/>
    </dgm:pt>
    <dgm:pt modelId="{108EB368-6AE7-4256-A8A3-C70C65C73D95}" type="pres">
      <dgm:prSet presAssocID="{ECDEF5A3-57FB-4DD0-A5FC-AFAF2C64C6A3}" presName="connTx" presStyleLbl="parChTrans1D4" presStyleIdx="2" presStyleCnt="4"/>
      <dgm:spPr/>
    </dgm:pt>
    <dgm:pt modelId="{05D2CDD5-2E0E-481A-8674-18A87CD87A8F}" type="pres">
      <dgm:prSet presAssocID="{A03B4039-2F9E-4251-9CAC-D9CB403361A5}" presName="root2" presStyleCnt="0"/>
      <dgm:spPr/>
    </dgm:pt>
    <dgm:pt modelId="{557B9BD5-88F8-4DD8-938B-FD24C22D76F5}" type="pres">
      <dgm:prSet presAssocID="{A03B4039-2F9E-4251-9CAC-D9CB403361A5}" presName="LevelTwoTextNode" presStyleLbl="node4" presStyleIdx="2" presStyleCnt="4">
        <dgm:presLayoutVars>
          <dgm:chPref val="3"/>
        </dgm:presLayoutVars>
      </dgm:prSet>
      <dgm:spPr/>
    </dgm:pt>
    <dgm:pt modelId="{A24FC90A-D247-4EDC-B22A-AC852887514A}" type="pres">
      <dgm:prSet presAssocID="{A03B4039-2F9E-4251-9CAC-D9CB403361A5}" presName="level3hierChild" presStyleCnt="0"/>
      <dgm:spPr/>
    </dgm:pt>
    <dgm:pt modelId="{791C797B-3D93-4A69-9D97-BEB2E95152E8}" type="pres">
      <dgm:prSet presAssocID="{6687F422-3A96-46A1-BD7C-B076209F75EB}" presName="conn2-1" presStyleLbl="parChTrans1D4" presStyleIdx="3" presStyleCnt="4"/>
      <dgm:spPr/>
    </dgm:pt>
    <dgm:pt modelId="{75613EF0-BE02-4AB4-A882-32863335D308}" type="pres">
      <dgm:prSet presAssocID="{6687F422-3A96-46A1-BD7C-B076209F75EB}" presName="connTx" presStyleLbl="parChTrans1D4" presStyleIdx="3" presStyleCnt="4"/>
      <dgm:spPr/>
    </dgm:pt>
    <dgm:pt modelId="{3492F492-BE85-40A1-AEAF-DBDF77C5EE5D}" type="pres">
      <dgm:prSet presAssocID="{1212D7EE-AE55-4627-8584-507D5756A0D2}" presName="root2" presStyleCnt="0"/>
      <dgm:spPr/>
    </dgm:pt>
    <dgm:pt modelId="{3EA8F71C-4C27-41E8-84CF-75EEF65B99D1}" type="pres">
      <dgm:prSet presAssocID="{1212D7EE-AE55-4627-8584-507D5756A0D2}" presName="LevelTwoTextNode" presStyleLbl="node4" presStyleIdx="3" presStyleCnt="4">
        <dgm:presLayoutVars>
          <dgm:chPref val="3"/>
        </dgm:presLayoutVars>
      </dgm:prSet>
      <dgm:spPr/>
    </dgm:pt>
    <dgm:pt modelId="{53739532-F0A1-4CB3-8338-7F4C2BF93643}" type="pres">
      <dgm:prSet presAssocID="{1212D7EE-AE55-4627-8584-507D5756A0D2}" presName="level3hierChild" presStyleCnt="0"/>
      <dgm:spPr/>
    </dgm:pt>
  </dgm:ptLst>
  <dgm:cxnLst>
    <dgm:cxn modelId="{C9240D08-E9B0-40AE-91EB-623A56D6969A}" type="presOf" srcId="{749A17C7-FF49-4F8F-918A-3614BC07C9AD}" destId="{F08246C8-8069-47BF-AF31-E366D5BC5CCD}" srcOrd="0" destOrd="0" presId="urn:microsoft.com/office/officeart/2008/layout/HorizontalMultiLevelHierarchy"/>
    <dgm:cxn modelId="{7989FE08-95C7-4D40-8E3D-C5875B37E8E9}" type="presOf" srcId="{F3F23B5D-511A-4971-8759-B142278FB6E5}" destId="{FCCAC6F6-0190-4CC6-8C4F-07EE089282E9}" srcOrd="1" destOrd="0" presId="urn:microsoft.com/office/officeart/2008/layout/HorizontalMultiLevelHierarchy"/>
    <dgm:cxn modelId="{5C621F0C-72C4-4925-811A-B0FD6F1C6BE3}" type="presOf" srcId="{EB8329EE-98BF-4AEE-8B35-A2C4DA43A9EA}" destId="{6537BB23-4B05-43EE-AF81-3662FAF6C7BE}" srcOrd="0" destOrd="0" presId="urn:microsoft.com/office/officeart/2008/layout/HorizontalMultiLevelHierarchy"/>
    <dgm:cxn modelId="{C972DF0D-207C-4DDB-BA8C-D60B4879927B}" type="presOf" srcId="{6687F422-3A96-46A1-BD7C-B076209F75EB}" destId="{75613EF0-BE02-4AB4-A882-32863335D308}" srcOrd="1" destOrd="0" presId="urn:microsoft.com/office/officeart/2008/layout/HorizontalMultiLevelHierarchy"/>
    <dgm:cxn modelId="{309D880E-C085-445D-A886-E79E40BD8BCB}" type="presOf" srcId="{6AF030DF-12F2-4F57-A02B-63E7EE6BD6C8}" destId="{F81B984B-F38C-4F9A-9F96-C0D3D10EBC0B}" srcOrd="0" destOrd="0" presId="urn:microsoft.com/office/officeart/2008/layout/HorizontalMultiLevelHierarchy"/>
    <dgm:cxn modelId="{80B7D812-8507-4436-A149-B034D4344D86}" srcId="{4CBC2F9A-FA95-4886-BE3B-544D55F769C7}" destId="{1212D7EE-AE55-4627-8584-507D5756A0D2}" srcOrd="1" destOrd="0" parTransId="{6687F422-3A96-46A1-BD7C-B076209F75EB}" sibTransId="{9168B082-77BC-49D2-B1C4-5C3FAB645F74}"/>
    <dgm:cxn modelId="{C37F901F-AE6F-4049-96FA-E18B1E561482}" srcId="{8B890290-C711-4278-9C0F-810D40A8CBA9}" destId="{2D598BD1-8082-4599-B4C7-7DE2BDDFAD07}" srcOrd="2" destOrd="0" parTransId="{A2954519-7A96-4331-B451-8017F60C5B14}" sibTransId="{FDFE5A17-6AA9-46BC-AC2B-62099EF4154E}"/>
    <dgm:cxn modelId="{8EF09A1F-BA41-495A-A643-73EFAD1EE7DE}" type="presOf" srcId="{4CBC2F9A-FA95-4886-BE3B-544D55F769C7}" destId="{E8093928-4344-4CF3-AAAE-094C2B47DA4D}" srcOrd="0" destOrd="0" presId="urn:microsoft.com/office/officeart/2008/layout/HorizontalMultiLevelHierarchy"/>
    <dgm:cxn modelId="{2A9FC120-1561-400D-81EF-D44D8180A94E}" type="presOf" srcId="{7FD84D5B-2308-4A2C-A067-2EDC4BE32B99}" destId="{90B2A33F-F5C4-49C7-88B9-A593099CAA99}" srcOrd="0" destOrd="0" presId="urn:microsoft.com/office/officeart/2008/layout/HorizontalMultiLevelHierarchy"/>
    <dgm:cxn modelId="{0E0FE829-A52D-46BC-89E4-7688EE5A8119}" type="presOf" srcId="{A8703346-FEE3-492F-B8B3-8E7F3B9860C8}" destId="{BE0F96B6-9122-4B0C-B7A2-75B96132C7C5}" srcOrd="1" destOrd="0" presId="urn:microsoft.com/office/officeart/2008/layout/HorizontalMultiLevelHierarchy"/>
    <dgm:cxn modelId="{78BA902C-7D7E-4636-9DA6-95033E21E2B5}" type="presOf" srcId="{A2954519-7A96-4331-B451-8017F60C5B14}" destId="{D7E5B178-F8BD-4140-AB9D-E9BA15B756D4}" srcOrd="0" destOrd="0" presId="urn:microsoft.com/office/officeart/2008/layout/HorizontalMultiLevelHierarchy"/>
    <dgm:cxn modelId="{2E15E630-F9BD-46DE-80D3-E89DD2A86EA4}" srcId="{4CBC2F9A-FA95-4886-BE3B-544D55F769C7}" destId="{A03B4039-2F9E-4251-9CAC-D9CB403361A5}" srcOrd="0" destOrd="0" parTransId="{ECDEF5A3-57FB-4DD0-A5FC-AFAF2C64C6A3}" sibTransId="{1C7F6FDF-4081-40B2-9068-E772875ABE20}"/>
    <dgm:cxn modelId="{42BFC732-8DC5-4343-BB5C-02F90AD17673}" type="presOf" srcId="{22FDBEB1-A98C-40F7-BDFE-78F3BC242C58}" destId="{EF853A99-32BD-47D5-8AC1-A22D044B7F65}" srcOrd="1" destOrd="0" presId="urn:microsoft.com/office/officeart/2008/layout/HorizontalMultiLevelHierarchy"/>
    <dgm:cxn modelId="{0C80E837-5220-48BD-8DC1-2D8C940B8D4C}" type="presOf" srcId="{4416514E-C43C-4E86-B2FB-0FCC10ADE048}" destId="{E712BBC7-1FA1-4325-9D92-B4F9CE49082E}" srcOrd="0" destOrd="0" presId="urn:microsoft.com/office/officeart/2008/layout/HorizontalMultiLevelHierarchy"/>
    <dgm:cxn modelId="{C78FEE63-483B-4BF4-8FD7-CD636B5B8A54}" srcId="{D681C0B2-2EA8-40C5-A6BA-B48D6A1A6D43}" destId="{7A80290F-F723-432A-AD4F-4F7D47BF18A6}" srcOrd="0" destOrd="0" parTransId="{1F1683BE-9315-4255-B400-9BF4AC7A9A1A}" sibTransId="{946A2467-F1C9-4A22-B60E-A720D674450F}"/>
    <dgm:cxn modelId="{8F999266-D1F2-4A03-A73A-4D9C44769CB7}" type="presOf" srcId="{AEF87CCA-F7E3-48EB-B011-CA779D93D72E}" destId="{3654DC10-3D22-41FF-ACFF-573DD7526C2B}" srcOrd="0" destOrd="0" presId="urn:microsoft.com/office/officeart/2008/layout/HorizontalMultiLevelHierarchy"/>
    <dgm:cxn modelId="{34EC7349-E154-4FF7-B6E6-A402CFCC26F7}" type="presOf" srcId="{6AF030DF-12F2-4F57-A02B-63E7EE6BD6C8}" destId="{97C9EBC8-F1BE-490E-8CA6-5E4850C5CF28}" srcOrd="1" destOrd="0" presId="urn:microsoft.com/office/officeart/2008/layout/HorizontalMultiLevelHierarchy"/>
    <dgm:cxn modelId="{79D3E449-2F75-4340-B71F-9482D55415B1}" type="presOf" srcId="{A03B4039-2F9E-4251-9CAC-D9CB403361A5}" destId="{557B9BD5-88F8-4DD8-938B-FD24C22D76F5}" srcOrd="0" destOrd="0" presId="urn:microsoft.com/office/officeart/2008/layout/HorizontalMultiLevelHierarchy"/>
    <dgm:cxn modelId="{5FDCFD71-8B56-406F-B35B-4669F88B7B98}" type="presOf" srcId="{D5E5A1DB-4AAD-4710-B9DA-A4EB5BA77E76}" destId="{B91D9E09-FFBE-40F3-9C4B-00B3764EAA26}" srcOrd="0" destOrd="0" presId="urn:microsoft.com/office/officeart/2008/layout/HorizontalMultiLevelHierarchy"/>
    <dgm:cxn modelId="{2D044252-6C84-4D63-A85D-9DCDF3BD2884}" type="presOf" srcId="{37665383-F808-496E-A886-FCD23A382442}" destId="{A07DC19F-30B7-4020-A8E2-723B732B9608}" srcOrd="0" destOrd="0" presId="urn:microsoft.com/office/officeart/2008/layout/HorizontalMultiLevelHierarchy"/>
    <dgm:cxn modelId="{96C66F58-B84A-44CE-ACAA-BA59797531C0}" type="presOf" srcId="{ECDEF5A3-57FB-4DD0-A5FC-AFAF2C64C6A3}" destId="{05E3CC04-10F1-430C-85D0-0896D101C3DC}" srcOrd="0" destOrd="0" presId="urn:microsoft.com/office/officeart/2008/layout/HorizontalMultiLevelHierarchy"/>
    <dgm:cxn modelId="{CBDBE37A-CC18-46EF-B332-8A8CEF16C275}" srcId="{EF977685-AAB3-4B0D-9FAB-16494B0B4298}" destId="{37665383-F808-496E-A886-FCD23A382442}" srcOrd="0" destOrd="0" parTransId="{F3F23B5D-511A-4971-8759-B142278FB6E5}" sibTransId="{96F0C225-0EE9-48EE-A2CD-2DFD084E9551}"/>
    <dgm:cxn modelId="{F2296D7E-E0C9-4A20-AD68-0195A49D97C0}" type="presOf" srcId="{EB8329EE-98BF-4AEE-8B35-A2C4DA43A9EA}" destId="{A13F1886-3FA4-4DA9-9D2C-E0363DDFC0EA}" srcOrd="1" destOrd="0" presId="urn:microsoft.com/office/officeart/2008/layout/HorizontalMultiLevelHierarchy"/>
    <dgm:cxn modelId="{9C78567F-242A-4E5B-B790-E7655DAE0CD5}" srcId="{7A80290F-F723-432A-AD4F-4F7D47BF18A6}" destId="{8B890290-C711-4278-9C0F-810D40A8CBA9}" srcOrd="0" destOrd="0" parTransId="{A8703346-FEE3-492F-B8B3-8E7F3B9860C8}" sibTransId="{D19BDAA3-C51A-4D7D-B6F9-C2C87C7A9145}"/>
    <dgm:cxn modelId="{ACBF4081-EDB7-4F63-AA48-E355E6C2FF6C}" type="presOf" srcId="{22FDBEB1-A98C-40F7-BDFE-78F3BC242C58}" destId="{69AB9193-4AF2-43AC-A0D1-C1EE44CFE77E}" srcOrd="0" destOrd="0" presId="urn:microsoft.com/office/officeart/2008/layout/HorizontalMultiLevelHierarchy"/>
    <dgm:cxn modelId="{F0EE218C-4C41-4AEE-9B9C-B65239D238F9}" type="presOf" srcId="{D681C0B2-2EA8-40C5-A6BA-B48D6A1A6D43}" destId="{44FA791A-F1AD-4671-B82D-FD6B35107B31}" srcOrd="0" destOrd="0" presId="urn:microsoft.com/office/officeart/2008/layout/HorizontalMultiLevelHierarchy"/>
    <dgm:cxn modelId="{5F3E1498-4CD9-4545-B1A6-03834945936B}" type="presOf" srcId="{8B890290-C711-4278-9C0F-810D40A8CBA9}" destId="{84719F2D-717A-4153-8DC2-FE122C73ED29}" srcOrd="0" destOrd="0" presId="urn:microsoft.com/office/officeart/2008/layout/HorizontalMultiLevelHierarchy"/>
    <dgm:cxn modelId="{A8780999-31C7-4EE8-9E2D-056D651C88B7}" srcId="{8B890290-C711-4278-9C0F-810D40A8CBA9}" destId="{749A17C7-FF49-4F8F-918A-3614BC07C9AD}" srcOrd="0" destOrd="0" parTransId="{D5E5A1DB-4AAD-4710-B9DA-A4EB5BA77E76}" sibTransId="{4F9B0E16-7AFC-447D-87C0-19D9204D5B39}"/>
    <dgm:cxn modelId="{45D4239B-94C2-45BA-BCA8-68439FBCAEBC}" type="presOf" srcId="{A2954519-7A96-4331-B451-8017F60C5B14}" destId="{9157E60A-16DE-44E5-9B02-26316D736A5D}" srcOrd="1" destOrd="0" presId="urn:microsoft.com/office/officeart/2008/layout/HorizontalMultiLevelHierarchy"/>
    <dgm:cxn modelId="{5BFAD69D-BE65-45CF-BA2D-BB3FD70312AB}" type="presOf" srcId="{7A80290F-F723-432A-AD4F-4F7D47BF18A6}" destId="{97AF53B9-E39D-4D13-A5BA-798804F384F0}" srcOrd="0" destOrd="0" presId="urn:microsoft.com/office/officeart/2008/layout/HorizontalMultiLevelHierarchy"/>
    <dgm:cxn modelId="{709570A5-4A20-476F-BE25-7E618E839A3A}" srcId="{7A80290F-F723-432A-AD4F-4F7D47BF18A6}" destId="{EF977685-AAB3-4B0D-9FAB-16494B0B4298}" srcOrd="1" destOrd="0" parTransId="{6AF030DF-12F2-4F57-A02B-63E7EE6BD6C8}" sibTransId="{05748153-11C5-408F-A69A-51687CD0541C}"/>
    <dgm:cxn modelId="{6DF659A8-BE05-4601-AD4C-CBA7DBCD315E}" type="presOf" srcId="{AEF87CCA-F7E3-48EB-B011-CA779D93D72E}" destId="{112D54B7-1D29-42EF-8726-A66C1E936200}" srcOrd="1" destOrd="0" presId="urn:microsoft.com/office/officeart/2008/layout/HorizontalMultiLevelHierarchy"/>
    <dgm:cxn modelId="{640881AB-7E79-40FF-91CF-2E719B9C1934}" type="presOf" srcId="{6687F422-3A96-46A1-BD7C-B076209F75EB}" destId="{791C797B-3D93-4A69-9D97-BEB2E95152E8}" srcOrd="0" destOrd="0" presId="urn:microsoft.com/office/officeart/2008/layout/HorizontalMultiLevelHierarchy"/>
    <dgm:cxn modelId="{5CCF14AC-E2A7-4025-BAE6-354F781E93BE}" srcId="{749A17C7-FF49-4F8F-918A-3614BC07C9AD}" destId="{4416514E-C43C-4E86-B2FB-0FCC10ADE048}" srcOrd="1" destOrd="0" parTransId="{22FDBEB1-A98C-40F7-BDFE-78F3BC242C58}" sibTransId="{4D2681D1-1B20-4FE4-96F2-C9AF07CB3374}"/>
    <dgm:cxn modelId="{F7AD4AB5-0B18-416D-8280-7BF71A6E1FF9}" type="presOf" srcId="{EF977685-AAB3-4B0D-9FAB-16494B0B4298}" destId="{327CF8F1-9540-46EA-87CA-646B6C0ECDA0}" srcOrd="0" destOrd="0" presId="urn:microsoft.com/office/officeart/2008/layout/HorizontalMultiLevelHierarchy"/>
    <dgm:cxn modelId="{6B298FB9-00CF-410A-9B00-2C2A684741C5}" type="presOf" srcId="{D5E5A1DB-4AAD-4710-B9DA-A4EB5BA77E76}" destId="{1C96449C-EBE4-4B3B-B8DD-EED2F04C77B9}" srcOrd="1" destOrd="0" presId="urn:microsoft.com/office/officeart/2008/layout/HorizontalMultiLevelHierarchy"/>
    <dgm:cxn modelId="{9803ECB9-8011-46E1-A1AC-AC7F65DCF103}" type="presOf" srcId="{F3F23B5D-511A-4971-8759-B142278FB6E5}" destId="{2AA26576-1749-4A56-BEE4-9043164BE6F8}" srcOrd="0" destOrd="0" presId="urn:microsoft.com/office/officeart/2008/layout/HorizontalMultiLevelHierarchy"/>
    <dgm:cxn modelId="{948F21C4-8437-4062-82B0-3A0F6CA286D6}" type="presOf" srcId="{9473C394-755B-4F60-9E08-CD6D5C14CF46}" destId="{5DDB85B6-3B18-4371-B9BB-EF31D71A8442}" srcOrd="1" destOrd="0" presId="urn:microsoft.com/office/officeart/2008/layout/HorizontalMultiLevelHierarchy"/>
    <dgm:cxn modelId="{3F91DDCE-193B-4961-8211-640A2336ECE0}" type="presOf" srcId="{ECDEF5A3-57FB-4DD0-A5FC-AFAF2C64C6A3}" destId="{108EB368-6AE7-4256-A8A3-C70C65C73D95}" srcOrd="1" destOrd="0" presId="urn:microsoft.com/office/officeart/2008/layout/HorizontalMultiLevelHierarchy"/>
    <dgm:cxn modelId="{6D4935D6-4373-4252-922C-D5ADDDF31213}" srcId="{749A17C7-FF49-4F8F-918A-3614BC07C9AD}" destId="{7FD84D5B-2308-4A2C-A067-2EDC4BE32B99}" srcOrd="0" destOrd="0" parTransId="{9473C394-755B-4F60-9E08-CD6D5C14CF46}" sibTransId="{97CE79FC-A527-4B00-B6C7-4DBC8B8B9BE5}"/>
    <dgm:cxn modelId="{91703CE2-0A00-4543-8A62-266FB5DB5744}" type="presOf" srcId="{9473C394-755B-4F60-9E08-CD6D5C14CF46}" destId="{39B67397-863B-4AE7-AFC4-94D71AC942DC}" srcOrd="0" destOrd="0" presId="urn:microsoft.com/office/officeart/2008/layout/HorizontalMultiLevelHierarchy"/>
    <dgm:cxn modelId="{B34F42E5-FE97-401B-A3E0-DCB247ECA872}" type="presOf" srcId="{2D598BD1-8082-4599-B4C7-7DE2BDDFAD07}" destId="{BA8F22A0-AED2-44D9-A9A5-7D3C4D7DD7E9}" srcOrd="0" destOrd="0" presId="urn:microsoft.com/office/officeart/2008/layout/HorizontalMultiLevelHierarchy"/>
    <dgm:cxn modelId="{831D4FE5-98DF-4244-BA65-54E816681730}" type="presOf" srcId="{C66FEA0C-BE51-4437-9032-158E4B88A06C}" destId="{C1731FAD-79DD-49CC-8C58-FB15CB2A049A}" srcOrd="0" destOrd="0" presId="urn:microsoft.com/office/officeart/2008/layout/HorizontalMultiLevelHierarchy"/>
    <dgm:cxn modelId="{9AB1C6E8-040C-4E22-9F2C-B1A0FDF64E0C}" srcId="{EF977685-AAB3-4B0D-9FAB-16494B0B4298}" destId="{4CBC2F9A-FA95-4886-BE3B-544D55F769C7}" srcOrd="1" destOrd="0" parTransId="{EB8329EE-98BF-4AEE-8B35-A2C4DA43A9EA}" sibTransId="{DEBE0399-1F49-4677-AAA9-6C48391FBAD2}"/>
    <dgm:cxn modelId="{896E92EC-CA81-41FE-92E9-5BE3CA28931F}" type="presOf" srcId="{1212D7EE-AE55-4627-8584-507D5756A0D2}" destId="{3EA8F71C-4C27-41E8-84CF-75EEF65B99D1}" srcOrd="0" destOrd="0" presId="urn:microsoft.com/office/officeart/2008/layout/HorizontalMultiLevelHierarchy"/>
    <dgm:cxn modelId="{1909A2F1-4E71-45C3-AD4C-D5167B674D6B}" type="presOf" srcId="{A8703346-FEE3-492F-B8B3-8E7F3B9860C8}" destId="{A88113A6-8101-46EF-97A2-10A651268964}" srcOrd="0" destOrd="0" presId="urn:microsoft.com/office/officeart/2008/layout/HorizontalMultiLevelHierarchy"/>
    <dgm:cxn modelId="{33ADCFF1-1DC3-4B66-80DF-0ED44B8B6ACD}" srcId="{8B890290-C711-4278-9C0F-810D40A8CBA9}" destId="{C66FEA0C-BE51-4437-9032-158E4B88A06C}" srcOrd="1" destOrd="0" parTransId="{AEF87CCA-F7E3-48EB-B011-CA779D93D72E}" sibTransId="{F1C2C07B-1F04-4BA5-91AD-EF309EB33C4F}"/>
    <dgm:cxn modelId="{CC3BB392-E166-4CC7-89BD-3202A8130684}" type="presParOf" srcId="{44FA791A-F1AD-4671-B82D-FD6B35107B31}" destId="{FC409002-64D3-4F5C-BFA4-00BED3CAC065}" srcOrd="0" destOrd="0" presId="urn:microsoft.com/office/officeart/2008/layout/HorizontalMultiLevelHierarchy"/>
    <dgm:cxn modelId="{D9161CCA-3DA2-4F02-ADF6-D776558303BA}" type="presParOf" srcId="{FC409002-64D3-4F5C-BFA4-00BED3CAC065}" destId="{97AF53B9-E39D-4D13-A5BA-798804F384F0}" srcOrd="0" destOrd="0" presId="urn:microsoft.com/office/officeart/2008/layout/HorizontalMultiLevelHierarchy"/>
    <dgm:cxn modelId="{C695311E-3DE6-4C79-9418-1C6F7ACFF006}" type="presParOf" srcId="{FC409002-64D3-4F5C-BFA4-00BED3CAC065}" destId="{31A44CD2-3FDB-4E58-896A-B724368521BC}" srcOrd="1" destOrd="0" presId="urn:microsoft.com/office/officeart/2008/layout/HorizontalMultiLevelHierarchy"/>
    <dgm:cxn modelId="{89479DE9-EB13-4F27-801C-3CCA79398DE1}" type="presParOf" srcId="{31A44CD2-3FDB-4E58-896A-B724368521BC}" destId="{A88113A6-8101-46EF-97A2-10A651268964}" srcOrd="0" destOrd="0" presId="urn:microsoft.com/office/officeart/2008/layout/HorizontalMultiLevelHierarchy"/>
    <dgm:cxn modelId="{CB76BC72-09E7-4606-A4B9-B130E2981246}" type="presParOf" srcId="{A88113A6-8101-46EF-97A2-10A651268964}" destId="{BE0F96B6-9122-4B0C-B7A2-75B96132C7C5}" srcOrd="0" destOrd="0" presId="urn:microsoft.com/office/officeart/2008/layout/HorizontalMultiLevelHierarchy"/>
    <dgm:cxn modelId="{7BBC753D-3C07-4153-B556-74DF45E35BCC}" type="presParOf" srcId="{31A44CD2-3FDB-4E58-896A-B724368521BC}" destId="{AFA17229-E259-41F4-B3F2-30D896DAA3B9}" srcOrd="1" destOrd="0" presId="urn:microsoft.com/office/officeart/2008/layout/HorizontalMultiLevelHierarchy"/>
    <dgm:cxn modelId="{675A490D-9CB6-4BA8-A542-983161BBD8CF}" type="presParOf" srcId="{AFA17229-E259-41F4-B3F2-30D896DAA3B9}" destId="{84719F2D-717A-4153-8DC2-FE122C73ED29}" srcOrd="0" destOrd="0" presId="urn:microsoft.com/office/officeart/2008/layout/HorizontalMultiLevelHierarchy"/>
    <dgm:cxn modelId="{B5F31F31-6AAD-42D1-83E9-23586FAA460C}" type="presParOf" srcId="{AFA17229-E259-41F4-B3F2-30D896DAA3B9}" destId="{EFDE52CA-59E9-4D75-BF2B-CA5736990FF0}" srcOrd="1" destOrd="0" presId="urn:microsoft.com/office/officeart/2008/layout/HorizontalMultiLevelHierarchy"/>
    <dgm:cxn modelId="{A65C329E-4672-4FD8-9F73-21302D1B458C}" type="presParOf" srcId="{EFDE52CA-59E9-4D75-BF2B-CA5736990FF0}" destId="{B91D9E09-FFBE-40F3-9C4B-00B3764EAA26}" srcOrd="0" destOrd="0" presId="urn:microsoft.com/office/officeart/2008/layout/HorizontalMultiLevelHierarchy"/>
    <dgm:cxn modelId="{A0FC3157-CD25-4A37-B171-EB6A15B1F11A}" type="presParOf" srcId="{B91D9E09-FFBE-40F3-9C4B-00B3764EAA26}" destId="{1C96449C-EBE4-4B3B-B8DD-EED2F04C77B9}" srcOrd="0" destOrd="0" presId="urn:microsoft.com/office/officeart/2008/layout/HorizontalMultiLevelHierarchy"/>
    <dgm:cxn modelId="{D2ECD512-2AE1-42E0-B137-29B6096020B6}" type="presParOf" srcId="{EFDE52CA-59E9-4D75-BF2B-CA5736990FF0}" destId="{BD88E704-6B7F-40D0-AE96-9EEC52759CAB}" srcOrd="1" destOrd="0" presId="urn:microsoft.com/office/officeart/2008/layout/HorizontalMultiLevelHierarchy"/>
    <dgm:cxn modelId="{C512E5C2-D484-4590-922F-0E3F41FBBB23}" type="presParOf" srcId="{BD88E704-6B7F-40D0-AE96-9EEC52759CAB}" destId="{F08246C8-8069-47BF-AF31-E366D5BC5CCD}" srcOrd="0" destOrd="0" presId="urn:microsoft.com/office/officeart/2008/layout/HorizontalMultiLevelHierarchy"/>
    <dgm:cxn modelId="{D74A7117-5AF6-4C24-AA62-75815D490D6F}" type="presParOf" srcId="{BD88E704-6B7F-40D0-AE96-9EEC52759CAB}" destId="{A0368DEE-C03F-437C-A5C4-02410D6B4A50}" srcOrd="1" destOrd="0" presId="urn:microsoft.com/office/officeart/2008/layout/HorizontalMultiLevelHierarchy"/>
    <dgm:cxn modelId="{32A422DF-96CA-4386-8FD3-BC2D7764F9F2}" type="presParOf" srcId="{A0368DEE-C03F-437C-A5C4-02410D6B4A50}" destId="{39B67397-863B-4AE7-AFC4-94D71AC942DC}" srcOrd="0" destOrd="0" presId="urn:microsoft.com/office/officeart/2008/layout/HorizontalMultiLevelHierarchy"/>
    <dgm:cxn modelId="{9DC073F2-8E38-4AD1-AE71-D1174DB86C72}" type="presParOf" srcId="{39B67397-863B-4AE7-AFC4-94D71AC942DC}" destId="{5DDB85B6-3B18-4371-B9BB-EF31D71A8442}" srcOrd="0" destOrd="0" presId="urn:microsoft.com/office/officeart/2008/layout/HorizontalMultiLevelHierarchy"/>
    <dgm:cxn modelId="{22DDADC2-CAAA-4519-9DFC-924C7B4111A8}" type="presParOf" srcId="{A0368DEE-C03F-437C-A5C4-02410D6B4A50}" destId="{20B7D345-37F2-4E17-BA12-DE0C50F66DBA}" srcOrd="1" destOrd="0" presId="urn:microsoft.com/office/officeart/2008/layout/HorizontalMultiLevelHierarchy"/>
    <dgm:cxn modelId="{D5935799-D629-41FD-8214-B51B37A4D04A}" type="presParOf" srcId="{20B7D345-37F2-4E17-BA12-DE0C50F66DBA}" destId="{90B2A33F-F5C4-49C7-88B9-A593099CAA99}" srcOrd="0" destOrd="0" presId="urn:microsoft.com/office/officeart/2008/layout/HorizontalMultiLevelHierarchy"/>
    <dgm:cxn modelId="{A5359794-7675-4E78-87B4-F034A5AFF715}" type="presParOf" srcId="{20B7D345-37F2-4E17-BA12-DE0C50F66DBA}" destId="{23F18C69-5926-4C37-B345-EA52AAE5E4D0}" srcOrd="1" destOrd="0" presId="urn:microsoft.com/office/officeart/2008/layout/HorizontalMultiLevelHierarchy"/>
    <dgm:cxn modelId="{84E57DFC-C28F-4CEA-AE09-75BB4D5812A8}" type="presParOf" srcId="{A0368DEE-C03F-437C-A5C4-02410D6B4A50}" destId="{69AB9193-4AF2-43AC-A0D1-C1EE44CFE77E}" srcOrd="2" destOrd="0" presId="urn:microsoft.com/office/officeart/2008/layout/HorizontalMultiLevelHierarchy"/>
    <dgm:cxn modelId="{C50D1490-2898-41B1-9DEE-D966B4D757E6}" type="presParOf" srcId="{69AB9193-4AF2-43AC-A0D1-C1EE44CFE77E}" destId="{EF853A99-32BD-47D5-8AC1-A22D044B7F65}" srcOrd="0" destOrd="0" presId="urn:microsoft.com/office/officeart/2008/layout/HorizontalMultiLevelHierarchy"/>
    <dgm:cxn modelId="{8EEF9A18-3A1B-4CA4-B93E-220DEFEEF874}" type="presParOf" srcId="{A0368DEE-C03F-437C-A5C4-02410D6B4A50}" destId="{FB325890-E212-4065-BA0A-6664D7D3C7FE}" srcOrd="3" destOrd="0" presId="urn:microsoft.com/office/officeart/2008/layout/HorizontalMultiLevelHierarchy"/>
    <dgm:cxn modelId="{A59FCCC9-740D-4623-A1ED-FBAA638B7F1D}" type="presParOf" srcId="{FB325890-E212-4065-BA0A-6664D7D3C7FE}" destId="{E712BBC7-1FA1-4325-9D92-B4F9CE49082E}" srcOrd="0" destOrd="0" presId="urn:microsoft.com/office/officeart/2008/layout/HorizontalMultiLevelHierarchy"/>
    <dgm:cxn modelId="{F18C34F5-EC95-4034-8CB4-8CD4215060B6}" type="presParOf" srcId="{FB325890-E212-4065-BA0A-6664D7D3C7FE}" destId="{8C8C9F84-63E3-4E15-8209-7383B1272781}" srcOrd="1" destOrd="0" presId="urn:microsoft.com/office/officeart/2008/layout/HorizontalMultiLevelHierarchy"/>
    <dgm:cxn modelId="{8ED9BA17-C8C3-4749-BEF2-BE35761040F4}" type="presParOf" srcId="{EFDE52CA-59E9-4D75-BF2B-CA5736990FF0}" destId="{3654DC10-3D22-41FF-ACFF-573DD7526C2B}" srcOrd="2" destOrd="0" presId="urn:microsoft.com/office/officeart/2008/layout/HorizontalMultiLevelHierarchy"/>
    <dgm:cxn modelId="{58995AAD-6D58-4366-BC23-7876BA3F6FC3}" type="presParOf" srcId="{3654DC10-3D22-41FF-ACFF-573DD7526C2B}" destId="{112D54B7-1D29-42EF-8726-A66C1E936200}" srcOrd="0" destOrd="0" presId="urn:microsoft.com/office/officeart/2008/layout/HorizontalMultiLevelHierarchy"/>
    <dgm:cxn modelId="{B37FE3C4-6C5B-4985-A894-D94F30CD00E4}" type="presParOf" srcId="{EFDE52CA-59E9-4D75-BF2B-CA5736990FF0}" destId="{8C7B108F-699E-4243-B2C4-AE294E3CCE03}" srcOrd="3" destOrd="0" presId="urn:microsoft.com/office/officeart/2008/layout/HorizontalMultiLevelHierarchy"/>
    <dgm:cxn modelId="{DE3473DC-5416-4806-89A3-DC4A608ED3AA}" type="presParOf" srcId="{8C7B108F-699E-4243-B2C4-AE294E3CCE03}" destId="{C1731FAD-79DD-49CC-8C58-FB15CB2A049A}" srcOrd="0" destOrd="0" presId="urn:microsoft.com/office/officeart/2008/layout/HorizontalMultiLevelHierarchy"/>
    <dgm:cxn modelId="{234A0303-3349-47A5-9F91-9BBB66D0DB77}" type="presParOf" srcId="{8C7B108F-699E-4243-B2C4-AE294E3CCE03}" destId="{95C8756C-B3CE-4EAB-9411-97EB8F08A63C}" srcOrd="1" destOrd="0" presId="urn:microsoft.com/office/officeart/2008/layout/HorizontalMultiLevelHierarchy"/>
    <dgm:cxn modelId="{0F5F4E4F-9423-4BAB-8E84-12521AB3C4E3}" type="presParOf" srcId="{EFDE52CA-59E9-4D75-BF2B-CA5736990FF0}" destId="{D7E5B178-F8BD-4140-AB9D-E9BA15B756D4}" srcOrd="4" destOrd="0" presId="urn:microsoft.com/office/officeart/2008/layout/HorizontalMultiLevelHierarchy"/>
    <dgm:cxn modelId="{11EA94BB-68B0-42BE-94B3-DC36D954FCC3}" type="presParOf" srcId="{D7E5B178-F8BD-4140-AB9D-E9BA15B756D4}" destId="{9157E60A-16DE-44E5-9B02-26316D736A5D}" srcOrd="0" destOrd="0" presId="urn:microsoft.com/office/officeart/2008/layout/HorizontalMultiLevelHierarchy"/>
    <dgm:cxn modelId="{F06D2170-0F32-43DE-B08E-88EB80CDFA87}" type="presParOf" srcId="{EFDE52CA-59E9-4D75-BF2B-CA5736990FF0}" destId="{5D34C244-25AE-45B4-822F-FE5657B0414F}" srcOrd="5" destOrd="0" presId="urn:microsoft.com/office/officeart/2008/layout/HorizontalMultiLevelHierarchy"/>
    <dgm:cxn modelId="{FE53C728-D22C-440F-BD0B-4081E384069E}" type="presParOf" srcId="{5D34C244-25AE-45B4-822F-FE5657B0414F}" destId="{BA8F22A0-AED2-44D9-A9A5-7D3C4D7DD7E9}" srcOrd="0" destOrd="0" presId="urn:microsoft.com/office/officeart/2008/layout/HorizontalMultiLevelHierarchy"/>
    <dgm:cxn modelId="{18AE9069-9831-42E0-A45C-F8F57A03F867}" type="presParOf" srcId="{5D34C244-25AE-45B4-822F-FE5657B0414F}" destId="{DBD0061C-1A1F-4A11-BADB-D9DBE273E151}" srcOrd="1" destOrd="0" presId="urn:microsoft.com/office/officeart/2008/layout/HorizontalMultiLevelHierarchy"/>
    <dgm:cxn modelId="{1E2C4829-B781-40C9-AAFC-44BE3B5F7EEF}" type="presParOf" srcId="{31A44CD2-3FDB-4E58-896A-B724368521BC}" destId="{F81B984B-F38C-4F9A-9F96-C0D3D10EBC0B}" srcOrd="2" destOrd="0" presId="urn:microsoft.com/office/officeart/2008/layout/HorizontalMultiLevelHierarchy"/>
    <dgm:cxn modelId="{53C3B4C6-5425-4294-A655-AE7DD880A212}" type="presParOf" srcId="{F81B984B-F38C-4F9A-9F96-C0D3D10EBC0B}" destId="{97C9EBC8-F1BE-490E-8CA6-5E4850C5CF28}" srcOrd="0" destOrd="0" presId="urn:microsoft.com/office/officeart/2008/layout/HorizontalMultiLevelHierarchy"/>
    <dgm:cxn modelId="{39B77785-3AE9-4887-8F68-6C6C0EB0A5B6}" type="presParOf" srcId="{31A44CD2-3FDB-4E58-896A-B724368521BC}" destId="{01AABF48-B16E-456B-AF39-E9812B1BDFC1}" srcOrd="3" destOrd="0" presId="urn:microsoft.com/office/officeart/2008/layout/HorizontalMultiLevelHierarchy"/>
    <dgm:cxn modelId="{31675AFB-C675-4962-9C00-8297E9031A0F}" type="presParOf" srcId="{01AABF48-B16E-456B-AF39-E9812B1BDFC1}" destId="{327CF8F1-9540-46EA-87CA-646B6C0ECDA0}" srcOrd="0" destOrd="0" presId="urn:microsoft.com/office/officeart/2008/layout/HorizontalMultiLevelHierarchy"/>
    <dgm:cxn modelId="{89E36499-8E1B-4069-A381-13F20101BC4F}" type="presParOf" srcId="{01AABF48-B16E-456B-AF39-E9812B1BDFC1}" destId="{C461BC34-F558-4E10-A69F-4FE378AC6A8C}" srcOrd="1" destOrd="0" presId="urn:microsoft.com/office/officeart/2008/layout/HorizontalMultiLevelHierarchy"/>
    <dgm:cxn modelId="{98D0E47B-C73D-4EEF-99B2-8ECA6D6BAB06}" type="presParOf" srcId="{C461BC34-F558-4E10-A69F-4FE378AC6A8C}" destId="{2AA26576-1749-4A56-BEE4-9043164BE6F8}" srcOrd="0" destOrd="0" presId="urn:microsoft.com/office/officeart/2008/layout/HorizontalMultiLevelHierarchy"/>
    <dgm:cxn modelId="{D4B97A35-26D1-46FB-816B-CADC1B14586F}" type="presParOf" srcId="{2AA26576-1749-4A56-BEE4-9043164BE6F8}" destId="{FCCAC6F6-0190-4CC6-8C4F-07EE089282E9}" srcOrd="0" destOrd="0" presId="urn:microsoft.com/office/officeart/2008/layout/HorizontalMultiLevelHierarchy"/>
    <dgm:cxn modelId="{7D1F9DAC-D4FF-42CB-BF87-3222731BC8C4}" type="presParOf" srcId="{C461BC34-F558-4E10-A69F-4FE378AC6A8C}" destId="{9AE55339-FC08-4DE1-8F96-10E6341197A7}" srcOrd="1" destOrd="0" presId="urn:microsoft.com/office/officeart/2008/layout/HorizontalMultiLevelHierarchy"/>
    <dgm:cxn modelId="{1631AEF7-DB39-4B5C-8C79-BBE48CD27B67}" type="presParOf" srcId="{9AE55339-FC08-4DE1-8F96-10E6341197A7}" destId="{A07DC19F-30B7-4020-A8E2-723B732B9608}" srcOrd="0" destOrd="0" presId="urn:microsoft.com/office/officeart/2008/layout/HorizontalMultiLevelHierarchy"/>
    <dgm:cxn modelId="{4D793B52-06D2-4D67-B825-8C2958EECC49}" type="presParOf" srcId="{9AE55339-FC08-4DE1-8F96-10E6341197A7}" destId="{F423CFD8-0E5D-48A8-8F11-2E623303D80E}" srcOrd="1" destOrd="0" presId="urn:microsoft.com/office/officeart/2008/layout/HorizontalMultiLevelHierarchy"/>
    <dgm:cxn modelId="{BB842234-31CE-4BFA-B370-7B875E1176BC}" type="presParOf" srcId="{C461BC34-F558-4E10-A69F-4FE378AC6A8C}" destId="{6537BB23-4B05-43EE-AF81-3662FAF6C7BE}" srcOrd="2" destOrd="0" presId="urn:microsoft.com/office/officeart/2008/layout/HorizontalMultiLevelHierarchy"/>
    <dgm:cxn modelId="{222E6851-A422-47B7-A565-208B09A22078}" type="presParOf" srcId="{6537BB23-4B05-43EE-AF81-3662FAF6C7BE}" destId="{A13F1886-3FA4-4DA9-9D2C-E0363DDFC0EA}" srcOrd="0" destOrd="0" presId="urn:microsoft.com/office/officeart/2008/layout/HorizontalMultiLevelHierarchy"/>
    <dgm:cxn modelId="{7B9F6C93-9655-48E6-BD08-DCDA3AF54ED9}" type="presParOf" srcId="{C461BC34-F558-4E10-A69F-4FE378AC6A8C}" destId="{EE646110-5147-45F0-889E-99E88D8F545B}" srcOrd="3" destOrd="0" presId="urn:microsoft.com/office/officeart/2008/layout/HorizontalMultiLevelHierarchy"/>
    <dgm:cxn modelId="{D0217643-8099-471C-8008-FC2D721FEE54}" type="presParOf" srcId="{EE646110-5147-45F0-889E-99E88D8F545B}" destId="{E8093928-4344-4CF3-AAAE-094C2B47DA4D}" srcOrd="0" destOrd="0" presId="urn:microsoft.com/office/officeart/2008/layout/HorizontalMultiLevelHierarchy"/>
    <dgm:cxn modelId="{90D4425E-0340-454C-B525-42C92ADD0182}" type="presParOf" srcId="{EE646110-5147-45F0-889E-99E88D8F545B}" destId="{D1AA012B-B469-4689-B4F9-EB24A3CD2C77}" srcOrd="1" destOrd="0" presId="urn:microsoft.com/office/officeart/2008/layout/HorizontalMultiLevelHierarchy"/>
    <dgm:cxn modelId="{123B065B-C5F2-4AEB-B800-D28A66198205}" type="presParOf" srcId="{D1AA012B-B469-4689-B4F9-EB24A3CD2C77}" destId="{05E3CC04-10F1-430C-85D0-0896D101C3DC}" srcOrd="0" destOrd="0" presId="urn:microsoft.com/office/officeart/2008/layout/HorizontalMultiLevelHierarchy"/>
    <dgm:cxn modelId="{0714F4F0-10EE-435C-AB64-A1AAF509AD2B}" type="presParOf" srcId="{05E3CC04-10F1-430C-85D0-0896D101C3DC}" destId="{108EB368-6AE7-4256-A8A3-C70C65C73D95}" srcOrd="0" destOrd="0" presId="urn:microsoft.com/office/officeart/2008/layout/HorizontalMultiLevelHierarchy"/>
    <dgm:cxn modelId="{BE530AA7-C9A6-42C3-8B71-115E90FF16A7}" type="presParOf" srcId="{D1AA012B-B469-4689-B4F9-EB24A3CD2C77}" destId="{05D2CDD5-2E0E-481A-8674-18A87CD87A8F}" srcOrd="1" destOrd="0" presId="urn:microsoft.com/office/officeart/2008/layout/HorizontalMultiLevelHierarchy"/>
    <dgm:cxn modelId="{EB7448ED-00F5-43CF-8CE7-94710778235C}" type="presParOf" srcId="{05D2CDD5-2E0E-481A-8674-18A87CD87A8F}" destId="{557B9BD5-88F8-4DD8-938B-FD24C22D76F5}" srcOrd="0" destOrd="0" presId="urn:microsoft.com/office/officeart/2008/layout/HorizontalMultiLevelHierarchy"/>
    <dgm:cxn modelId="{7BF0901E-4408-4E75-8E65-1961E1A03AB4}" type="presParOf" srcId="{05D2CDD5-2E0E-481A-8674-18A87CD87A8F}" destId="{A24FC90A-D247-4EDC-B22A-AC852887514A}" srcOrd="1" destOrd="0" presId="urn:microsoft.com/office/officeart/2008/layout/HorizontalMultiLevelHierarchy"/>
    <dgm:cxn modelId="{D5C2B79A-C9B2-4F3E-AC30-E9C394C8BC88}" type="presParOf" srcId="{D1AA012B-B469-4689-B4F9-EB24A3CD2C77}" destId="{791C797B-3D93-4A69-9D97-BEB2E95152E8}" srcOrd="2" destOrd="0" presId="urn:microsoft.com/office/officeart/2008/layout/HorizontalMultiLevelHierarchy"/>
    <dgm:cxn modelId="{699531C6-1096-4DB4-8D7A-E4A7DBCF24A1}" type="presParOf" srcId="{791C797B-3D93-4A69-9D97-BEB2E95152E8}" destId="{75613EF0-BE02-4AB4-A882-32863335D308}" srcOrd="0" destOrd="0" presId="urn:microsoft.com/office/officeart/2008/layout/HorizontalMultiLevelHierarchy"/>
    <dgm:cxn modelId="{87961BF6-6947-469F-969A-8C5AC261A958}" type="presParOf" srcId="{D1AA012B-B469-4689-B4F9-EB24A3CD2C77}" destId="{3492F492-BE85-40A1-AEAF-DBDF77C5EE5D}" srcOrd="3" destOrd="0" presId="urn:microsoft.com/office/officeart/2008/layout/HorizontalMultiLevelHierarchy"/>
    <dgm:cxn modelId="{6D7869F0-A715-4492-89A2-0BBB1AF5C479}" type="presParOf" srcId="{3492F492-BE85-40A1-AEAF-DBDF77C5EE5D}" destId="{3EA8F71C-4C27-41E8-84CF-75EEF65B99D1}" srcOrd="0" destOrd="0" presId="urn:microsoft.com/office/officeart/2008/layout/HorizontalMultiLevelHierarchy"/>
    <dgm:cxn modelId="{218DC75D-C755-4274-9C98-E111DB78A9D5}" type="presParOf" srcId="{3492F492-BE85-40A1-AEAF-DBDF77C5EE5D}" destId="{53739532-F0A1-4CB3-8338-7F4C2BF93643}" srcOrd="1" destOrd="0" presId="urn:microsoft.com/office/officeart/2008/layout/HorizontalMultiLevelHierarchy"/>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283FEAE-3C24-4547-8A95-953E3870613E}" type="doc">
      <dgm:prSet loTypeId="urn:microsoft.com/office/officeart/2005/8/layout/StepDownProcess" loCatId="process" qsTypeId="urn:microsoft.com/office/officeart/2005/8/quickstyle/simple1" qsCatId="simple" csTypeId="urn:microsoft.com/office/officeart/2005/8/colors/colorful2" csCatId="colorful" phldr="1"/>
      <dgm:spPr/>
      <dgm:t>
        <a:bodyPr/>
        <a:lstStyle/>
        <a:p>
          <a:endParaRPr lang="es-GT"/>
        </a:p>
      </dgm:t>
    </dgm:pt>
    <dgm:pt modelId="{8218416E-C816-4C5F-BEEF-58F4B26A1193}">
      <dgm:prSet phldrT="[Texto]" custT="1"/>
      <dgm:spPr>
        <a:ln w="3175">
          <a:solidFill>
            <a:schemeClr val="tx1"/>
          </a:solidFill>
        </a:ln>
      </dgm:spPr>
      <dgm:t>
        <a:bodyPr/>
        <a:lstStyle/>
        <a:p>
          <a:r>
            <a:rPr lang="es-GT" sz="1400" b="1">
              <a:latin typeface="Times New Roman" panose="02020603050405020304" pitchFamily="18" charset="0"/>
              <a:cs typeface="Times New Roman" panose="02020603050405020304" pitchFamily="18" charset="0"/>
            </a:rPr>
            <a:t>2023</a:t>
          </a:r>
        </a:p>
      </dgm:t>
    </dgm:pt>
    <dgm:pt modelId="{02A766FC-B648-4AD1-A336-B67B9010962D}" type="parTrans" cxnId="{94E1690D-939B-4BF0-B620-913EE66A4909}">
      <dgm:prSet/>
      <dgm:spPr/>
      <dgm:t>
        <a:bodyPr/>
        <a:lstStyle/>
        <a:p>
          <a:endParaRPr lang="es-GT" sz="1600">
            <a:latin typeface="Times New Roman" panose="02020603050405020304" pitchFamily="18" charset="0"/>
            <a:cs typeface="Times New Roman" panose="02020603050405020304" pitchFamily="18" charset="0"/>
          </a:endParaRPr>
        </a:p>
      </dgm:t>
    </dgm:pt>
    <dgm:pt modelId="{6E49B111-3324-4312-8939-FE2418FC865F}" type="sibTrans" cxnId="{94E1690D-939B-4BF0-B620-913EE66A4909}">
      <dgm:prSet/>
      <dgm:spPr/>
      <dgm:t>
        <a:bodyPr/>
        <a:lstStyle/>
        <a:p>
          <a:endParaRPr lang="es-GT" sz="1600">
            <a:latin typeface="Times New Roman" panose="02020603050405020304" pitchFamily="18" charset="0"/>
            <a:cs typeface="Times New Roman" panose="02020603050405020304" pitchFamily="18" charset="0"/>
          </a:endParaRPr>
        </a:p>
      </dgm:t>
    </dgm:pt>
    <dgm:pt modelId="{DFDCB371-6588-42B3-9032-EFC178E8ED94}">
      <dgm:prSet phldrT="[Texto]" custT="1"/>
      <dgm:spPr/>
      <dgm:t>
        <a:bodyPr/>
        <a:lstStyle/>
        <a:p>
          <a:r>
            <a:rPr lang="es-GT" sz="900" b="0">
              <a:latin typeface="Times New Roman" panose="02020603050405020304" pitchFamily="18" charset="0"/>
              <a:cs typeface="Times New Roman" panose="02020603050405020304" pitchFamily="18" charset="0"/>
            </a:rPr>
            <a:t>Presupuesto asignado Q115,443.7 millones</a:t>
          </a:r>
        </a:p>
      </dgm:t>
    </dgm:pt>
    <dgm:pt modelId="{4FF199E1-D753-479F-9B10-F19C4053BD8A}" type="parTrans" cxnId="{319B9E92-CF83-437E-8A8B-E06C7BEE8834}">
      <dgm:prSet/>
      <dgm:spPr/>
      <dgm:t>
        <a:bodyPr/>
        <a:lstStyle/>
        <a:p>
          <a:endParaRPr lang="es-GT" sz="1600">
            <a:latin typeface="Times New Roman" panose="02020603050405020304" pitchFamily="18" charset="0"/>
            <a:cs typeface="Times New Roman" panose="02020603050405020304" pitchFamily="18" charset="0"/>
          </a:endParaRPr>
        </a:p>
      </dgm:t>
    </dgm:pt>
    <dgm:pt modelId="{6DD9C4AA-C1A2-46F9-A1ED-873A3EBE4C12}" type="sibTrans" cxnId="{319B9E92-CF83-437E-8A8B-E06C7BEE8834}">
      <dgm:prSet/>
      <dgm:spPr/>
      <dgm:t>
        <a:bodyPr/>
        <a:lstStyle/>
        <a:p>
          <a:endParaRPr lang="es-GT" sz="1600">
            <a:latin typeface="Times New Roman" panose="02020603050405020304" pitchFamily="18" charset="0"/>
            <a:cs typeface="Times New Roman" panose="02020603050405020304" pitchFamily="18" charset="0"/>
          </a:endParaRPr>
        </a:p>
      </dgm:t>
    </dgm:pt>
    <dgm:pt modelId="{4EA9E29F-FC6C-49F3-81B4-26BA28FF133C}">
      <dgm:prSet phldrT="[Texto]" custT="1"/>
      <dgm:spPr>
        <a:ln w="3175">
          <a:solidFill>
            <a:schemeClr val="tx1"/>
          </a:solidFill>
        </a:ln>
      </dgm:spPr>
      <dgm:t>
        <a:bodyPr/>
        <a:lstStyle/>
        <a:p>
          <a:r>
            <a:rPr lang="es-GT" sz="1000" b="1">
              <a:latin typeface="Times New Roman" panose="02020603050405020304" pitchFamily="18" charset="0"/>
              <a:cs typeface="Times New Roman" panose="02020603050405020304" pitchFamily="18" charset="0"/>
            </a:rPr>
            <a:t>Tarifa Social</a:t>
          </a:r>
        </a:p>
      </dgm:t>
    </dgm:pt>
    <dgm:pt modelId="{491E93E8-C412-4B22-86DA-A62B57957A10}" type="parTrans" cxnId="{01F3CBD7-9B5E-4995-B7DD-D58F141D1B2E}">
      <dgm:prSet/>
      <dgm:spPr/>
      <dgm:t>
        <a:bodyPr/>
        <a:lstStyle/>
        <a:p>
          <a:endParaRPr lang="es-GT" sz="1600">
            <a:latin typeface="Times New Roman" panose="02020603050405020304" pitchFamily="18" charset="0"/>
            <a:cs typeface="Times New Roman" panose="02020603050405020304" pitchFamily="18" charset="0"/>
          </a:endParaRPr>
        </a:p>
      </dgm:t>
    </dgm:pt>
    <dgm:pt modelId="{03535BB0-6490-4976-BEE1-4565C3B3A1CF}" type="sibTrans" cxnId="{01F3CBD7-9B5E-4995-B7DD-D58F141D1B2E}">
      <dgm:prSet/>
      <dgm:spPr/>
      <dgm:t>
        <a:bodyPr/>
        <a:lstStyle/>
        <a:p>
          <a:endParaRPr lang="es-GT" sz="1600">
            <a:latin typeface="Times New Roman" panose="02020603050405020304" pitchFamily="18" charset="0"/>
            <a:cs typeface="Times New Roman" panose="02020603050405020304" pitchFamily="18" charset="0"/>
          </a:endParaRPr>
        </a:p>
      </dgm:t>
    </dgm:pt>
    <dgm:pt modelId="{61D01804-E0FA-4618-8BF3-C024FEC7A4CB}">
      <dgm:prSet phldrT="[Texto]" custT="1"/>
      <dgm:spPr/>
      <dgm:t>
        <a:bodyPr/>
        <a:lstStyle/>
        <a:p>
          <a:pPr algn="l"/>
          <a:r>
            <a:rPr lang="es-GT" sz="900">
              <a:latin typeface="Times New Roman" panose="02020603050405020304" pitchFamily="18" charset="0"/>
              <a:cs typeface="Times New Roman" panose="02020603050405020304" pitchFamily="18" charset="0"/>
            </a:rPr>
            <a:t>Decreto 1-2023 tarifa social ampliada de energía eléctrica por Q197 millones</a:t>
          </a:r>
        </a:p>
      </dgm:t>
    </dgm:pt>
    <dgm:pt modelId="{B08DD64B-EF8E-4CE4-B62C-E7CC2426F74C}" type="parTrans" cxnId="{EC59C1A1-2828-4DC4-8F77-2C9269FC6513}">
      <dgm:prSet/>
      <dgm:spPr/>
      <dgm:t>
        <a:bodyPr/>
        <a:lstStyle/>
        <a:p>
          <a:endParaRPr lang="es-GT" sz="1600">
            <a:latin typeface="Times New Roman" panose="02020603050405020304" pitchFamily="18" charset="0"/>
            <a:cs typeface="Times New Roman" panose="02020603050405020304" pitchFamily="18" charset="0"/>
          </a:endParaRPr>
        </a:p>
      </dgm:t>
    </dgm:pt>
    <dgm:pt modelId="{E1985F2F-0FFC-4054-90A1-560B8D8A57EA}" type="sibTrans" cxnId="{EC59C1A1-2828-4DC4-8F77-2C9269FC6513}">
      <dgm:prSet/>
      <dgm:spPr/>
      <dgm:t>
        <a:bodyPr/>
        <a:lstStyle/>
        <a:p>
          <a:endParaRPr lang="es-GT" sz="1600">
            <a:latin typeface="Times New Roman" panose="02020603050405020304" pitchFamily="18" charset="0"/>
            <a:cs typeface="Times New Roman" panose="02020603050405020304" pitchFamily="18" charset="0"/>
          </a:endParaRPr>
        </a:p>
      </dgm:t>
    </dgm:pt>
    <dgm:pt modelId="{6FD99214-C7C4-4E3A-89F5-1554DF1FCC71}">
      <dgm:prSet phldrT="[Texto]" custT="1"/>
      <dgm:spPr>
        <a:ln w="3175">
          <a:solidFill>
            <a:schemeClr val="tx1"/>
          </a:solidFill>
        </a:ln>
      </dgm:spPr>
      <dgm:t>
        <a:bodyPr/>
        <a:lstStyle/>
        <a:p>
          <a:r>
            <a:rPr lang="es-GT" sz="1050" b="1">
              <a:latin typeface="Times New Roman" panose="02020603050405020304" pitchFamily="18" charset="0"/>
              <a:cs typeface="Times New Roman" panose="02020603050405020304" pitchFamily="18" charset="0"/>
            </a:rPr>
            <a:t>Gas propano</a:t>
          </a:r>
        </a:p>
      </dgm:t>
    </dgm:pt>
    <dgm:pt modelId="{3648052B-D623-42DE-8FFC-AC8C0CC77246}" type="parTrans" cxnId="{B42FD6BF-1F5B-403E-9259-5A71A92DC720}">
      <dgm:prSet/>
      <dgm:spPr/>
      <dgm:t>
        <a:bodyPr/>
        <a:lstStyle/>
        <a:p>
          <a:endParaRPr lang="es-GT" sz="1600">
            <a:latin typeface="Times New Roman" panose="02020603050405020304" pitchFamily="18" charset="0"/>
            <a:cs typeface="Times New Roman" panose="02020603050405020304" pitchFamily="18" charset="0"/>
          </a:endParaRPr>
        </a:p>
      </dgm:t>
    </dgm:pt>
    <dgm:pt modelId="{4AE99D87-A647-4D96-A6CF-F0009315987C}" type="sibTrans" cxnId="{B42FD6BF-1F5B-403E-9259-5A71A92DC720}">
      <dgm:prSet/>
      <dgm:spPr/>
      <dgm:t>
        <a:bodyPr/>
        <a:lstStyle/>
        <a:p>
          <a:endParaRPr lang="es-GT" sz="1600">
            <a:latin typeface="Times New Roman" panose="02020603050405020304" pitchFamily="18" charset="0"/>
            <a:cs typeface="Times New Roman" panose="02020603050405020304" pitchFamily="18" charset="0"/>
          </a:endParaRPr>
        </a:p>
      </dgm:t>
    </dgm:pt>
    <dgm:pt modelId="{1A7C7B59-DF8B-4F0C-82FD-98F0E448342D}">
      <dgm:prSet phldrT="[Texto]" custT="1"/>
      <dgm:spPr/>
      <dgm:t>
        <a:bodyPr/>
        <a:lstStyle/>
        <a:p>
          <a:r>
            <a:rPr lang="es-GT" sz="900">
              <a:latin typeface="Times New Roman" panose="02020603050405020304" pitchFamily="18" charset="0"/>
              <a:cs typeface="Times New Roman" panose="02020603050405020304" pitchFamily="18" charset="0"/>
            </a:rPr>
            <a:t>Decreto 5-2023 por Q150 millones</a:t>
          </a:r>
        </a:p>
      </dgm:t>
    </dgm:pt>
    <dgm:pt modelId="{3400BB39-E262-47FE-99C2-CF3F2F17552C}" type="parTrans" cxnId="{1EF3FD34-06DB-48EA-B14E-0DD03F2FF922}">
      <dgm:prSet/>
      <dgm:spPr/>
      <dgm:t>
        <a:bodyPr/>
        <a:lstStyle/>
        <a:p>
          <a:endParaRPr lang="es-GT" sz="1600">
            <a:latin typeface="Times New Roman" panose="02020603050405020304" pitchFamily="18" charset="0"/>
            <a:cs typeface="Times New Roman" panose="02020603050405020304" pitchFamily="18" charset="0"/>
          </a:endParaRPr>
        </a:p>
      </dgm:t>
    </dgm:pt>
    <dgm:pt modelId="{FCEC6DB7-E6A1-4565-98FF-34552675A032}" type="sibTrans" cxnId="{1EF3FD34-06DB-48EA-B14E-0DD03F2FF922}">
      <dgm:prSet/>
      <dgm:spPr/>
      <dgm:t>
        <a:bodyPr/>
        <a:lstStyle/>
        <a:p>
          <a:endParaRPr lang="es-GT" sz="1600">
            <a:latin typeface="Times New Roman" panose="02020603050405020304" pitchFamily="18" charset="0"/>
            <a:cs typeface="Times New Roman" panose="02020603050405020304" pitchFamily="18" charset="0"/>
          </a:endParaRPr>
        </a:p>
      </dgm:t>
    </dgm:pt>
    <dgm:pt modelId="{456EF34E-DEFE-4CA1-ADE6-C88124D5415E}">
      <dgm:prSet custT="1"/>
      <dgm:spPr>
        <a:ln w="3175">
          <a:solidFill>
            <a:schemeClr val="tx1"/>
          </a:solidFill>
        </a:ln>
      </dgm:spPr>
      <dgm:t>
        <a:bodyPr/>
        <a:lstStyle/>
        <a:p>
          <a:r>
            <a:rPr lang="es-GT" sz="1050" b="1">
              <a:latin typeface="Times New Roman" panose="02020603050405020304" pitchFamily="18" charset="0"/>
              <a:cs typeface="Times New Roman" panose="02020603050405020304" pitchFamily="18" charset="0"/>
            </a:rPr>
            <a:t>Adulto mayor</a:t>
          </a:r>
        </a:p>
      </dgm:t>
    </dgm:pt>
    <dgm:pt modelId="{8F920999-4CE7-4129-90BB-71EF2F4EE63A}" type="parTrans" cxnId="{864E919D-4E36-433C-A5D8-CB157C644CA2}">
      <dgm:prSet/>
      <dgm:spPr/>
      <dgm:t>
        <a:bodyPr/>
        <a:lstStyle/>
        <a:p>
          <a:endParaRPr lang="es-GT"/>
        </a:p>
      </dgm:t>
    </dgm:pt>
    <dgm:pt modelId="{E0E5096E-D11D-4F5D-B2E4-19F262923697}" type="sibTrans" cxnId="{864E919D-4E36-433C-A5D8-CB157C644CA2}">
      <dgm:prSet/>
      <dgm:spPr/>
      <dgm:t>
        <a:bodyPr/>
        <a:lstStyle/>
        <a:p>
          <a:endParaRPr lang="es-GT"/>
        </a:p>
      </dgm:t>
    </dgm:pt>
    <dgm:pt modelId="{8A9CD0BE-2A20-4EDC-BEEF-30364793819C}">
      <dgm:prSet custT="1"/>
      <dgm:spPr>
        <a:solidFill>
          <a:srgbClr val="0070C0"/>
        </a:solidFill>
        <a:ln w="3175">
          <a:solidFill>
            <a:schemeClr val="tx1"/>
          </a:solidFill>
        </a:ln>
      </dgm:spPr>
      <dgm:t>
        <a:bodyPr/>
        <a:lstStyle/>
        <a:p>
          <a:r>
            <a:rPr lang="es-GT" sz="1200" b="1">
              <a:latin typeface="Times New Roman" panose="02020603050405020304" pitchFamily="18" charset="0"/>
              <a:cs typeface="Times New Roman" panose="02020603050405020304" pitchFamily="18" charset="0"/>
            </a:rPr>
            <a:t>Q116,130.6 millones presupuesto inicial 2024</a:t>
          </a:r>
        </a:p>
      </dgm:t>
    </dgm:pt>
    <dgm:pt modelId="{59046F00-3114-4FC1-884B-2BBE17871218}" type="parTrans" cxnId="{9F10FC3B-1E4E-4BB3-9807-E07817ED505F}">
      <dgm:prSet/>
      <dgm:spPr/>
      <dgm:t>
        <a:bodyPr/>
        <a:lstStyle/>
        <a:p>
          <a:endParaRPr lang="es-GT"/>
        </a:p>
      </dgm:t>
    </dgm:pt>
    <dgm:pt modelId="{6B7DB3A6-4DB3-43D7-A76C-D29809CA7BE3}" type="sibTrans" cxnId="{9F10FC3B-1E4E-4BB3-9807-E07817ED505F}">
      <dgm:prSet/>
      <dgm:spPr/>
      <dgm:t>
        <a:bodyPr/>
        <a:lstStyle/>
        <a:p>
          <a:endParaRPr lang="es-GT"/>
        </a:p>
      </dgm:t>
    </dgm:pt>
    <dgm:pt modelId="{29DBAE2A-9485-45B1-BE86-7E7FE38A10C2}" type="pres">
      <dgm:prSet presAssocID="{B283FEAE-3C24-4547-8A95-953E3870613E}" presName="rootnode" presStyleCnt="0">
        <dgm:presLayoutVars>
          <dgm:chMax/>
          <dgm:chPref/>
          <dgm:dir/>
          <dgm:animLvl val="lvl"/>
        </dgm:presLayoutVars>
      </dgm:prSet>
      <dgm:spPr/>
    </dgm:pt>
    <dgm:pt modelId="{6744F326-DB2F-406B-ADF2-63CE21724EEA}" type="pres">
      <dgm:prSet presAssocID="{8218416E-C816-4C5F-BEEF-58F4B26A1193}" presName="composite" presStyleCnt="0"/>
      <dgm:spPr/>
    </dgm:pt>
    <dgm:pt modelId="{B78FD18F-D635-45A2-93B6-4E3379EDB326}" type="pres">
      <dgm:prSet presAssocID="{8218416E-C816-4C5F-BEEF-58F4B26A1193}" presName="bentUpArrow1" presStyleLbl="alignImgPlace1" presStyleIdx="0" presStyleCnt="4" custLinFactNeighborX="4790" custLinFactNeighborY="10906"/>
      <dgm:spPr>
        <a:ln w="3175">
          <a:solidFill>
            <a:schemeClr val="tx1"/>
          </a:solidFill>
        </a:ln>
      </dgm:spPr>
    </dgm:pt>
    <dgm:pt modelId="{6F772FD1-428B-49DA-83FF-9ACC40D41167}" type="pres">
      <dgm:prSet presAssocID="{8218416E-C816-4C5F-BEEF-58F4B26A1193}" presName="ParentText" presStyleLbl="node1" presStyleIdx="0" presStyleCnt="5">
        <dgm:presLayoutVars>
          <dgm:chMax val="1"/>
          <dgm:chPref val="1"/>
          <dgm:bulletEnabled val="1"/>
        </dgm:presLayoutVars>
      </dgm:prSet>
      <dgm:spPr/>
    </dgm:pt>
    <dgm:pt modelId="{23D6E450-45E5-4D5E-8C7B-53518FA4500A}" type="pres">
      <dgm:prSet presAssocID="{8218416E-C816-4C5F-BEEF-58F4B26A1193}" presName="ChildText" presStyleLbl="revTx" presStyleIdx="0" presStyleCnt="4" custScaleX="168403" custLinFactNeighborX="40884" custLinFactNeighborY="-2145">
        <dgm:presLayoutVars>
          <dgm:chMax val="0"/>
          <dgm:chPref val="0"/>
          <dgm:bulletEnabled val="1"/>
        </dgm:presLayoutVars>
      </dgm:prSet>
      <dgm:spPr/>
    </dgm:pt>
    <dgm:pt modelId="{99FA3B7F-4C7F-477B-A8F1-808BB6F90AAB}" type="pres">
      <dgm:prSet presAssocID="{6E49B111-3324-4312-8939-FE2418FC865F}" presName="sibTrans" presStyleCnt="0"/>
      <dgm:spPr/>
    </dgm:pt>
    <dgm:pt modelId="{00019180-A4CD-4B99-9E85-057DBBDD0AF9}" type="pres">
      <dgm:prSet presAssocID="{4EA9E29F-FC6C-49F3-81B4-26BA28FF133C}" presName="composite" presStyleCnt="0"/>
      <dgm:spPr/>
    </dgm:pt>
    <dgm:pt modelId="{49C97F5F-9522-4253-9548-0DAF0B23A30D}" type="pres">
      <dgm:prSet presAssocID="{4EA9E29F-FC6C-49F3-81B4-26BA28FF133C}" presName="bentUpArrow1" presStyleLbl="alignImgPlace1" presStyleIdx="1" presStyleCnt="4" custLinFactNeighborX="17946" custLinFactNeighborY="9194"/>
      <dgm:spPr>
        <a:solidFill>
          <a:schemeClr val="accent3">
            <a:lumMod val="40000"/>
            <a:lumOff val="60000"/>
          </a:schemeClr>
        </a:solidFill>
        <a:ln w="3175">
          <a:solidFill>
            <a:schemeClr val="tx1"/>
          </a:solidFill>
        </a:ln>
      </dgm:spPr>
    </dgm:pt>
    <dgm:pt modelId="{E8C5D25F-F234-4801-A17A-B20DE4BC55D9}" type="pres">
      <dgm:prSet presAssocID="{4EA9E29F-FC6C-49F3-81B4-26BA28FF133C}" presName="ParentText" presStyleLbl="node1" presStyleIdx="1" presStyleCnt="5" custLinFactNeighborX="-9709" custLinFactNeighborY="1734">
        <dgm:presLayoutVars>
          <dgm:chMax val="1"/>
          <dgm:chPref val="1"/>
          <dgm:bulletEnabled val="1"/>
        </dgm:presLayoutVars>
      </dgm:prSet>
      <dgm:spPr/>
    </dgm:pt>
    <dgm:pt modelId="{D86F2D68-8EC0-45A6-A2F6-DA8662E3F89B}" type="pres">
      <dgm:prSet presAssocID="{4EA9E29F-FC6C-49F3-81B4-26BA28FF133C}" presName="ChildText" presStyleLbl="revTx" presStyleIdx="1" presStyleCnt="4" custScaleX="187220" custLinFactNeighborX="41903" custLinFactNeighborY="1205">
        <dgm:presLayoutVars>
          <dgm:chMax val="0"/>
          <dgm:chPref val="0"/>
          <dgm:bulletEnabled val="1"/>
        </dgm:presLayoutVars>
      </dgm:prSet>
      <dgm:spPr/>
    </dgm:pt>
    <dgm:pt modelId="{CED9BE38-2149-4079-A968-58C200D8193D}" type="pres">
      <dgm:prSet presAssocID="{03535BB0-6490-4976-BEE1-4565C3B3A1CF}" presName="sibTrans" presStyleCnt="0"/>
      <dgm:spPr/>
    </dgm:pt>
    <dgm:pt modelId="{70AEED42-C0BF-479D-8473-604999F871FB}" type="pres">
      <dgm:prSet presAssocID="{6FD99214-C7C4-4E3A-89F5-1554DF1FCC71}" presName="composite" presStyleCnt="0"/>
      <dgm:spPr/>
    </dgm:pt>
    <dgm:pt modelId="{737A0E70-FB3A-4F4F-9423-19E53E76F570}" type="pres">
      <dgm:prSet presAssocID="{6FD99214-C7C4-4E3A-89F5-1554DF1FCC71}" presName="bentUpArrow1" presStyleLbl="alignImgPlace1" presStyleIdx="2" presStyleCnt="4" custLinFactNeighborX="1916" custLinFactNeighborY="9815"/>
      <dgm:spPr>
        <a:ln w="3175">
          <a:solidFill>
            <a:schemeClr val="tx1"/>
          </a:solidFill>
        </a:ln>
      </dgm:spPr>
    </dgm:pt>
    <dgm:pt modelId="{83E475C2-FD5F-4E57-A1B3-091B94015601}" type="pres">
      <dgm:prSet presAssocID="{6FD99214-C7C4-4E3A-89F5-1554DF1FCC71}" presName="ParentText" presStyleLbl="node1" presStyleIdx="2" presStyleCnt="5">
        <dgm:presLayoutVars>
          <dgm:chMax val="1"/>
          <dgm:chPref val="1"/>
          <dgm:bulletEnabled val="1"/>
        </dgm:presLayoutVars>
      </dgm:prSet>
      <dgm:spPr/>
    </dgm:pt>
    <dgm:pt modelId="{12B68FF0-084C-462E-A198-1B6AD7554D4A}" type="pres">
      <dgm:prSet presAssocID="{6FD99214-C7C4-4E3A-89F5-1554DF1FCC71}" presName="ChildText" presStyleLbl="revTx" presStyleIdx="2" presStyleCnt="4" custScaleX="167424" custLinFactNeighborX="41234" custLinFactNeighborY="-1205">
        <dgm:presLayoutVars>
          <dgm:chMax val="0"/>
          <dgm:chPref val="0"/>
          <dgm:bulletEnabled val="1"/>
        </dgm:presLayoutVars>
      </dgm:prSet>
      <dgm:spPr/>
    </dgm:pt>
    <dgm:pt modelId="{C9DC04B4-038C-477D-B219-F195F6AC85DB}" type="pres">
      <dgm:prSet presAssocID="{4AE99D87-A647-4D96-A6CF-F0009315987C}" presName="sibTrans" presStyleCnt="0"/>
      <dgm:spPr/>
    </dgm:pt>
    <dgm:pt modelId="{0500E7F5-9C82-4514-B0A7-39DE6B928DE7}" type="pres">
      <dgm:prSet presAssocID="{456EF34E-DEFE-4CA1-ADE6-C88124D5415E}" presName="composite" presStyleCnt="0"/>
      <dgm:spPr/>
    </dgm:pt>
    <dgm:pt modelId="{15C01830-E4AB-4DDC-9CA2-0245ABCDE6EC}" type="pres">
      <dgm:prSet presAssocID="{456EF34E-DEFE-4CA1-ADE6-C88124D5415E}" presName="bentUpArrow1" presStyleLbl="alignImgPlace1" presStyleIdx="3" presStyleCnt="4" custLinFactNeighborX="17133" custLinFactNeighborY="9179"/>
      <dgm:spPr>
        <a:solidFill>
          <a:schemeClr val="accent5">
            <a:lumMod val="20000"/>
            <a:lumOff val="80000"/>
          </a:schemeClr>
        </a:solidFill>
        <a:ln w="3175">
          <a:solidFill>
            <a:schemeClr val="tx1"/>
          </a:solidFill>
        </a:ln>
      </dgm:spPr>
    </dgm:pt>
    <dgm:pt modelId="{B92891E6-C401-4097-AC66-D0200F450345}" type="pres">
      <dgm:prSet presAssocID="{456EF34E-DEFE-4CA1-ADE6-C88124D5415E}" presName="ParentText" presStyleLbl="node1" presStyleIdx="3" presStyleCnt="5" custLinFactNeighborX="-11013">
        <dgm:presLayoutVars>
          <dgm:chMax val="1"/>
          <dgm:chPref val="1"/>
          <dgm:bulletEnabled val="1"/>
        </dgm:presLayoutVars>
      </dgm:prSet>
      <dgm:spPr/>
    </dgm:pt>
    <dgm:pt modelId="{162D4065-00DC-4E4F-92AF-C09089E12936}" type="pres">
      <dgm:prSet presAssocID="{456EF34E-DEFE-4CA1-ADE6-C88124D5415E}" presName="ChildText" presStyleLbl="revTx" presStyleIdx="3" presStyleCnt="4" custLinFactX="-198926" custLinFactY="100000" custLinFactNeighborX="-200000" custLinFactNeighborY="165525">
        <dgm:presLayoutVars>
          <dgm:chMax val="0"/>
          <dgm:chPref val="0"/>
          <dgm:bulletEnabled val="1"/>
        </dgm:presLayoutVars>
      </dgm:prSet>
      <dgm:spPr/>
    </dgm:pt>
    <dgm:pt modelId="{BF1D5F31-D64F-4183-9ECB-557538BFEAF7}" type="pres">
      <dgm:prSet presAssocID="{E0E5096E-D11D-4F5D-B2E4-19F262923697}" presName="sibTrans" presStyleCnt="0"/>
      <dgm:spPr/>
    </dgm:pt>
    <dgm:pt modelId="{85A13ECD-FF15-476B-AD22-B818A543E319}" type="pres">
      <dgm:prSet presAssocID="{8A9CD0BE-2A20-4EDC-BEEF-30364793819C}" presName="composite" presStyleCnt="0"/>
      <dgm:spPr/>
    </dgm:pt>
    <dgm:pt modelId="{795350E9-0ED7-470E-8B31-674DC769A8CE}" type="pres">
      <dgm:prSet presAssocID="{8A9CD0BE-2A20-4EDC-BEEF-30364793819C}" presName="ParentText" presStyleLbl="node1" presStyleIdx="4" presStyleCnt="5" custScaleX="114283">
        <dgm:presLayoutVars>
          <dgm:chMax val="1"/>
          <dgm:chPref val="1"/>
          <dgm:bulletEnabled val="1"/>
        </dgm:presLayoutVars>
      </dgm:prSet>
      <dgm:spPr/>
    </dgm:pt>
  </dgm:ptLst>
  <dgm:cxnLst>
    <dgm:cxn modelId="{94E1690D-939B-4BF0-B620-913EE66A4909}" srcId="{B283FEAE-3C24-4547-8A95-953E3870613E}" destId="{8218416E-C816-4C5F-BEEF-58F4B26A1193}" srcOrd="0" destOrd="0" parTransId="{02A766FC-B648-4AD1-A336-B67B9010962D}" sibTransId="{6E49B111-3324-4312-8939-FE2418FC865F}"/>
    <dgm:cxn modelId="{B32BAC11-AE65-4E85-B7E3-931F03E94106}" type="presOf" srcId="{1A7C7B59-DF8B-4F0C-82FD-98F0E448342D}" destId="{12B68FF0-084C-462E-A198-1B6AD7554D4A}" srcOrd="0" destOrd="0" presId="urn:microsoft.com/office/officeart/2005/8/layout/StepDownProcess"/>
    <dgm:cxn modelId="{32400C21-39E5-459C-944D-FE1483F8352D}" type="presOf" srcId="{B283FEAE-3C24-4547-8A95-953E3870613E}" destId="{29DBAE2A-9485-45B1-BE86-7E7FE38A10C2}" srcOrd="0" destOrd="0" presId="urn:microsoft.com/office/officeart/2005/8/layout/StepDownProcess"/>
    <dgm:cxn modelId="{1EF3FD34-06DB-48EA-B14E-0DD03F2FF922}" srcId="{6FD99214-C7C4-4E3A-89F5-1554DF1FCC71}" destId="{1A7C7B59-DF8B-4F0C-82FD-98F0E448342D}" srcOrd="0" destOrd="0" parTransId="{3400BB39-E262-47FE-99C2-CF3F2F17552C}" sibTransId="{FCEC6DB7-E6A1-4565-98FF-34552675A032}"/>
    <dgm:cxn modelId="{9F10FC3B-1E4E-4BB3-9807-E07817ED505F}" srcId="{B283FEAE-3C24-4547-8A95-953E3870613E}" destId="{8A9CD0BE-2A20-4EDC-BEEF-30364793819C}" srcOrd="4" destOrd="0" parTransId="{59046F00-3114-4FC1-884B-2BBE17871218}" sibTransId="{6B7DB3A6-4DB3-43D7-A76C-D29809CA7BE3}"/>
    <dgm:cxn modelId="{AF94933C-1595-4086-B1C2-DECB134CB205}" type="presOf" srcId="{8218416E-C816-4C5F-BEEF-58F4B26A1193}" destId="{6F772FD1-428B-49DA-83FF-9ACC40D41167}" srcOrd="0" destOrd="0" presId="urn:microsoft.com/office/officeart/2005/8/layout/StepDownProcess"/>
    <dgm:cxn modelId="{50E93966-6793-442D-A7CE-B1E918547654}" type="presOf" srcId="{61D01804-E0FA-4618-8BF3-C024FEC7A4CB}" destId="{D86F2D68-8EC0-45A6-A2F6-DA8662E3F89B}" srcOrd="0" destOrd="0" presId="urn:microsoft.com/office/officeart/2005/8/layout/StepDownProcess"/>
    <dgm:cxn modelId="{24541571-EE0B-4906-B604-B1EEA5029E3F}" type="presOf" srcId="{456EF34E-DEFE-4CA1-ADE6-C88124D5415E}" destId="{B92891E6-C401-4097-AC66-D0200F450345}" srcOrd="0" destOrd="0" presId="urn:microsoft.com/office/officeart/2005/8/layout/StepDownProcess"/>
    <dgm:cxn modelId="{7E279B53-67FD-4F90-BA8E-397914182F6A}" type="presOf" srcId="{4EA9E29F-FC6C-49F3-81B4-26BA28FF133C}" destId="{E8C5D25F-F234-4801-A17A-B20DE4BC55D9}" srcOrd="0" destOrd="0" presId="urn:microsoft.com/office/officeart/2005/8/layout/StepDownProcess"/>
    <dgm:cxn modelId="{2AB4898D-F7DD-4ACE-B642-8C4A151BAB37}" type="presOf" srcId="{8A9CD0BE-2A20-4EDC-BEEF-30364793819C}" destId="{795350E9-0ED7-470E-8B31-674DC769A8CE}" srcOrd="0" destOrd="0" presId="urn:microsoft.com/office/officeart/2005/8/layout/StepDownProcess"/>
    <dgm:cxn modelId="{319B9E92-CF83-437E-8A8B-E06C7BEE8834}" srcId="{8218416E-C816-4C5F-BEEF-58F4B26A1193}" destId="{DFDCB371-6588-42B3-9032-EFC178E8ED94}" srcOrd="0" destOrd="0" parTransId="{4FF199E1-D753-479F-9B10-F19C4053BD8A}" sibTransId="{6DD9C4AA-C1A2-46F9-A1ED-873A3EBE4C12}"/>
    <dgm:cxn modelId="{864E919D-4E36-433C-A5D8-CB157C644CA2}" srcId="{B283FEAE-3C24-4547-8A95-953E3870613E}" destId="{456EF34E-DEFE-4CA1-ADE6-C88124D5415E}" srcOrd="3" destOrd="0" parTransId="{8F920999-4CE7-4129-90BB-71EF2F4EE63A}" sibTransId="{E0E5096E-D11D-4F5D-B2E4-19F262923697}"/>
    <dgm:cxn modelId="{EC59C1A1-2828-4DC4-8F77-2C9269FC6513}" srcId="{4EA9E29F-FC6C-49F3-81B4-26BA28FF133C}" destId="{61D01804-E0FA-4618-8BF3-C024FEC7A4CB}" srcOrd="0" destOrd="0" parTransId="{B08DD64B-EF8E-4CE4-B62C-E7CC2426F74C}" sibTransId="{E1985F2F-0FFC-4054-90A1-560B8D8A57EA}"/>
    <dgm:cxn modelId="{B42FD6BF-1F5B-403E-9259-5A71A92DC720}" srcId="{B283FEAE-3C24-4547-8A95-953E3870613E}" destId="{6FD99214-C7C4-4E3A-89F5-1554DF1FCC71}" srcOrd="2" destOrd="0" parTransId="{3648052B-D623-42DE-8FFC-AC8C0CC77246}" sibTransId="{4AE99D87-A647-4D96-A6CF-F0009315987C}"/>
    <dgm:cxn modelId="{A7AD0ACD-8643-4BFA-84D6-06184BFE50DB}" type="presOf" srcId="{DFDCB371-6588-42B3-9032-EFC178E8ED94}" destId="{23D6E450-45E5-4D5E-8C7B-53518FA4500A}" srcOrd="0" destOrd="0" presId="urn:microsoft.com/office/officeart/2005/8/layout/StepDownProcess"/>
    <dgm:cxn modelId="{01F3CBD7-9B5E-4995-B7DD-D58F141D1B2E}" srcId="{B283FEAE-3C24-4547-8A95-953E3870613E}" destId="{4EA9E29F-FC6C-49F3-81B4-26BA28FF133C}" srcOrd="1" destOrd="0" parTransId="{491E93E8-C412-4B22-86DA-A62B57957A10}" sibTransId="{03535BB0-6490-4976-BEE1-4565C3B3A1CF}"/>
    <dgm:cxn modelId="{0EBD9CE9-2AAF-4B1D-A051-15C5D7718FEA}" type="presOf" srcId="{6FD99214-C7C4-4E3A-89F5-1554DF1FCC71}" destId="{83E475C2-FD5F-4E57-A1B3-091B94015601}" srcOrd="0" destOrd="0" presId="urn:microsoft.com/office/officeart/2005/8/layout/StepDownProcess"/>
    <dgm:cxn modelId="{86DFEBFD-E7F0-481E-BD7B-460AD7741AF9}" type="presParOf" srcId="{29DBAE2A-9485-45B1-BE86-7E7FE38A10C2}" destId="{6744F326-DB2F-406B-ADF2-63CE21724EEA}" srcOrd="0" destOrd="0" presId="urn:microsoft.com/office/officeart/2005/8/layout/StepDownProcess"/>
    <dgm:cxn modelId="{787E8B4A-8589-474F-A33C-0425B078B9C1}" type="presParOf" srcId="{6744F326-DB2F-406B-ADF2-63CE21724EEA}" destId="{B78FD18F-D635-45A2-93B6-4E3379EDB326}" srcOrd="0" destOrd="0" presId="urn:microsoft.com/office/officeart/2005/8/layout/StepDownProcess"/>
    <dgm:cxn modelId="{11E28898-7086-4DD5-A3E9-7BA04B28FDDE}" type="presParOf" srcId="{6744F326-DB2F-406B-ADF2-63CE21724EEA}" destId="{6F772FD1-428B-49DA-83FF-9ACC40D41167}" srcOrd="1" destOrd="0" presId="urn:microsoft.com/office/officeart/2005/8/layout/StepDownProcess"/>
    <dgm:cxn modelId="{2FF5EA33-AE01-46C2-A029-01C407B69D7E}" type="presParOf" srcId="{6744F326-DB2F-406B-ADF2-63CE21724EEA}" destId="{23D6E450-45E5-4D5E-8C7B-53518FA4500A}" srcOrd="2" destOrd="0" presId="urn:microsoft.com/office/officeart/2005/8/layout/StepDownProcess"/>
    <dgm:cxn modelId="{5DD052D4-79A1-459F-B31C-9B273FD6EF7C}" type="presParOf" srcId="{29DBAE2A-9485-45B1-BE86-7E7FE38A10C2}" destId="{99FA3B7F-4C7F-477B-A8F1-808BB6F90AAB}" srcOrd="1" destOrd="0" presId="urn:microsoft.com/office/officeart/2005/8/layout/StepDownProcess"/>
    <dgm:cxn modelId="{19F668AE-00A7-4CA8-96A0-E92186BA5B1A}" type="presParOf" srcId="{29DBAE2A-9485-45B1-BE86-7E7FE38A10C2}" destId="{00019180-A4CD-4B99-9E85-057DBBDD0AF9}" srcOrd="2" destOrd="0" presId="urn:microsoft.com/office/officeart/2005/8/layout/StepDownProcess"/>
    <dgm:cxn modelId="{F4925511-DBFE-4F2A-9B3C-743DE30E4181}" type="presParOf" srcId="{00019180-A4CD-4B99-9E85-057DBBDD0AF9}" destId="{49C97F5F-9522-4253-9548-0DAF0B23A30D}" srcOrd="0" destOrd="0" presId="urn:microsoft.com/office/officeart/2005/8/layout/StepDownProcess"/>
    <dgm:cxn modelId="{8F6BB48F-4138-42B4-AA53-1B92A5D0CD48}" type="presParOf" srcId="{00019180-A4CD-4B99-9E85-057DBBDD0AF9}" destId="{E8C5D25F-F234-4801-A17A-B20DE4BC55D9}" srcOrd="1" destOrd="0" presId="urn:microsoft.com/office/officeart/2005/8/layout/StepDownProcess"/>
    <dgm:cxn modelId="{F35EF97E-BEE4-4375-A1CD-4063B3A54BD4}" type="presParOf" srcId="{00019180-A4CD-4B99-9E85-057DBBDD0AF9}" destId="{D86F2D68-8EC0-45A6-A2F6-DA8662E3F89B}" srcOrd="2" destOrd="0" presId="urn:microsoft.com/office/officeart/2005/8/layout/StepDownProcess"/>
    <dgm:cxn modelId="{F085F2B2-A653-4586-9D7D-3708050B22C8}" type="presParOf" srcId="{29DBAE2A-9485-45B1-BE86-7E7FE38A10C2}" destId="{CED9BE38-2149-4079-A968-58C200D8193D}" srcOrd="3" destOrd="0" presId="urn:microsoft.com/office/officeart/2005/8/layout/StepDownProcess"/>
    <dgm:cxn modelId="{4889930C-9431-413E-B389-A4217872D0C8}" type="presParOf" srcId="{29DBAE2A-9485-45B1-BE86-7E7FE38A10C2}" destId="{70AEED42-C0BF-479D-8473-604999F871FB}" srcOrd="4" destOrd="0" presId="urn:microsoft.com/office/officeart/2005/8/layout/StepDownProcess"/>
    <dgm:cxn modelId="{0033FDED-7FA0-4C9B-B728-771ACB049BC2}" type="presParOf" srcId="{70AEED42-C0BF-479D-8473-604999F871FB}" destId="{737A0E70-FB3A-4F4F-9423-19E53E76F570}" srcOrd="0" destOrd="0" presId="urn:microsoft.com/office/officeart/2005/8/layout/StepDownProcess"/>
    <dgm:cxn modelId="{6A45F651-A276-49B5-829C-8CB9042FAE2D}" type="presParOf" srcId="{70AEED42-C0BF-479D-8473-604999F871FB}" destId="{83E475C2-FD5F-4E57-A1B3-091B94015601}" srcOrd="1" destOrd="0" presId="urn:microsoft.com/office/officeart/2005/8/layout/StepDownProcess"/>
    <dgm:cxn modelId="{E884006D-038E-4A18-9188-EBBD62C2234A}" type="presParOf" srcId="{70AEED42-C0BF-479D-8473-604999F871FB}" destId="{12B68FF0-084C-462E-A198-1B6AD7554D4A}" srcOrd="2" destOrd="0" presId="urn:microsoft.com/office/officeart/2005/8/layout/StepDownProcess"/>
    <dgm:cxn modelId="{BB71BE0D-CC03-492D-9080-ECE6D7D02E98}" type="presParOf" srcId="{29DBAE2A-9485-45B1-BE86-7E7FE38A10C2}" destId="{C9DC04B4-038C-477D-B219-F195F6AC85DB}" srcOrd="5" destOrd="0" presId="urn:microsoft.com/office/officeart/2005/8/layout/StepDownProcess"/>
    <dgm:cxn modelId="{3F58AC57-B1EE-467E-8902-77D42CC8AC39}" type="presParOf" srcId="{29DBAE2A-9485-45B1-BE86-7E7FE38A10C2}" destId="{0500E7F5-9C82-4514-B0A7-39DE6B928DE7}" srcOrd="6" destOrd="0" presId="urn:microsoft.com/office/officeart/2005/8/layout/StepDownProcess"/>
    <dgm:cxn modelId="{742BC8D2-7993-4DBF-AC23-F4F047D9338F}" type="presParOf" srcId="{0500E7F5-9C82-4514-B0A7-39DE6B928DE7}" destId="{15C01830-E4AB-4DDC-9CA2-0245ABCDE6EC}" srcOrd="0" destOrd="0" presId="urn:microsoft.com/office/officeart/2005/8/layout/StepDownProcess"/>
    <dgm:cxn modelId="{27F70A65-A786-4316-9A95-5626914C6CE1}" type="presParOf" srcId="{0500E7F5-9C82-4514-B0A7-39DE6B928DE7}" destId="{B92891E6-C401-4097-AC66-D0200F450345}" srcOrd="1" destOrd="0" presId="urn:microsoft.com/office/officeart/2005/8/layout/StepDownProcess"/>
    <dgm:cxn modelId="{9E9A0AB2-2F17-4C35-A03D-8F5DB393C245}" type="presParOf" srcId="{0500E7F5-9C82-4514-B0A7-39DE6B928DE7}" destId="{162D4065-00DC-4E4F-92AF-C09089E12936}" srcOrd="2" destOrd="0" presId="urn:microsoft.com/office/officeart/2005/8/layout/StepDownProcess"/>
    <dgm:cxn modelId="{9DFD0897-0F0A-4810-AED0-0D3F1ECF55F0}" type="presParOf" srcId="{29DBAE2A-9485-45B1-BE86-7E7FE38A10C2}" destId="{BF1D5F31-D64F-4183-9ECB-557538BFEAF7}" srcOrd="7" destOrd="0" presId="urn:microsoft.com/office/officeart/2005/8/layout/StepDownProcess"/>
    <dgm:cxn modelId="{F7E42C49-D28B-41A8-8104-F2AC8CAD0F11}" type="presParOf" srcId="{29DBAE2A-9485-45B1-BE86-7E7FE38A10C2}" destId="{85A13ECD-FF15-476B-AD22-B818A543E319}" srcOrd="8" destOrd="0" presId="urn:microsoft.com/office/officeart/2005/8/layout/StepDownProcess"/>
    <dgm:cxn modelId="{FE53050C-FAF1-4CBE-AE8D-D66702BD8295}" type="presParOf" srcId="{85A13ECD-FF15-476B-AD22-B818A543E319}" destId="{795350E9-0ED7-470E-8B31-674DC769A8CE}" srcOrd="0" destOrd="0" presId="urn:microsoft.com/office/officeart/2005/8/layout/StepDownProcess"/>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B1C053-5CD9-4FD4-A63D-A11DE0917BCD}">
      <dsp:nvSpPr>
        <dsp:cNvPr id="0" name=""/>
        <dsp:cNvSpPr/>
      </dsp:nvSpPr>
      <dsp:spPr>
        <a:xfrm>
          <a:off x="1997" y="209294"/>
          <a:ext cx="2159789" cy="1612237"/>
        </a:xfrm>
        <a:prstGeom prst="round2SameRect">
          <a:avLst>
            <a:gd name="adj1" fmla="val 8000"/>
            <a:gd name="adj2" fmla="val 0"/>
          </a:avLst>
        </a:prstGeom>
        <a:solidFill>
          <a:sysClr val="window" lastClr="FFFFFF">
            <a:alpha val="90000"/>
            <a:hueOff val="0"/>
            <a:satOff val="0"/>
            <a:lumOff val="0"/>
            <a:alphaOff val="0"/>
          </a:sysClr>
        </a:solidFill>
        <a:ln w="12700" cap="flat" cmpd="sng" algn="ctr">
          <a:solidFill>
            <a:srgbClr val="4472C4">
              <a:shade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8100" rIns="12700" bIns="12700" numCol="1" spcCol="1270" anchor="t" anchorCtr="0">
          <a:noAutofit/>
        </a:bodyPr>
        <a:lstStyle/>
        <a:p>
          <a:pPr marL="57150" lvl="1" indent="-57150" algn="just" defTabSz="444500">
            <a:lnSpc>
              <a:spcPct val="90000"/>
            </a:lnSpc>
            <a:spcBef>
              <a:spcPct val="0"/>
            </a:spcBef>
            <a:spcAft>
              <a:spcPct val="15000"/>
            </a:spcAft>
            <a:buChar char="•"/>
          </a:pPr>
          <a:r>
            <a:rPr lang="es-G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En 2023 fue aprobado el decreto, Decreto Número 5-2023 “Ley de Apoyo Social Temporal a los Consumidores de Gas Propano” manteniendo las condiciones de apoyo de los decretos anteriores, con presupuesto de Q150 millones y el período de tres meses. </a:t>
          </a:r>
        </a:p>
        <a:p>
          <a:pPr marL="114300" lvl="2" indent="-57150" algn="just" defTabSz="444500">
            <a:lnSpc>
              <a:spcPct val="90000"/>
            </a:lnSpc>
            <a:spcBef>
              <a:spcPct val="0"/>
            </a:spcBef>
            <a:spcAft>
              <a:spcPct val="15000"/>
            </a:spcAft>
            <a:buChar char="•"/>
          </a:pPr>
          <a:r>
            <a:rPr lang="es-G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 libras - Q8.00</a:t>
          </a:r>
        </a:p>
        <a:p>
          <a:pPr marL="114300" lvl="2" indent="-57150" algn="just" defTabSz="444500">
            <a:lnSpc>
              <a:spcPct val="90000"/>
            </a:lnSpc>
            <a:spcBef>
              <a:spcPct val="0"/>
            </a:spcBef>
            <a:spcAft>
              <a:spcPct val="15000"/>
            </a:spcAft>
            <a:buChar char="•"/>
          </a:pPr>
          <a:r>
            <a:rPr lang="es-G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20 libras - Q16.00</a:t>
          </a:r>
        </a:p>
        <a:p>
          <a:pPr marL="114300" lvl="2" indent="-57150" algn="just" defTabSz="444500">
            <a:lnSpc>
              <a:spcPct val="90000"/>
            </a:lnSpc>
            <a:spcBef>
              <a:spcPct val="0"/>
            </a:spcBef>
            <a:spcAft>
              <a:spcPct val="15000"/>
            </a:spcAft>
            <a:buChar char="•"/>
          </a:pPr>
          <a:r>
            <a:rPr lang="es-G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25 libras - Q20.00</a:t>
          </a:r>
        </a:p>
        <a:p>
          <a:pPr marL="114300" lvl="2" indent="-57150" algn="just" defTabSz="444500">
            <a:lnSpc>
              <a:spcPct val="90000"/>
            </a:lnSpc>
            <a:spcBef>
              <a:spcPct val="0"/>
            </a:spcBef>
            <a:spcAft>
              <a:spcPct val="15000"/>
            </a:spcAft>
            <a:buChar char="•"/>
          </a:pPr>
          <a:r>
            <a:rPr lang="es-G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35 libras - Q28.00</a:t>
          </a:r>
        </a:p>
      </dsp:txBody>
      <dsp:txXfrm>
        <a:off x="39774" y="247071"/>
        <a:ext cx="2084235" cy="1574460"/>
      </dsp:txXfrm>
    </dsp:sp>
    <dsp:sp modelId="{9AA6D0F0-AFA2-4903-954B-FD36552AA2D3}">
      <dsp:nvSpPr>
        <dsp:cNvPr id="0" name=""/>
        <dsp:cNvSpPr/>
      </dsp:nvSpPr>
      <dsp:spPr>
        <a:xfrm>
          <a:off x="1997" y="1821531"/>
          <a:ext cx="2159789" cy="693262"/>
        </a:xfrm>
        <a:prstGeom prst="rect">
          <a:avLst/>
        </a:prstGeom>
        <a:solidFill>
          <a:srgbClr val="4472C4">
            <a:shade val="50000"/>
            <a:hueOff val="0"/>
            <a:satOff val="0"/>
            <a:lumOff val="0"/>
            <a:alphaOff val="0"/>
          </a:srgbClr>
        </a:solidFill>
        <a:ln w="12700" cap="flat" cmpd="sng" algn="ctr">
          <a:solidFill>
            <a:srgbClr val="5B9BD5">
              <a:lumMod val="5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0" rIns="13970" bIns="0" numCol="1" spcCol="1270" anchor="ctr" anchorCtr="0">
          <a:noAutofit/>
        </a:bodyPr>
        <a:lstStyle/>
        <a:p>
          <a:pPr marL="0" lvl="0" indent="0" algn="ctr" defTabSz="488950">
            <a:lnSpc>
              <a:spcPct val="90000"/>
            </a:lnSpc>
            <a:spcBef>
              <a:spcPct val="0"/>
            </a:spcBef>
            <a:spcAft>
              <a:spcPct val="35000"/>
            </a:spcAft>
            <a:buNone/>
          </a:pPr>
          <a:r>
            <a:rPr lang="es-GT" sz="1100" b="1" kern="1200">
              <a:solidFill>
                <a:sysClr val="window" lastClr="FFFFFF"/>
              </a:solidFill>
              <a:latin typeface="Times New Roman" panose="02020603050405020304" pitchFamily="18" charset="0"/>
              <a:ea typeface="+mn-ea"/>
              <a:cs typeface="Times New Roman" panose="02020603050405020304" pitchFamily="18" charset="0"/>
            </a:rPr>
            <a:t>Gas Propano (Q150 millones)</a:t>
          </a:r>
        </a:p>
      </dsp:txBody>
      <dsp:txXfrm>
        <a:off x="1997" y="1821531"/>
        <a:ext cx="1520978" cy="693262"/>
      </dsp:txXfrm>
    </dsp:sp>
    <dsp:sp modelId="{9B9C93BA-CE5D-4271-9049-4C0093EB2E0B}">
      <dsp:nvSpPr>
        <dsp:cNvPr id="0" name=""/>
        <dsp:cNvSpPr/>
      </dsp:nvSpPr>
      <dsp:spPr>
        <a:xfrm>
          <a:off x="1584073" y="1931649"/>
          <a:ext cx="755926" cy="755926"/>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5000" r="-25000"/>
          </a:stretch>
        </a:blipFill>
        <a:ln w="12700" cap="flat" cmpd="sng" algn="ctr">
          <a:solidFill>
            <a:schemeClr val="accent1">
              <a:alpha val="90000"/>
              <a:tint val="55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8066DED-F1EA-4506-89B1-C587E1A8AA4E}">
      <dsp:nvSpPr>
        <dsp:cNvPr id="0" name=""/>
        <dsp:cNvSpPr/>
      </dsp:nvSpPr>
      <dsp:spPr>
        <a:xfrm>
          <a:off x="2527275" y="209294"/>
          <a:ext cx="2159789" cy="1612237"/>
        </a:xfrm>
        <a:prstGeom prst="round2SameRect">
          <a:avLst>
            <a:gd name="adj1" fmla="val 8000"/>
            <a:gd name="adj2" fmla="val 0"/>
          </a:avLst>
        </a:prstGeom>
        <a:solidFill>
          <a:sysClr val="window" lastClr="FFFFFF">
            <a:alpha val="90000"/>
            <a:hueOff val="0"/>
            <a:satOff val="0"/>
            <a:lumOff val="0"/>
            <a:alphaOff val="0"/>
          </a:sysClr>
        </a:solidFill>
        <a:ln w="12700" cap="flat" cmpd="sng" algn="ctr">
          <a:solidFill>
            <a:srgbClr val="4472C4">
              <a:shade val="50000"/>
              <a:hueOff val="268329"/>
              <a:satOff val="-6535"/>
              <a:lumOff val="28597"/>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8100" rIns="12700" bIns="12700" numCol="1" spcCol="1270" anchor="t" anchorCtr="0">
          <a:noAutofit/>
        </a:bodyPr>
        <a:lstStyle/>
        <a:p>
          <a:pPr marL="57150" lvl="1" indent="-57150" algn="just" defTabSz="444500">
            <a:lnSpc>
              <a:spcPct val="90000"/>
            </a:lnSpc>
            <a:spcBef>
              <a:spcPct val="0"/>
            </a:spcBef>
            <a:spcAft>
              <a:spcPct val="15000"/>
            </a:spcAft>
            <a:buChar char="•"/>
          </a:pPr>
          <a:r>
            <a:rPr lang="es-G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Se aprobó el Decreto </a:t>
          </a:r>
          <a:r>
            <a:rPr lang="es-MX" sz="1000" kern="1200"/>
            <a:t>Número </a:t>
          </a:r>
          <a:r>
            <a:rPr lang="es-G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1-2023 Ley de Fortalecimiento al Aporte Social de la Tarifa Eléctrica, para cubrir a los consumidores de entre 89 kWh hasta 125 kWh al mes. </a:t>
          </a:r>
        </a:p>
        <a:p>
          <a:pPr marL="57150" lvl="1" indent="-57150" algn="just" defTabSz="444500">
            <a:lnSpc>
              <a:spcPct val="90000"/>
            </a:lnSpc>
            <a:spcBef>
              <a:spcPct val="0"/>
            </a:spcBef>
            <a:spcAft>
              <a:spcPct val="15000"/>
            </a:spcAft>
            <a:buChar char="•"/>
          </a:pPr>
          <a:r>
            <a:rPr lang="es-G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El subsidio fue financiado con recursos de caja y bancos.</a:t>
          </a:r>
        </a:p>
        <a:p>
          <a:pPr marL="57150" lvl="1" indent="-57150" algn="just" defTabSz="444500">
            <a:lnSpc>
              <a:spcPct val="90000"/>
            </a:lnSpc>
            <a:spcBef>
              <a:spcPct val="0"/>
            </a:spcBef>
            <a:spcAft>
              <a:spcPct val="15000"/>
            </a:spcAft>
            <a:buChar char="•"/>
          </a:pPr>
          <a:r>
            <a:rPr lang="es-GT"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La tarifa social normal cubre hasta los 88 kWh, por lo que el subsidio dado en 2022-2023 amplió este beneficio a un mayor número de familias.</a:t>
          </a:r>
        </a:p>
      </dsp:txBody>
      <dsp:txXfrm>
        <a:off x="2565052" y="247071"/>
        <a:ext cx="2084235" cy="1574460"/>
      </dsp:txXfrm>
    </dsp:sp>
    <dsp:sp modelId="{C28DC1AB-1822-4AD5-9E54-0429B5A49612}">
      <dsp:nvSpPr>
        <dsp:cNvPr id="0" name=""/>
        <dsp:cNvSpPr/>
      </dsp:nvSpPr>
      <dsp:spPr>
        <a:xfrm>
          <a:off x="2527275" y="1821531"/>
          <a:ext cx="2159789" cy="693262"/>
        </a:xfrm>
        <a:prstGeom prst="rect">
          <a:avLst/>
        </a:prstGeom>
        <a:solidFill>
          <a:srgbClr val="5B9BD5">
            <a:lumMod val="50000"/>
          </a:srgbClr>
        </a:solidFill>
        <a:ln w="12700" cap="flat" cmpd="sng" algn="ctr">
          <a:solidFill>
            <a:srgbClr val="5B9BD5">
              <a:lumMod val="50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0" rIns="13970" bIns="0" numCol="1" spcCol="1270" anchor="ctr" anchorCtr="0">
          <a:noAutofit/>
        </a:bodyPr>
        <a:lstStyle/>
        <a:p>
          <a:pPr marL="0" lvl="0" indent="0" algn="ctr" defTabSz="488950">
            <a:lnSpc>
              <a:spcPct val="90000"/>
            </a:lnSpc>
            <a:spcBef>
              <a:spcPct val="0"/>
            </a:spcBef>
            <a:spcAft>
              <a:spcPct val="35000"/>
            </a:spcAft>
            <a:buNone/>
          </a:pPr>
          <a:r>
            <a:rPr lang="es-GT" sz="1100" b="1" kern="1200">
              <a:solidFill>
                <a:sysClr val="window" lastClr="FFFFFF"/>
              </a:solidFill>
              <a:latin typeface="Times New Roman" panose="02020603050405020304" pitchFamily="18" charset="0"/>
              <a:ea typeface="+mn-ea"/>
              <a:cs typeface="Times New Roman" panose="02020603050405020304" pitchFamily="18" charset="0"/>
            </a:rPr>
            <a:t>Tarifa Social Energía Eléctrica (Q197 millones)</a:t>
          </a:r>
        </a:p>
      </dsp:txBody>
      <dsp:txXfrm>
        <a:off x="2527275" y="1821531"/>
        <a:ext cx="1520978" cy="693262"/>
      </dsp:txXfrm>
    </dsp:sp>
    <dsp:sp modelId="{66AC61ED-957E-4865-992F-0523C2A6BF57}">
      <dsp:nvSpPr>
        <dsp:cNvPr id="0" name=""/>
        <dsp:cNvSpPr/>
      </dsp:nvSpPr>
      <dsp:spPr>
        <a:xfrm>
          <a:off x="4109350" y="1931649"/>
          <a:ext cx="755926" cy="755926"/>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7000" r="-17000"/>
          </a:stretch>
        </a:blipFill>
        <a:ln w="12700" cap="flat" cmpd="sng" algn="ctr">
          <a:solidFill>
            <a:schemeClr val="accent1">
              <a:alpha val="90000"/>
              <a:tint val="55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1C797B-3D93-4A69-9D97-BEB2E95152E8}">
      <dsp:nvSpPr>
        <dsp:cNvPr id="0" name=""/>
        <dsp:cNvSpPr/>
      </dsp:nvSpPr>
      <dsp:spPr>
        <a:xfrm>
          <a:off x="3450029" y="2031059"/>
          <a:ext cx="217465" cy="207188"/>
        </a:xfrm>
        <a:custGeom>
          <a:avLst/>
          <a:gdLst/>
          <a:ahLst/>
          <a:cxnLst/>
          <a:rect l="0" t="0" r="0" b="0"/>
          <a:pathLst>
            <a:path>
              <a:moveTo>
                <a:pt x="0" y="0"/>
              </a:moveTo>
              <a:lnTo>
                <a:pt x="108732" y="0"/>
              </a:lnTo>
              <a:lnTo>
                <a:pt x="108732" y="207188"/>
              </a:lnTo>
              <a:lnTo>
                <a:pt x="217465" y="207188"/>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s-ES" sz="800" kern="1200">
            <a:solidFill>
              <a:sysClr val="windowText" lastClr="000000"/>
            </a:solidFill>
            <a:latin typeface="Times New Roman" panose="02020603050405020304" pitchFamily="18" charset="0"/>
            <a:cs typeface="Times New Roman" panose="02020603050405020304" pitchFamily="18" charset="0"/>
          </a:endParaRPr>
        </a:p>
      </dsp:txBody>
      <dsp:txXfrm>
        <a:off x="3551252" y="2127144"/>
        <a:ext cx="15018" cy="15018"/>
      </dsp:txXfrm>
    </dsp:sp>
    <dsp:sp modelId="{05E3CC04-10F1-430C-85D0-0896D101C3DC}">
      <dsp:nvSpPr>
        <dsp:cNvPr id="0" name=""/>
        <dsp:cNvSpPr/>
      </dsp:nvSpPr>
      <dsp:spPr>
        <a:xfrm>
          <a:off x="3450029" y="1823870"/>
          <a:ext cx="217465" cy="207188"/>
        </a:xfrm>
        <a:custGeom>
          <a:avLst/>
          <a:gdLst/>
          <a:ahLst/>
          <a:cxnLst/>
          <a:rect l="0" t="0" r="0" b="0"/>
          <a:pathLst>
            <a:path>
              <a:moveTo>
                <a:pt x="0" y="207188"/>
              </a:moveTo>
              <a:lnTo>
                <a:pt x="108732" y="207188"/>
              </a:lnTo>
              <a:lnTo>
                <a:pt x="108732" y="0"/>
              </a:lnTo>
              <a:lnTo>
                <a:pt x="217465" y="0"/>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s-ES" sz="800" kern="1200">
            <a:solidFill>
              <a:sysClr val="windowText" lastClr="000000"/>
            </a:solidFill>
            <a:latin typeface="Times New Roman" panose="02020603050405020304" pitchFamily="18" charset="0"/>
            <a:cs typeface="Times New Roman" panose="02020603050405020304" pitchFamily="18" charset="0"/>
          </a:endParaRPr>
        </a:p>
      </dsp:txBody>
      <dsp:txXfrm>
        <a:off x="3551252" y="1919955"/>
        <a:ext cx="15018" cy="15018"/>
      </dsp:txXfrm>
    </dsp:sp>
    <dsp:sp modelId="{6537BB23-4B05-43EE-AF81-3662FAF6C7BE}">
      <dsp:nvSpPr>
        <dsp:cNvPr id="0" name=""/>
        <dsp:cNvSpPr/>
      </dsp:nvSpPr>
      <dsp:spPr>
        <a:xfrm>
          <a:off x="2145236" y="1823870"/>
          <a:ext cx="217465" cy="207188"/>
        </a:xfrm>
        <a:custGeom>
          <a:avLst/>
          <a:gdLst/>
          <a:ahLst/>
          <a:cxnLst/>
          <a:rect l="0" t="0" r="0" b="0"/>
          <a:pathLst>
            <a:path>
              <a:moveTo>
                <a:pt x="0" y="0"/>
              </a:moveTo>
              <a:lnTo>
                <a:pt x="108732" y="0"/>
              </a:lnTo>
              <a:lnTo>
                <a:pt x="108732" y="207188"/>
              </a:lnTo>
              <a:lnTo>
                <a:pt x="217465" y="207188"/>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s-ES" sz="800" kern="1200">
            <a:solidFill>
              <a:sysClr val="windowText" lastClr="000000"/>
            </a:solidFill>
            <a:latin typeface="Times New Roman" panose="02020603050405020304" pitchFamily="18" charset="0"/>
            <a:cs typeface="Times New Roman" panose="02020603050405020304" pitchFamily="18" charset="0"/>
          </a:endParaRPr>
        </a:p>
      </dsp:txBody>
      <dsp:txXfrm>
        <a:off x="2246459" y="1919955"/>
        <a:ext cx="15018" cy="15018"/>
      </dsp:txXfrm>
    </dsp:sp>
    <dsp:sp modelId="{2AA26576-1749-4A56-BEE4-9043164BE6F8}">
      <dsp:nvSpPr>
        <dsp:cNvPr id="0" name=""/>
        <dsp:cNvSpPr/>
      </dsp:nvSpPr>
      <dsp:spPr>
        <a:xfrm>
          <a:off x="2145236" y="1616681"/>
          <a:ext cx="217465" cy="207188"/>
        </a:xfrm>
        <a:custGeom>
          <a:avLst/>
          <a:gdLst/>
          <a:ahLst/>
          <a:cxnLst/>
          <a:rect l="0" t="0" r="0" b="0"/>
          <a:pathLst>
            <a:path>
              <a:moveTo>
                <a:pt x="0" y="207188"/>
              </a:moveTo>
              <a:lnTo>
                <a:pt x="108732" y="207188"/>
              </a:lnTo>
              <a:lnTo>
                <a:pt x="108732" y="0"/>
              </a:lnTo>
              <a:lnTo>
                <a:pt x="217465" y="0"/>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s-ES" sz="800" kern="1200">
            <a:solidFill>
              <a:sysClr val="windowText" lastClr="000000"/>
            </a:solidFill>
            <a:latin typeface="Times New Roman" panose="02020603050405020304" pitchFamily="18" charset="0"/>
            <a:cs typeface="Times New Roman" panose="02020603050405020304" pitchFamily="18" charset="0"/>
          </a:endParaRPr>
        </a:p>
      </dsp:txBody>
      <dsp:txXfrm>
        <a:off x="2246459" y="1712766"/>
        <a:ext cx="15018" cy="15018"/>
      </dsp:txXfrm>
    </dsp:sp>
    <dsp:sp modelId="{F81B984B-F38C-4F9A-9F96-C0D3D10EBC0B}">
      <dsp:nvSpPr>
        <dsp:cNvPr id="0" name=""/>
        <dsp:cNvSpPr/>
      </dsp:nvSpPr>
      <dsp:spPr>
        <a:xfrm>
          <a:off x="840442" y="1305897"/>
          <a:ext cx="217465" cy="517972"/>
        </a:xfrm>
        <a:custGeom>
          <a:avLst/>
          <a:gdLst/>
          <a:ahLst/>
          <a:cxnLst/>
          <a:rect l="0" t="0" r="0" b="0"/>
          <a:pathLst>
            <a:path>
              <a:moveTo>
                <a:pt x="0" y="0"/>
              </a:moveTo>
              <a:lnTo>
                <a:pt x="108732" y="0"/>
              </a:lnTo>
              <a:lnTo>
                <a:pt x="108732" y="517972"/>
              </a:lnTo>
              <a:lnTo>
                <a:pt x="217465" y="517972"/>
              </a:lnTo>
            </a:path>
          </a:pathLst>
        </a:custGeom>
        <a:noFill/>
        <a:ln w="12700" cap="flat" cmpd="sng" algn="ctr">
          <a:solidFill>
            <a:schemeClr val="dk2">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s-ES" sz="800" kern="1200">
            <a:solidFill>
              <a:sysClr val="windowText" lastClr="000000"/>
            </a:solidFill>
            <a:latin typeface="Times New Roman" panose="02020603050405020304" pitchFamily="18" charset="0"/>
            <a:cs typeface="Times New Roman" panose="02020603050405020304" pitchFamily="18" charset="0"/>
          </a:endParaRPr>
        </a:p>
      </dsp:txBody>
      <dsp:txXfrm>
        <a:off x="935131" y="1550839"/>
        <a:ext cx="28088" cy="28088"/>
      </dsp:txXfrm>
    </dsp:sp>
    <dsp:sp modelId="{D7E5B178-F8BD-4140-AB9D-E9BA15B756D4}">
      <dsp:nvSpPr>
        <dsp:cNvPr id="0" name=""/>
        <dsp:cNvSpPr/>
      </dsp:nvSpPr>
      <dsp:spPr>
        <a:xfrm>
          <a:off x="2145236" y="787925"/>
          <a:ext cx="217465" cy="414377"/>
        </a:xfrm>
        <a:custGeom>
          <a:avLst/>
          <a:gdLst/>
          <a:ahLst/>
          <a:cxnLst/>
          <a:rect l="0" t="0" r="0" b="0"/>
          <a:pathLst>
            <a:path>
              <a:moveTo>
                <a:pt x="0" y="0"/>
              </a:moveTo>
              <a:lnTo>
                <a:pt x="108732" y="0"/>
              </a:lnTo>
              <a:lnTo>
                <a:pt x="108732" y="414377"/>
              </a:lnTo>
              <a:lnTo>
                <a:pt x="217465" y="414377"/>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s-GT" sz="800" kern="1200">
            <a:solidFill>
              <a:sysClr val="windowText" lastClr="000000"/>
            </a:solidFill>
            <a:latin typeface="Times New Roman" panose="02020603050405020304" pitchFamily="18" charset="0"/>
            <a:cs typeface="Times New Roman" panose="02020603050405020304" pitchFamily="18" charset="0"/>
          </a:endParaRPr>
        </a:p>
      </dsp:txBody>
      <dsp:txXfrm>
        <a:off x="2242269" y="983415"/>
        <a:ext cx="23398" cy="23398"/>
      </dsp:txXfrm>
    </dsp:sp>
    <dsp:sp modelId="{3654DC10-3D22-41FF-ACFF-573DD7526C2B}">
      <dsp:nvSpPr>
        <dsp:cNvPr id="0" name=""/>
        <dsp:cNvSpPr/>
      </dsp:nvSpPr>
      <dsp:spPr>
        <a:xfrm>
          <a:off x="2145236" y="742205"/>
          <a:ext cx="217465" cy="91440"/>
        </a:xfrm>
        <a:custGeom>
          <a:avLst/>
          <a:gdLst/>
          <a:ahLst/>
          <a:cxnLst/>
          <a:rect l="0" t="0" r="0" b="0"/>
          <a:pathLst>
            <a:path>
              <a:moveTo>
                <a:pt x="0" y="45720"/>
              </a:moveTo>
              <a:lnTo>
                <a:pt x="217465" y="45720"/>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s-ES" sz="800" kern="1200">
            <a:solidFill>
              <a:sysClr val="windowText" lastClr="000000"/>
            </a:solidFill>
            <a:latin typeface="Times New Roman" panose="02020603050405020304" pitchFamily="18" charset="0"/>
            <a:cs typeface="Times New Roman" panose="02020603050405020304" pitchFamily="18" charset="0"/>
          </a:endParaRPr>
        </a:p>
      </dsp:txBody>
      <dsp:txXfrm>
        <a:off x="2248532" y="782488"/>
        <a:ext cx="10873" cy="10873"/>
      </dsp:txXfrm>
    </dsp:sp>
    <dsp:sp modelId="{69AB9193-4AF2-43AC-A0D1-C1EE44CFE77E}">
      <dsp:nvSpPr>
        <dsp:cNvPr id="0" name=""/>
        <dsp:cNvSpPr/>
      </dsp:nvSpPr>
      <dsp:spPr>
        <a:xfrm>
          <a:off x="3450029" y="373547"/>
          <a:ext cx="217465" cy="207188"/>
        </a:xfrm>
        <a:custGeom>
          <a:avLst/>
          <a:gdLst/>
          <a:ahLst/>
          <a:cxnLst/>
          <a:rect l="0" t="0" r="0" b="0"/>
          <a:pathLst>
            <a:path>
              <a:moveTo>
                <a:pt x="0" y="0"/>
              </a:moveTo>
              <a:lnTo>
                <a:pt x="108732" y="0"/>
              </a:lnTo>
              <a:lnTo>
                <a:pt x="108732" y="207188"/>
              </a:lnTo>
              <a:lnTo>
                <a:pt x="217465" y="207188"/>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s-ES" sz="800" kern="1200">
            <a:solidFill>
              <a:sysClr val="windowText" lastClr="000000"/>
            </a:solidFill>
            <a:latin typeface="Times New Roman" panose="02020603050405020304" pitchFamily="18" charset="0"/>
            <a:cs typeface="Times New Roman" panose="02020603050405020304" pitchFamily="18" charset="0"/>
          </a:endParaRPr>
        </a:p>
      </dsp:txBody>
      <dsp:txXfrm>
        <a:off x="3551252" y="469633"/>
        <a:ext cx="15018" cy="15018"/>
      </dsp:txXfrm>
    </dsp:sp>
    <dsp:sp modelId="{39B67397-863B-4AE7-AFC4-94D71AC942DC}">
      <dsp:nvSpPr>
        <dsp:cNvPr id="0" name=""/>
        <dsp:cNvSpPr/>
      </dsp:nvSpPr>
      <dsp:spPr>
        <a:xfrm>
          <a:off x="3450029" y="166358"/>
          <a:ext cx="217465" cy="207188"/>
        </a:xfrm>
        <a:custGeom>
          <a:avLst/>
          <a:gdLst/>
          <a:ahLst/>
          <a:cxnLst/>
          <a:rect l="0" t="0" r="0" b="0"/>
          <a:pathLst>
            <a:path>
              <a:moveTo>
                <a:pt x="0" y="207188"/>
              </a:moveTo>
              <a:lnTo>
                <a:pt x="108732" y="207188"/>
              </a:lnTo>
              <a:lnTo>
                <a:pt x="108732" y="0"/>
              </a:lnTo>
              <a:lnTo>
                <a:pt x="217465" y="0"/>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s-ES" sz="800" kern="1200">
            <a:solidFill>
              <a:sysClr val="windowText" lastClr="000000"/>
            </a:solidFill>
            <a:latin typeface="Times New Roman" panose="02020603050405020304" pitchFamily="18" charset="0"/>
            <a:cs typeface="Times New Roman" panose="02020603050405020304" pitchFamily="18" charset="0"/>
          </a:endParaRPr>
        </a:p>
      </dsp:txBody>
      <dsp:txXfrm>
        <a:off x="3551252" y="262444"/>
        <a:ext cx="15018" cy="15018"/>
      </dsp:txXfrm>
    </dsp:sp>
    <dsp:sp modelId="{B91D9E09-FFBE-40F3-9C4B-00B3764EAA26}">
      <dsp:nvSpPr>
        <dsp:cNvPr id="0" name=""/>
        <dsp:cNvSpPr/>
      </dsp:nvSpPr>
      <dsp:spPr>
        <a:xfrm>
          <a:off x="2145236" y="373547"/>
          <a:ext cx="217465" cy="414377"/>
        </a:xfrm>
        <a:custGeom>
          <a:avLst/>
          <a:gdLst/>
          <a:ahLst/>
          <a:cxnLst/>
          <a:rect l="0" t="0" r="0" b="0"/>
          <a:pathLst>
            <a:path>
              <a:moveTo>
                <a:pt x="0" y="414377"/>
              </a:moveTo>
              <a:lnTo>
                <a:pt x="108732" y="414377"/>
              </a:lnTo>
              <a:lnTo>
                <a:pt x="108732" y="0"/>
              </a:lnTo>
              <a:lnTo>
                <a:pt x="217465" y="0"/>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s-ES" sz="800" kern="1200">
            <a:solidFill>
              <a:sysClr val="windowText" lastClr="000000"/>
            </a:solidFill>
            <a:latin typeface="Times New Roman" panose="02020603050405020304" pitchFamily="18" charset="0"/>
            <a:cs typeface="Times New Roman" panose="02020603050405020304" pitchFamily="18" charset="0"/>
          </a:endParaRPr>
        </a:p>
      </dsp:txBody>
      <dsp:txXfrm>
        <a:off x="2242269" y="569037"/>
        <a:ext cx="23398" cy="23398"/>
      </dsp:txXfrm>
    </dsp:sp>
    <dsp:sp modelId="{A88113A6-8101-46EF-97A2-10A651268964}">
      <dsp:nvSpPr>
        <dsp:cNvPr id="0" name=""/>
        <dsp:cNvSpPr/>
      </dsp:nvSpPr>
      <dsp:spPr>
        <a:xfrm>
          <a:off x="840442" y="787925"/>
          <a:ext cx="217465" cy="517972"/>
        </a:xfrm>
        <a:custGeom>
          <a:avLst/>
          <a:gdLst/>
          <a:ahLst/>
          <a:cxnLst/>
          <a:rect l="0" t="0" r="0" b="0"/>
          <a:pathLst>
            <a:path>
              <a:moveTo>
                <a:pt x="0" y="517972"/>
              </a:moveTo>
              <a:lnTo>
                <a:pt x="108732" y="517972"/>
              </a:lnTo>
              <a:lnTo>
                <a:pt x="108732" y="0"/>
              </a:lnTo>
              <a:lnTo>
                <a:pt x="217465" y="0"/>
              </a:lnTo>
            </a:path>
          </a:pathLst>
        </a:custGeom>
        <a:noFill/>
        <a:ln w="12700" cap="flat" cmpd="sng" algn="ctr">
          <a:solidFill>
            <a:schemeClr val="dk2">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s-ES" sz="800" kern="1200">
            <a:solidFill>
              <a:sysClr val="windowText" lastClr="000000"/>
            </a:solidFill>
            <a:latin typeface="Times New Roman" panose="02020603050405020304" pitchFamily="18" charset="0"/>
            <a:cs typeface="Times New Roman" panose="02020603050405020304" pitchFamily="18" charset="0"/>
          </a:endParaRPr>
        </a:p>
      </dsp:txBody>
      <dsp:txXfrm>
        <a:off x="935131" y="1032867"/>
        <a:ext cx="28088" cy="28088"/>
      </dsp:txXfrm>
    </dsp:sp>
    <dsp:sp modelId="{97AF53B9-E39D-4D13-A5BA-798804F384F0}">
      <dsp:nvSpPr>
        <dsp:cNvPr id="0" name=""/>
        <dsp:cNvSpPr/>
      </dsp:nvSpPr>
      <dsp:spPr>
        <a:xfrm rot="16200000">
          <a:off x="-197682" y="1140146"/>
          <a:ext cx="1744749" cy="331502"/>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Times New Roman" panose="02020603050405020304" pitchFamily="18" charset="0"/>
              <a:cs typeface="Times New Roman" panose="02020603050405020304" pitchFamily="18" charset="0"/>
            </a:rPr>
            <a:t>Sector Público</a:t>
          </a:r>
        </a:p>
      </dsp:txBody>
      <dsp:txXfrm>
        <a:off x="-197682" y="1140146"/>
        <a:ext cx="1744749" cy="331502"/>
      </dsp:txXfrm>
    </dsp:sp>
    <dsp:sp modelId="{84719F2D-717A-4153-8DC2-FE122C73ED29}">
      <dsp:nvSpPr>
        <dsp:cNvPr id="0" name=""/>
        <dsp:cNvSpPr/>
      </dsp:nvSpPr>
      <dsp:spPr>
        <a:xfrm>
          <a:off x="1057908" y="622174"/>
          <a:ext cx="1087327" cy="331502"/>
        </a:xfrm>
        <a:prstGeom prst="rect">
          <a:avLst/>
        </a:prstGeom>
        <a:solidFill>
          <a:schemeClr val="accent6">
            <a:lumMod val="40000"/>
            <a:lumOff val="60000"/>
          </a:schemeClr>
        </a:solidFill>
        <a:ln w="28575">
          <a:solidFill>
            <a:srgbClr val="FF0000"/>
          </a:solid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Times New Roman" panose="02020603050405020304" pitchFamily="18" charset="0"/>
              <a:cs typeface="Times New Roman" panose="02020603050405020304" pitchFamily="18" charset="0"/>
            </a:rPr>
            <a:t>Gobierno General</a:t>
          </a:r>
        </a:p>
      </dsp:txBody>
      <dsp:txXfrm>
        <a:off x="1057908" y="622174"/>
        <a:ext cx="1087327" cy="331502"/>
      </dsp:txXfrm>
    </dsp:sp>
    <dsp:sp modelId="{F08246C8-8069-47BF-AF31-E366D5BC5CCD}">
      <dsp:nvSpPr>
        <dsp:cNvPr id="0" name=""/>
        <dsp:cNvSpPr/>
      </dsp:nvSpPr>
      <dsp:spPr>
        <a:xfrm>
          <a:off x="2362701" y="207796"/>
          <a:ext cx="1087327" cy="331502"/>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Times New Roman" panose="02020603050405020304" pitchFamily="18" charset="0"/>
              <a:cs typeface="Times New Roman" panose="02020603050405020304" pitchFamily="18" charset="0"/>
            </a:rPr>
            <a:t>Gobierno Central</a:t>
          </a:r>
        </a:p>
      </dsp:txBody>
      <dsp:txXfrm>
        <a:off x="2362701" y="207796"/>
        <a:ext cx="1087327" cy="331502"/>
      </dsp:txXfrm>
    </dsp:sp>
    <dsp:sp modelId="{90B2A33F-F5C4-49C7-88B9-A593099CAA99}">
      <dsp:nvSpPr>
        <dsp:cNvPr id="0" name=""/>
        <dsp:cNvSpPr/>
      </dsp:nvSpPr>
      <dsp:spPr>
        <a:xfrm>
          <a:off x="3667494" y="607"/>
          <a:ext cx="1087327" cy="331502"/>
        </a:xfrm>
        <a:prstGeom prst="rect">
          <a:avLst/>
        </a:prstGeom>
        <a:solidFill>
          <a:schemeClr val="accent6">
            <a:lumMod val="40000"/>
            <a:lumOff val="60000"/>
          </a:schemeClr>
        </a:solidFill>
        <a:ln w="28575">
          <a:solidFill>
            <a:srgbClr val="FF0000"/>
          </a:solid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Times New Roman" panose="02020603050405020304" pitchFamily="18" charset="0"/>
              <a:cs typeface="Times New Roman" panose="02020603050405020304" pitchFamily="18" charset="0"/>
            </a:rPr>
            <a:t>Presupuestario</a:t>
          </a:r>
        </a:p>
      </dsp:txBody>
      <dsp:txXfrm>
        <a:off x="3667494" y="607"/>
        <a:ext cx="1087327" cy="331502"/>
      </dsp:txXfrm>
    </dsp:sp>
    <dsp:sp modelId="{E712BBC7-1FA1-4325-9D92-B4F9CE49082E}">
      <dsp:nvSpPr>
        <dsp:cNvPr id="0" name=""/>
        <dsp:cNvSpPr/>
      </dsp:nvSpPr>
      <dsp:spPr>
        <a:xfrm>
          <a:off x="3667494" y="414985"/>
          <a:ext cx="1087327" cy="331502"/>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Times New Roman" panose="02020603050405020304" pitchFamily="18" charset="0"/>
              <a:cs typeface="Times New Roman" panose="02020603050405020304" pitchFamily="18" charset="0"/>
            </a:rPr>
            <a:t>Extrapresupuestario </a:t>
          </a:r>
        </a:p>
      </dsp:txBody>
      <dsp:txXfrm>
        <a:off x="3667494" y="414985"/>
        <a:ext cx="1087327" cy="331502"/>
      </dsp:txXfrm>
    </dsp:sp>
    <dsp:sp modelId="{C1731FAD-79DD-49CC-8C58-FB15CB2A049A}">
      <dsp:nvSpPr>
        <dsp:cNvPr id="0" name=""/>
        <dsp:cNvSpPr/>
      </dsp:nvSpPr>
      <dsp:spPr>
        <a:xfrm>
          <a:off x="2362701" y="622174"/>
          <a:ext cx="1087327" cy="331502"/>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Times New Roman" panose="02020603050405020304" pitchFamily="18" charset="0"/>
              <a:cs typeface="Times New Roman" panose="02020603050405020304" pitchFamily="18" charset="0"/>
            </a:rPr>
            <a:t>Gobierno Locales</a:t>
          </a:r>
        </a:p>
      </dsp:txBody>
      <dsp:txXfrm>
        <a:off x="2362701" y="622174"/>
        <a:ext cx="1087327" cy="331502"/>
      </dsp:txXfrm>
    </dsp:sp>
    <dsp:sp modelId="{BA8F22A0-AED2-44D9-A9A5-7D3C4D7DD7E9}">
      <dsp:nvSpPr>
        <dsp:cNvPr id="0" name=""/>
        <dsp:cNvSpPr/>
      </dsp:nvSpPr>
      <dsp:spPr>
        <a:xfrm>
          <a:off x="2362701" y="1036552"/>
          <a:ext cx="1087327" cy="331502"/>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Times New Roman" panose="02020603050405020304" pitchFamily="18" charset="0"/>
              <a:cs typeface="Times New Roman" panose="02020603050405020304" pitchFamily="18" charset="0"/>
            </a:rPr>
            <a:t>Fondos de Seguridad Social</a:t>
          </a:r>
        </a:p>
      </dsp:txBody>
      <dsp:txXfrm>
        <a:off x="2362701" y="1036552"/>
        <a:ext cx="1087327" cy="331502"/>
      </dsp:txXfrm>
    </dsp:sp>
    <dsp:sp modelId="{327CF8F1-9540-46EA-87CA-646B6C0ECDA0}">
      <dsp:nvSpPr>
        <dsp:cNvPr id="0" name=""/>
        <dsp:cNvSpPr/>
      </dsp:nvSpPr>
      <dsp:spPr>
        <a:xfrm>
          <a:off x="1057908" y="1658119"/>
          <a:ext cx="1087327" cy="331502"/>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Times New Roman" panose="02020603050405020304" pitchFamily="18" charset="0"/>
              <a:cs typeface="Times New Roman" panose="02020603050405020304" pitchFamily="18" charset="0"/>
            </a:rPr>
            <a:t>Sociedades Públicas</a:t>
          </a:r>
        </a:p>
      </dsp:txBody>
      <dsp:txXfrm>
        <a:off x="1057908" y="1658119"/>
        <a:ext cx="1087327" cy="331502"/>
      </dsp:txXfrm>
    </dsp:sp>
    <dsp:sp modelId="{A07DC19F-30B7-4020-A8E2-723B732B9608}">
      <dsp:nvSpPr>
        <dsp:cNvPr id="0" name=""/>
        <dsp:cNvSpPr/>
      </dsp:nvSpPr>
      <dsp:spPr>
        <a:xfrm>
          <a:off x="2362701" y="1450930"/>
          <a:ext cx="1087327" cy="331502"/>
        </a:xfrm>
        <a:prstGeom prst="rect">
          <a:avLst/>
        </a:prstGeom>
        <a:solidFill>
          <a:schemeClr val="accent6">
            <a:lumMod val="60000"/>
            <a:lumOff val="40000"/>
          </a:schemeClr>
        </a:solidFill>
        <a:ln w="38100">
          <a:solidFill>
            <a:srgbClr val="FF0000"/>
          </a:solid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Times New Roman" panose="02020603050405020304" pitchFamily="18" charset="0"/>
              <a:cs typeface="Times New Roman" panose="02020603050405020304" pitchFamily="18" charset="0"/>
            </a:rPr>
            <a:t>No financieras</a:t>
          </a:r>
        </a:p>
      </dsp:txBody>
      <dsp:txXfrm>
        <a:off x="2362701" y="1450930"/>
        <a:ext cx="1087327" cy="331502"/>
      </dsp:txXfrm>
    </dsp:sp>
    <dsp:sp modelId="{E8093928-4344-4CF3-AAAE-094C2B47DA4D}">
      <dsp:nvSpPr>
        <dsp:cNvPr id="0" name=""/>
        <dsp:cNvSpPr/>
      </dsp:nvSpPr>
      <dsp:spPr>
        <a:xfrm>
          <a:off x="2362701" y="1865308"/>
          <a:ext cx="1087327" cy="331502"/>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Times New Roman" panose="02020603050405020304" pitchFamily="18" charset="0"/>
              <a:cs typeface="Times New Roman" panose="02020603050405020304" pitchFamily="18" charset="0"/>
            </a:rPr>
            <a:t>Financieras</a:t>
          </a:r>
        </a:p>
      </dsp:txBody>
      <dsp:txXfrm>
        <a:off x="2362701" y="1865308"/>
        <a:ext cx="1087327" cy="331502"/>
      </dsp:txXfrm>
    </dsp:sp>
    <dsp:sp modelId="{557B9BD5-88F8-4DD8-938B-FD24C22D76F5}">
      <dsp:nvSpPr>
        <dsp:cNvPr id="0" name=""/>
        <dsp:cNvSpPr/>
      </dsp:nvSpPr>
      <dsp:spPr>
        <a:xfrm>
          <a:off x="3667494" y="1658119"/>
          <a:ext cx="1087327" cy="331502"/>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Times New Roman" panose="02020603050405020304" pitchFamily="18" charset="0"/>
              <a:cs typeface="Times New Roman" panose="02020603050405020304" pitchFamily="18" charset="0"/>
            </a:rPr>
            <a:t>De deposito</a:t>
          </a:r>
        </a:p>
      </dsp:txBody>
      <dsp:txXfrm>
        <a:off x="3667494" y="1658119"/>
        <a:ext cx="1087327" cy="331502"/>
      </dsp:txXfrm>
    </dsp:sp>
    <dsp:sp modelId="{3EA8F71C-4C27-41E8-84CF-75EEF65B99D1}">
      <dsp:nvSpPr>
        <dsp:cNvPr id="0" name=""/>
        <dsp:cNvSpPr/>
      </dsp:nvSpPr>
      <dsp:spPr>
        <a:xfrm>
          <a:off x="3667494" y="2072497"/>
          <a:ext cx="1087327" cy="331502"/>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Times New Roman" panose="02020603050405020304" pitchFamily="18" charset="0"/>
              <a:cs typeface="Times New Roman" panose="02020603050405020304" pitchFamily="18" charset="0"/>
            </a:rPr>
            <a:t>Otras sociedades públicas financieras</a:t>
          </a:r>
        </a:p>
      </dsp:txBody>
      <dsp:txXfrm>
        <a:off x="3667494" y="2072497"/>
        <a:ext cx="1087327" cy="33150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8FD18F-D635-45A2-93B6-4E3379EDB326}">
      <dsp:nvSpPr>
        <dsp:cNvPr id="0" name=""/>
        <dsp:cNvSpPr/>
      </dsp:nvSpPr>
      <dsp:spPr>
        <a:xfrm rot="5400000">
          <a:off x="745348" y="751479"/>
          <a:ext cx="597309" cy="680015"/>
        </a:xfrm>
        <a:prstGeom prst="bentUpArrow">
          <a:avLst>
            <a:gd name="adj1" fmla="val 32840"/>
            <a:gd name="adj2" fmla="val 25000"/>
            <a:gd name="adj3" fmla="val 35780"/>
          </a:avLst>
        </a:prstGeom>
        <a:solidFill>
          <a:schemeClr val="accent2">
            <a:tint val="50000"/>
            <a:hueOff val="0"/>
            <a:satOff val="0"/>
            <a:lumOff val="0"/>
            <a:alphaOff val="0"/>
          </a:schemeClr>
        </a:solidFill>
        <a:ln w="3175"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6F772FD1-428B-49DA-83FF-9ACC40D41167}">
      <dsp:nvSpPr>
        <dsp:cNvPr id="0" name=""/>
        <dsp:cNvSpPr/>
      </dsp:nvSpPr>
      <dsp:spPr>
        <a:xfrm>
          <a:off x="554525" y="24208"/>
          <a:ext cx="1005516" cy="703829"/>
        </a:xfrm>
        <a:prstGeom prst="roundRect">
          <a:avLst>
            <a:gd name="adj" fmla="val 16670"/>
          </a:avLst>
        </a:prstGeom>
        <a:solidFill>
          <a:schemeClr val="accent2">
            <a:hueOff val="0"/>
            <a:satOff val="0"/>
            <a:lumOff val="0"/>
            <a:alphaOff val="0"/>
          </a:schemeClr>
        </a:solidFill>
        <a:ln w="3175"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GT" sz="1400" b="1" kern="1200">
              <a:latin typeface="Times New Roman" panose="02020603050405020304" pitchFamily="18" charset="0"/>
              <a:cs typeface="Times New Roman" panose="02020603050405020304" pitchFamily="18" charset="0"/>
            </a:rPr>
            <a:t>2023</a:t>
          </a:r>
        </a:p>
      </dsp:txBody>
      <dsp:txXfrm>
        <a:off x="588889" y="58572"/>
        <a:ext cx="936788" cy="635101"/>
      </dsp:txXfrm>
    </dsp:sp>
    <dsp:sp modelId="{23D6E450-45E5-4D5E-8C7B-53518FA4500A}">
      <dsp:nvSpPr>
        <dsp:cNvPr id="0" name=""/>
        <dsp:cNvSpPr/>
      </dsp:nvSpPr>
      <dsp:spPr>
        <a:xfrm>
          <a:off x="1608912" y="79132"/>
          <a:ext cx="1231559" cy="5688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es-GT" sz="900" b="0" kern="1200">
              <a:latin typeface="Times New Roman" panose="02020603050405020304" pitchFamily="18" charset="0"/>
              <a:cs typeface="Times New Roman" panose="02020603050405020304" pitchFamily="18" charset="0"/>
            </a:rPr>
            <a:t>Presupuesto asignado Q115,443.7 millones</a:t>
          </a:r>
        </a:p>
      </dsp:txBody>
      <dsp:txXfrm>
        <a:off x="1608912" y="79132"/>
        <a:ext cx="1231559" cy="568865"/>
      </dsp:txXfrm>
    </dsp:sp>
    <dsp:sp modelId="{49C97F5F-9522-4253-9548-0DAF0B23A30D}">
      <dsp:nvSpPr>
        <dsp:cNvPr id="0" name=""/>
        <dsp:cNvSpPr/>
      </dsp:nvSpPr>
      <dsp:spPr>
        <a:xfrm rot="5400000">
          <a:off x="1788550" y="1531886"/>
          <a:ext cx="597309" cy="680015"/>
        </a:xfrm>
        <a:prstGeom prst="bentUpArrow">
          <a:avLst>
            <a:gd name="adj1" fmla="val 32840"/>
            <a:gd name="adj2" fmla="val 25000"/>
            <a:gd name="adj3" fmla="val 35780"/>
          </a:avLst>
        </a:prstGeom>
        <a:solidFill>
          <a:schemeClr val="accent3">
            <a:lumMod val="40000"/>
            <a:lumOff val="60000"/>
          </a:schemeClr>
        </a:solidFill>
        <a:ln w="3175"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E8C5D25F-F234-4801-A17A-B20DE4BC55D9}">
      <dsp:nvSpPr>
        <dsp:cNvPr id="0" name=""/>
        <dsp:cNvSpPr/>
      </dsp:nvSpPr>
      <dsp:spPr>
        <a:xfrm>
          <a:off x="1410638" y="827044"/>
          <a:ext cx="1005516" cy="703829"/>
        </a:xfrm>
        <a:prstGeom prst="roundRect">
          <a:avLst>
            <a:gd name="adj" fmla="val 16670"/>
          </a:avLst>
        </a:prstGeom>
        <a:solidFill>
          <a:schemeClr val="accent2">
            <a:hueOff val="-363841"/>
            <a:satOff val="-20982"/>
            <a:lumOff val="2157"/>
            <a:alphaOff val="0"/>
          </a:schemeClr>
        </a:solidFill>
        <a:ln w="3175"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GT" sz="1000" b="1" kern="1200">
              <a:latin typeface="Times New Roman" panose="02020603050405020304" pitchFamily="18" charset="0"/>
              <a:cs typeface="Times New Roman" panose="02020603050405020304" pitchFamily="18" charset="0"/>
            </a:rPr>
            <a:t>Tarifa Social</a:t>
          </a:r>
        </a:p>
      </dsp:txBody>
      <dsp:txXfrm>
        <a:off x="1445002" y="861408"/>
        <a:ext cx="936788" cy="635101"/>
      </dsp:txXfrm>
    </dsp:sp>
    <dsp:sp modelId="{D86F2D68-8EC0-45A6-A2F6-DA8662E3F89B}">
      <dsp:nvSpPr>
        <dsp:cNvPr id="0" name=""/>
        <dsp:cNvSpPr/>
      </dsp:nvSpPr>
      <dsp:spPr>
        <a:xfrm>
          <a:off x="2501297" y="888821"/>
          <a:ext cx="1369171" cy="5688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es-GT" sz="900" kern="1200">
              <a:latin typeface="Times New Roman" panose="02020603050405020304" pitchFamily="18" charset="0"/>
              <a:cs typeface="Times New Roman" panose="02020603050405020304" pitchFamily="18" charset="0"/>
            </a:rPr>
            <a:t>Decreto 1-2023 tarifa social ampliada de energía eléctrica por Q197 millones</a:t>
          </a:r>
        </a:p>
      </dsp:txBody>
      <dsp:txXfrm>
        <a:off x="2501297" y="888821"/>
        <a:ext cx="1369171" cy="568865"/>
      </dsp:txXfrm>
    </dsp:sp>
    <dsp:sp modelId="{737A0E70-FB3A-4F4F-9423-19E53E76F570}">
      <dsp:nvSpPr>
        <dsp:cNvPr id="0" name=""/>
        <dsp:cNvSpPr/>
      </dsp:nvSpPr>
      <dsp:spPr>
        <a:xfrm rot="5400000">
          <a:off x="2633282" y="2326227"/>
          <a:ext cx="597309" cy="680015"/>
        </a:xfrm>
        <a:prstGeom prst="bentUpArrow">
          <a:avLst>
            <a:gd name="adj1" fmla="val 32840"/>
            <a:gd name="adj2" fmla="val 25000"/>
            <a:gd name="adj3" fmla="val 35780"/>
          </a:avLst>
        </a:prstGeom>
        <a:solidFill>
          <a:schemeClr val="accent2">
            <a:tint val="50000"/>
            <a:hueOff val="-587108"/>
            <a:satOff val="-50780"/>
            <a:lumOff val="5837"/>
            <a:alphaOff val="0"/>
          </a:schemeClr>
        </a:solidFill>
        <a:ln w="3175"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83E475C2-FD5F-4E57-A1B3-091B94015601}">
      <dsp:nvSpPr>
        <dsp:cNvPr id="0" name=""/>
        <dsp:cNvSpPr/>
      </dsp:nvSpPr>
      <dsp:spPr>
        <a:xfrm>
          <a:off x="2462002" y="1605472"/>
          <a:ext cx="1005516" cy="703829"/>
        </a:xfrm>
        <a:prstGeom prst="roundRect">
          <a:avLst>
            <a:gd name="adj" fmla="val 16670"/>
          </a:avLst>
        </a:prstGeom>
        <a:solidFill>
          <a:schemeClr val="accent2">
            <a:hueOff val="-727682"/>
            <a:satOff val="-41964"/>
            <a:lumOff val="4314"/>
            <a:alphaOff val="0"/>
          </a:schemeClr>
        </a:solidFill>
        <a:ln w="3175"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s-GT" sz="1050" b="1" kern="1200">
              <a:latin typeface="Times New Roman" panose="02020603050405020304" pitchFamily="18" charset="0"/>
              <a:cs typeface="Times New Roman" panose="02020603050405020304" pitchFamily="18" charset="0"/>
            </a:rPr>
            <a:t>Gas propano</a:t>
          </a:r>
        </a:p>
      </dsp:txBody>
      <dsp:txXfrm>
        <a:off x="2496366" y="1639836"/>
        <a:ext cx="936788" cy="635101"/>
      </dsp:txXfrm>
    </dsp:sp>
    <dsp:sp modelId="{12B68FF0-084C-462E-A198-1B6AD7554D4A}">
      <dsp:nvSpPr>
        <dsp:cNvPr id="0" name=""/>
        <dsp:cNvSpPr/>
      </dsp:nvSpPr>
      <dsp:spPr>
        <a:xfrm>
          <a:off x="3522529" y="1665744"/>
          <a:ext cx="1224400" cy="5688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es-GT" sz="900" kern="1200">
              <a:latin typeface="Times New Roman" panose="02020603050405020304" pitchFamily="18" charset="0"/>
              <a:cs typeface="Times New Roman" panose="02020603050405020304" pitchFamily="18" charset="0"/>
            </a:rPr>
            <a:t>Decreto 5-2023 por Q150 millones</a:t>
          </a:r>
        </a:p>
      </dsp:txBody>
      <dsp:txXfrm>
        <a:off x="3522529" y="1665744"/>
        <a:ext cx="1224400" cy="568865"/>
      </dsp:txXfrm>
    </dsp:sp>
    <dsp:sp modelId="{15C01830-E4AB-4DDC-9CA2-0245ABCDE6EC}">
      <dsp:nvSpPr>
        <dsp:cNvPr id="0" name=""/>
        <dsp:cNvSpPr/>
      </dsp:nvSpPr>
      <dsp:spPr>
        <a:xfrm rot="5400000">
          <a:off x="3690498" y="3113061"/>
          <a:ext cx="597309" cy="680015"/>
        </a:xfrm>
        <a:prstGeom prst="bentUpArrow">
          <a:avLst>
            <a:gd name="adj1" fmla="val 32840"/>
            <a:gd name="adj2" fmla="val 25000"/>
            <a:gd name="adj3" fmla="val 35780"/>
          </a:avLst>
        </a:prstGeom>
        <a:solidFill>
          <a:schemeClr val="accent5">
            <a:lumMod val="20000"/>
            <a:lumOff val="80000"/>
          </a:schemeClr>
        </a:solidFill>
        <a:ln w="3175"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sp>
    <dsp:sp modelId="{B92891E6-C401-4097-AC66-D0200F450345}">
      <dsp:nvSpPr>
        <dsp:cNvPr id="0" name=""/>
        <dsp:cNvSpPr/>
      </dsp:nvSpPr>
      <dsp:spPr>
        <a:xfrm>
          <a:off x="3305003" y="2396105"/>
          <a:ext cx="1005516" cy="703829"/>
        </a:xfrm>
        <a:prstGeom prst="roundRect">
          <a:avLst>
            <a:gd name="adj" fmla="val 16670"/>
          </a:avLst>
        </a:prstGeom>
        <a:solidFill>
          <a:schemeClr val="accent2">
            <a:hueOff val="-1091522"/>
            <a:satOff val="-62946"/>
            <a:lumOff val="6471"/>
            <a:alphaOff val="0"/>
          </a:schemeClr>
        </a:solidFill>
        <a:ln w="3175"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s-GT" sz="1050" b="1" kern="1200">
              <a:latin typeface="Times New Roman" panose="02020603050405020304" pitchFamily="18" charset="0"/>
              <a:cs typeface="Times New Roman" panose="02020603050405020304" pitchFamily="18" charset="0"/>
            </a:rPr>
            <a:t>Adulto mayor</a:t>
          </a:r>
        </a:p>
      </dsp:txBody>
      <dsp:txXfrm>
        <a:off x="3339367" y="2430469"/>
        <a:ext cx="936788" cy="635101"/>
      </dsp:txXfrm>
    </dsp:sp>
    <dsp:sp modelId="{162D4065-00DC-4E4F-92AF-C09089E12936}">
      <dsp:nvSpPr>
        <dsp:cNvPr id="0" name=""/>
        <dsp:cNvSpPr/>
      </dsp:nvSpPr>
      <dsp:spPr>
        <a:xfrm>
          <a:off x="1503843" y="3345909"/>
          <a:ext cx="731317" cy="568865"/>
        </a:xfrm>
        <a:prstGeom prst="rect">
          <a:avLst/>
        </a:prstGeom>
        <a:noFill/>
        <a:ln>
          <a:noFill/>
        </a:ln>
        <a:effectLst/>
      </dsp:spPr>
      <dsp:style>
        <a:lnRef idx="0">
          <a:scrgbClr r="0" g="0" b="0"/>
        </a:lnRef>
        <a:fillRef idx="0">
          <a:scrgbClr r="0" g="0" b="0"/>
        </a:fillRef>
        <a:effectRef idx="0">
          <a:scrgbClr r="0" g="0" b="0"/>
        </a:effectRef>
        <a:fontRef idx="minor"/>
      </dsp:style>
    </dsp:sp>
    <dsp:sp modelId="{795350E9-0ED7-470E-8B31-674DC769A8CE}">
      <dsp:nvSpPr>
        <dsp:cNvPr id="0" name=""/>
        <dsp:cNvSpPr/>
      </dsp:nvSpPr>
      <dsp:spPr>
        <a:xfrm>
          <a:off x="4369479" y="3186737"/>
          <a:ext cx="1149134" cy="703829"/>
        </a:xfrm>
        <a:prstGeom prst="roundRect">
          <a:avLst>
            <a:gd name="adj" fmla="val 16670"/>
          </a:avLst>
        </a:prstGeom>
        <a:solidFill>
          <a:srgbClr val="0070C0"/>
        </a:solidFill>
        <a:ln w="3175"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GT" sz="1200" b="1" kern="1200">
              <a:latin typeface="Times New Roman" panose="02020603050405020304" pitchFamily="18" charset="0"/>
              <a:cs typeface="Times New Roman" panose="02020603050405020304" pitchFamily="18" charset="0"/>
            </a:rPr>
            <a:t>Q116,130.6 millones presupuesto inicial 2024</a:t>
          </a:r>
        </a:p>
      </dsp:txBody>
      <dsp:txXfrm>
        <a:off x="4403843" y="3221101"/>
        <a:ext cx="1080406" cy="635101"/>
      </dsp:txXfrm>
    </dsp:sp>
  </dsp:spTree>
</dsp:drawing>
</file>

<file path=word/diagrams/layout1.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0.28977</cdr:x>
      <cdr:y>0.09376</cdr:y>
    </cdr:from>
    <cdr:to>
      <cdr:x>0.50226</cdr:x>
      <cdr:y>0.26395</cdr:y>
    </cdr:to>
    <cdr:sp macro="" textlink="">
      <cdr:nvSpPr>
        <cdr:cNvPr id="4" name="Cuadro de texto 4"/>
        <cdr:cNvSpPr txBox="1">
          <a:spLocks xmlns:a="http://schemas.openxmlformats.org/drawingml/2006/main" noChangeArrowheads="1"/>
        </cdr:cNvSpPr>
      </cdr:nvSpPr>
      <cdr:spPr bwMode="auto">
        <a:xfrm xmlns:a="http://schemas.openxmlformats.org/drawingml/2006/main">
          <a:off x="1626235" y="254000"/>
          <a:ext cx="1192530" cy="46101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es-ES_tradnl" sz="700" b="1">
              <a:solidFill>
                <a:srgbClr val="C00000"/>
              </a:solidFill>
              <a:effectLst/>
              <a:latin typeface="Times New Roman" panose="02020603050405020304" pitchFamily="18" charset="0"/>
              <a:ea typeface="Times New Roman" panose="02020603050405020304" pitchFamily="18" charset="0"/>
              <a:cs typeface="Times New Roman" panose="02020603050405020304" pitchFamily="18" charset="0"/>
            </a:rPr>
            <a:t>Aumento</a:t>
          </a:r>
          <a:r>
            <a:rPr lang="es-GT" sz="700" b="1">
              <a:solidFill>
                <a:srgbClr val="C00000"/>
              </a:solidFill>
              <a:effectLst/>
              <a:latin typeface="Times New Roman" panose="02020603050405020304" pitchFamily="18" charset="0"/>
              <a:ea typeface="Times New Roman" panose="02020603050405020304" pitchFamily="18" charset="0"/>
              <a:cs typeface="Times New Roman" panose="02020603050405020304" pitchFamily="18" charset="0"/>
            </a:rPr>
            <a:t> de Q269.5 millones</a:t>
          </a:r>
          <a:endParaRPr lang="es-GT" sz="1200">
            <a:effectLst/>
            <a:latin typeface="Calibri" panose="020F0502020204030204" pitchFamily="34" charset="0"/>
            <a:ea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0.52286</cdr:x>
      <cdr:y>0</cdr:y>
    </cdr:from>
    <cdr:to>
      <cdr:x>0.73535</cdr:x>
      <cdr:y>0.17018</cdr:y>
    </cdr:to>
    <cdr:sp macro="" textlink="">
      <cdr:nvSpPr>
        <cdr:cNvPr id="5" name="Cuadro de texto 4"/>
        <cdr:cNvSpPr txBox="1">
          <a:spLocks xmlns:a="http://schemas.openxmlformats.org/drawingml/2006/main" noChangeArrowheads="1"/>
        </cdr:cNvSpPr>
      </cdr:nvSpPr>
      <cdr:spPr bwMode="auto">
        <a:xfrm xmlns:a="http://schemas.openxmlformats.org/drawingml/2006/main">
          <a:off x="2934335" y="0"/>
          <a:ext cx="1192530" cy="46101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es-ES_tradnl" sz="700" b="1">
              <a:solidFill>
                <a:srgbClr val="C00000"/>
              </a:solidFill>
              <a:effectLst/>
              <a:latin typeface="Times New Roman" panose="02020603050405020304" pitchFamily="18" charset="0"/>
              <a:ea typeface="Times New Roman" panose="02020603050405020304" pitchFamily="18" charset="0"/>
              <a:cs typeface="Times New Roman" panose="02020603050405020304" pitchFamily="18" charset="0"/>
            </a:rPr>
            <a:t>Aumento</a:t>
          </a:r>
          <a:r>
            <a:rPr lang="es-GT" sz="700" b="1">
              <a:solidFill>
                <a:srgbClr val="C00000"/>
              </a:solidFill>
              <a:effectLst/>
              <a:latin typeface="Times New Roman" panose="02020603050405020304" pitchFamily="18" charset="0"/>
              <a:ea typeface="Times New Roman" panose="02020603050405020304" pitchFamily="18" charset="0"/>
              <a:cs typeface="Times New Roman" panose="02020603050405020304" pitchFamily="18" charset="0"/>
            </a:rPr>
            <a:t> de Q650.9</a:t>
          </a:r>
          <a:r>
            <a:rPr lang="es-GT" sz="700" b="1" baseline="0">
              <a:solidFill>
                <a:srgbClr val="C00000"/>
              </a:solidFill>
              <a:effectLst/>
              <a:latin typeface="Times New Roman" panose="02020603050405020304" pitchFamily="18" charset="0"/>
              <a:ea typeface="Times New Roman" panose="02020603050405020304" pitchFamily="18" charset="0"/>
              <a:cs typeface="Times New Roman" panose="02020603050405020304" pitchFamily="18" charset="0"/>
            </a:rPr>
            <a:t> </a:t>
          </a:r>
          <a:r>
            <a:rPr lang="es-GT" sz="700" b="1">
              <a:solidFill>
                <a:srgbClr val="C00000"/>
              </a:solidFill>
              <a:effectLst/>
              <a:latin typeface="Times New Roman" panose="02020603050405020304" pitchFamily="18" charset="0"/>
              <a:ea typeface="Times New Roman" panose="02020603050405020304" pitchFamily="18" charset="0"/>
              <a:cs typeface="Times New Roman" panose="02020603050405020304" pitchFamily="18" charset="0"/>
            </a:rPr>
            <a:t>millones</a:t>
          </a:r>
          <a:endParaRPr lang="es-GT" sz="1200">
            <a:effectLst/>
            <a:latin typeface="Calibri" panose="020F0502020204030204" pitchFamily="34" charset="0"/>
            <a:ea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0.88133</cdr:x>
      <cdr:y>0.03795</cdr:y>
    </cdr:from>
    <cdr:to>
      <cdr:x>0.94621</cdr:x>
      <cdr:y>0.71718</cdr:y>
    </cdr:to>
    <cdr:sp macro="" textlink="">
      <cdr:nvSpPr>
        <cdr:cNvPr id="2" name="Rectángulo 1"/>
        <cdr:cNvSpPr/>
      </cdr:nvSpPr>
      <cdr:spPr>
        <a:xfrm xmlns:a="http://schemas.openxmlformats.org/drawingml/2006/main">
          <a:off x="2224585" y="68239"/>
          <a:ext cx="163772" cy="1221474"/>
        </a:xfrm>
        <a:prstGeom xmlns:a="http://schemas.openxmlformats.org/drawingml/2006/main" prst="rect">
          <a:avLst/>
        </a:prstGeom>
        <a:solidFill xmlns:a="http://schemas.openxmlformats.org/drawingml/2006/main">
          <a:schemeClr val="accent3">
            <a:lumMod val="60000"/>
            <a:lumOff val="40000"/>
            <a:alpha val="3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GT"/>
        </a:p>
      </cdr:txBody>
    </cdr:sp>
  </cdr:relSizeAnchor>
  <cdr:relSizeAnchor xmlns:cdr="http://schemas.openxmlformats.org/drawingml/2006/chartDrawing">
    <cdr:from>
      <cdr:x>0.4704</cdr:x>
      <cdr:y>0.55022</cdr:y>
    </cdr:from>
    <cdr:to>
      <cdr:x>0.81915</cdr:x>
      <cdr:y>0.68682</cdr:y>
    </cdr:to>
    <cdr:sp macro="" textlink="">
      <cdr:nvSpPr>
        <cdr:cNvPr id="3" name="Cuadro de texto 2"/>
        <cdr:cNvSpPr txBox="1"/>
      </cdr:nvSpPr>
      <cdr:spPr>
        <a:xfrm xmlns:a="http://schemas.openxmlformats.org/drawingml/2006/main">
          <a:off x="1187356" y="989463"/>
          <a:ext cx="880280" cy="24566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GT" sz="800">
              <a:latin typeface="Times New Roman" panose="02020603050405020304" pitchFamily="18" charset="0"/>
              <a:cs typeface="Times New Roman" panose="02020603050405020304" pitchFamily="18" charset="0"/>
            </a:rPr>
            <a:t>Proyección</a:t>
          </a:r>
        </a:p>
      </cdr:txBody>
    </cdr:sp>
  </cdr:relSizeAnchor>
  <cdr:relSizeAnchor xmlns:cdr="http://schemas.openxmlformats.org/drawingml/2006/chartDrawing">
    <cdr:from>
      <cdr:x>0.7029</cdr:x>
      <cdr:y>0.61093</cdr:y>
    </cdr:from>
    <cdr:to>
      <cdr:x>0.78941</cdr:x>
      <cdr:y>0.61093</cdr:y>
    </cdr:to>
    <cdr:cxnSp macro="">
      <cdr:nvCxnSpPr>
        <cdr:cNvPr id="5" name="Conector recto de flecha 4"/>
        <cdr:cNvCxnSpPr/>
      </cdr:nvCxnSpPr>
      <cdr:spPr>
        <a:xfrm xmlns:a="http://schemas.openxmlformats.org/drawingml/2006/main">
          <a:off x="1774209" y="1098645"/>
          <a:ext cx="218364" cy="0"/>
        </a:xfrm>
        <a:prstGeom xmlns:a="http://schemas.openxmlformats.org/drawingml/2006/main" prst="straightConnector1">
          <a:avLst/>
        </a:prstGeom>
        <a:ln xmlns:a="http://schemas.openxmlformats.org/drawingml/2006/main">
          <a:solidFill>
            <a:srgbClr val="00206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0.54062</cdr:x>
      <cdr:y>0.12112</cdr:y>
    </cdr:from>
    <cdr:to>
      <cdr:x>0.91647</cdr:x>
      <cdr:y>0.33229</cdr:y>
    </cdr:to>
    <cdr:grpSp>
      <cdr:nvGrpSpPr>
        <cdr:cNvPr id="2" name="Grupo 1">
          <a:extLst xmlns:a="http://schemas.openxmlformats.org/drawingml/2006/main">
            <a:ext uri="{FF2B5EF4-FFF2-40B4-BE49-F238E27FC236}">
              <a16:creationId xmlns:a16="http://schemas.microsoft.com/office/drawing/2014/main" id="{213BE230-556C-4E9D-8B33-D2C22912F46E}"/>
            </a:ext>
          </a:extLst>
        </cdr:cNvPr>
        <cdr:cNvGrpSpPr/>
      </cdr:nvGrpSpPr>
      <cdr:grpSpPr>
        <a:xfrm xmlns:a="http://schemas.openxmlformats.org/drawingml/2006/main">
          <a:off x="1358208" y="212212"/>
          <a:ext cx="944248" cy="369985"/>
          <a:chOff x="261774" y="-84654"/>
          <a:chExt cx="1188875" cy="482872"/>
        </a:xfrm>
      </cdr:grpSpPr>
      <cdr:grpSp>
        <cdr:nvGrpSpPr>
          <cdr:cNvPr id="4" name="Grupo 3">
            <a:extLst xmlns:a="http://schemas.openxmlformats.org/drawingml/2006/main">
              <a:ext uri="{FF2B5EF4-FFF2-40B4-BE49-F238E27FC236}">
                <a16:creationId xmlns:a16="http://schemas.microsoft.com/office/drawing/2014/main" id="{7CB82739-512D-42C9-9C9E-10A09B992C03}"/>
              </a:ext>
            </a:extLst>
          </cdr:cNvPr>
          <cdr:cNvGrpSpPr/>
        </cdr:nvGrpSpPr>
        <cdr:grpSpPr>
          <a:xfrm xmlns:a="http://schemas.openxmlformats.org/drawingml/2006/main">
            <a:off x="261774" y="-84654"/>
            <a:ext cx="1188875" cy="482872"/>
            <a:chOff x="261504" y="-84871"/>
            <a:chExt cx="1189498" cy="484124"/>
          </a:xfrm>
        </cdr:grpSpPr>
        <cdr:sp macro="" textlink="">
          <cdr:nvSpPr>
            <cdr:cNvPr id="5" name="CuadroTexto 4">
              <a:extLst xmlns:a="http://schemas.openxmlformats.org/drawingml/2006/main">
                <a:ext uri="{FF2B5EF4-FFF2-40B4-BE49-F238E27FC236}">
                  <a16:creationId xmlns:a16="http://schemas.microsoft.com/office/drawing/2014/main" id="{C4734278-B3A5-4BD2-B6F6-A1123011FED2}"/>
                </a:ext>
              </a:extLst>
            </cdr:cNvPr>
            <cdr:cNvSpPr txBox="1"/>
          </cdr:nvSpPr>
          <cdr:spPr>
            <a:xfrm xmlns:a="http://schemas.openxmlformats.org/drawingml/2006/main">
              <a:off x="944231" y="-84871"/>
              <a:ext cx="474081" cy="40713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fld id="{4AC6619A-F39A-45E4-8903-07A33275C933}" type="TxLink">
                <a:rPr lang="en-US" sz="900" b="0" i="0" u="none" strike="noStrike">
                  <a:solidFill>
                    <a:srgbClr val="000000"/>
                  </a:solidFill>
                  <a:latin typeface="Times New Roman" panose="02020603050405020304" pitchFamily="18" charset="0"/>
                  <a:cs typeface="Times New Roman" panose="02020603050405020304" pitchFamily="18" charset="0"/>
                </a:rPr>
                <a:pPr/>
                <a:t>nov-23</a:t>
              </a:fld>
              <a:endParaRPr lang="es-GT" sz="900">
                <a:latin typeface="Times New Roman" panose="02020603050405020304" pitchFamily="18" charset="0"/>
                <a:cs typeface="Times New Roman" panose="02020603050405020304" pitchFamily="18" charset="0"/>
              </a:endParaRPr>
            </a:p>
          </cdr:txBody>
        </cdr:sp>
        <cdr:sp macro="" textlink="">
          <cdr:nvSpPr>
            <cdr:cNvPr id="6" name="CuadroTexto 1">
              <a:extLst xmlns:a="http://schemas.openxmlformats.org/drawingml/2006/main">
                <a:ext uri="{FF2B5EF4-FFF2-40B4-BE49-F238E27FC236}">
                  <a16:creationId xmlns:a16="http://schemas.microsoft.com/office/drawing/2014/main" id="{77D258E0-C6C2-4E28-BDC9-C17DD572C223}"/>
                </a:ext>
              </a:extLst>
            </cdr:cNvPr>
            <cdr:cNvSpPr txBox="1"/>
          </cdr:nvSpPr>
          <cdr:spPr>
            <a:xfrm xmlns:a="http://schemas.openxmlformats.org/drawingml/2006/main">
              <a:off x="976922" y="117742"/>
              <a:ext cx="474080" cy="26357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fld id="{4C3E5DB8-2AE7-42EE-B845-AB1ABB78F281}" type="TxLink">
                <a:rPr lang="en-US" sz="1000" b="1" i="0" u="none" strike="noStrike">
                  <a:solidFill>
                    <a:srgbClr val="002060"/>
                  </a:solidFill>
                  <a:latin typeface="Times New Roman" panose="02020603050405020304" pitchFamily="18" charset="0"/>
                  <a:cs typeface="Times New Roman" panose="02020603050405020304" pitchFamily="18" charset="0"/>
                </a:rPr>
                <a:pPr/>
                <a:t> 2.8 </a:t>
              </a:fld>
              <a:endParaRPr lang="es-GT" sz="1000" b="1">
                <a:solidFill>
                  <a:srgbClr val="002060"/>
                </a:solidFill>
                <a:latin typeface="Times New Roman" panose="02020603050405020304" pitchFamily="18" charset="0"/>
                <a:cs typeface="Times New Roman" panose="02020603050405020304" pitchFamily="18" charset="0"/>
              </a:endParaRPr>
            </a:p>
          </cdr:txBody>
        </cdr:sp>
        <cdr:sp macro="" textlink="">
          <cdr:nvSpPr>
            <cdr:cNvPr id="7" name="CuadroTexto 1">
              <a:extLst xmlns:a="http://schemas.openxmlformats.org/drawingml/2006/main">
                <a:ext uri="{FF2B5EF4-FFF2-40B4-BE49-F238E27FC236}">
                  <a16:creationId xmlns:a16="http://schemas.microsoft.com/office/drawing/2014/main" id="{49709222-E3E9-4020-BAF2-1FB08ED339E2}"/>
                </a:ext>
              </a:extLst>
            </cdr:cNvPr>
            <cdr:cNvSpPr txBox="1"/>
          </cdr:nvSpPr>
          <cdr:spPr>
            <a:xfrm xmlns:a="http://schemas.openxmlformats.org/drawingml/2006/main">
              <a:off x="261504" y="135674"/>
              <a:ext cx="474079" cy="26357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fld id="{1745AAB8-238D-4BA8-BDB3-74876C6EE598}" type="TxLink">
                <a:rPr lang="en-US" sz="1000" b="1" i="0" u="none" strike="noStrike">
                  <a:solidFill>
                    <a:schemeClr val="accent1"/>
                  </a:solidFill>
                  <a:latin typeface="Times New Roman" panose="02020603050405020304" pitchFamily="18" charset="0"/>
                  <a:cs typeface="Times New Roman" panose="02020603050405020304" pitchFamily="18" charset="0"/>
                </a:rPr>
                <a:pPr/>
                <a:t> 5.5 </a:t>
              </a:fld>
              <a:endParaRPr lang="es-GT" sz="1000" b="1">
                <a:solidFill>
                  <a:schemeClr val="accent1"/>
                </a:solidFill>
                <a:latin typeface="Times New Roman" panose="02020603050405020304" pitchFamily="18" charset="0"/>
                <a:cs typeface="Times New Roman" panose="02020603050405020304" pitchFamily="18" charset="0"/>
              </a:endParaRPr>
            </a:p>
          </cdr:txBody>
        </cdr:sp>
      </cdr:grpSp>
    </cdr:grpSp>
  </cdr:relSizeAnchor>
  <cdr:relSizeAnchor xmlns:cdr="http://schemas.openxmlformats.org/drawingml/2006/chartDrawing">
    <cdr:from>
      <cdr:x>0.53005</cdr:x>
      <cdr:y>0.12887</cdr:y>
    </cdr:from>
    <cdr:to>
      <cdr:x>0.68695</cdr:x>
      <cdr:y>0.22996</cdr:y>
    </cdr:to>
    <cdr:sp macro="" textlink="">
      <cdr:nvSpPr>
        <cdr:cNvPr id="8" name="CuadroTexto 1">
          <a:extLst xmlns:a="http://schemas.openxmlformats.org/drawingml/2006/main">
            <a:ext uri="{FF2B5EF4-FFF2-40B4-BE49-F238E27FC236}">
              <a16:creationId xmlns:a16="http://schemas.microsoft.com/office/drawing/2014/main" id="{815B1A1F-D20D-4960-AB81-6BC2D3420008}"/>
            </a:ext>
          </a:extLst>
        </cdr:cNvPr>
        <cdr:cNvSpPr txBox="1"/>
      </cdr:nvSpPr>
      <cdr:spPr>
        <a:xfrm xmlns:a="http://schemas.openxmlformats.org/drawingml/2006/main">
          <a:off x="1324529" y="223798"/>
          <a:ext cx="392075" cy="17555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fld id="{2B2F2A0B-3D80-4F2C-A0E0-AE3FB8D26E35}" type="TxLink">
            <a:rPr lang="en-US" sz="1050" b="0" i="0" u="none" strike="noStrike">
              <a:solidFill>
                <a:srgbClr val="000000"/>
              </a:solidFill>
              <a:latin typeface="Times New Roman" panose="02020603050405020304" pitchFamily="18" charset="0"/>
              <a:cs typeface="Times New Roman" panose="02020603050405020304" pitchFamily="18" charset="0"/>
            </a:rPr>
            <a:pPr/>
            <a:t>nov-23</a:t>
          </a:fld>
          <a:endParaRPr lang="es-GT" sz="105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A869BE-45CA-4331-AF12-B01CDB24E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25465</Words>
  <Characters>140059</Characters>
  <Application>Microsoft Office Word</Application>
  <DocSecurity>0</DocSecurity>
  <Lines>1167</Lines>
  <Paragraphs>330</Paragraphs>
  <ScaleCrop>false</ScaleCrop>
  <HeadingPairs>
    <vt:vector size="2" baseType="variant">
      <vt:variant>
        <vt:lpstr>Título</vt:lpstr>
      </vt:variant>
      <vt:variant>
        <vt:i4>1</vt:i4>
      </vt:variant>
    </vt:vector>
  </HeadingPairs>
  <TitlesOfParts>
    <vt:vector size="1" baseType="lpstr">
      <vt:lpstr/>
    </vt:vector>
  </TitlesOfParts>
  <Company>DATAFLEX</Company>
  <LinksUpToDate>false</LinksUpToDate>
  <CharactersWithSpaces>165194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raimundo rodas anleu</dc:creator>
  <cp:keywords/>
  <dc:description/>
  <cp:lastModifiedBy>Saul Enrique De León Meneses</cp:lastModifiedBy>
  <cp:revision>5</cp:revision>
  <cp:lastPrinted>2024-03-01T20:51:00Z</cp:lastPrinted>
  <dcterms:created xsi:type="dcterms:W3CDTF">2024-03-01T20:35:00Z</dcterms:created>
  <dcterms:modified xsi:type="dcterms:W3CDTF">2024-03-01T20:53:00Z</dcterms:modified>
</cp:coreProperties>
</file>